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38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Slaoui Moncef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25.96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25.96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14,794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14,794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two year period from the date of grant. This represents the initial grant to the Reporting Person as a member of the Board of Directors.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annual grant to the Reporting Person as a member of the Board, prorated based on the date the Reporting Person was appointed to the Board.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Grant Levine,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236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2024-06-21T20:39:56Z</dcterms:created>
  <dcterms:modified xsi:type="dcterms:W3CDTF">2024-06-21T20:39:56Z</dcterms:modified>
</cp:coreProperties>
</file>