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13G/A</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2)*</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ALCOBRA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ORDINARY SHARES</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M2239P109</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2016</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M2239P109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Venrock Healthcare Capital Partners, L.P.</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x(1)</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20" w:hanging="620"/>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-534035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-945515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-1159510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-1777365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00"/>
          </w:cols>
          <w:pgMar w:left="240" w:top="436" w:right="259" w:bottom="72" w:gutter="0" w:footer="0" w:header="0"/>
        </w:sectPr>
      </w:pPr>
    </w:p>
    <w:p>
      <w:pPr>
        <w:spacing w:after="0" w:line="400"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2,196,373(2)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2,196,373(2)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2">
            <w:col w:w="2040" w:space="720"/>
            <w:col w:w="8640"/>
          </w:cols>
          <w:pgMar w:left="240" w:top="436" w:right="259" w:bottom="72" w:gutter="0" w:footer="0" w:header="0"/>
          <w:type w:val="continuous"/>
        </w:sectPr>
      </w:pPr>
    </w:p>
    <w:bookmarkStart w:id="1" w:name="page2"/>
    <w:bookmarkEnd w:id="1"/>
    <w:p>
      <w:pPr>
        <w:ind w:left="1000" w:right="5440"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2,196,373(2)</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40"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8.0%(3)</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254635</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80" w:hanging="323"/>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1</w:t>
      </w:r>
      <w:r>
        <w:rPr>
          <w:rFonts w:ascii="Arial" w:cs="Arial" w:eastAsia="Arial" w:hAnsi="Arial"/>
          <w:sz w:val="22"/>
          <w:szCs w:val="22"/>
          <w:color w:val="auto"/>
        </w:rPr>
        <w:t xml:space="preserve">) </w:t>
      </w:r>
      <w:r>
        <w:rPr>
          <w:rFonts w:ascii="Arial" w:cs="Arial" w:eastAsia="Arial" w:hAnsi="Arial"/>
          <w:sz w:val="18"/>
          <w:szCs w:val="18"/>
          <w:color w:val="auto"/>
        </w:rPr>
        <w:t>Venrock Healthcare Capital Partners, L.P., VHCP Co-Investment Holdings, LLC, Venrock Healthcare Capital Partners II, L.P., VHCP Co-Investment</w:t>
      </w:r>
      <w:r>
        <w:rPr>
          <w:rFonts w:ascii="Arial" w:cs="Arial" w:eastAsia="Arial" w:hAnsi="Arial"/>
          <w:sz w:val="22"/>
          <w:szCs w:val="22"/>
          <w:color w:val="auto"/>
        </w:rPr>
        <w:t xml:space="preserve"> </w:t>
      </w:r>
      <w:r>
        <w:rPr>
          <w:rFonts w:ascii="Arial" w:cs="Arial" w:eastAsia="Arial" w:hAnsi="Arial"/>
          <w:sz w:val="18"/>
          <w:szCs w:val="18"/>
          <w:color w:val="auto"/>
        </w:rPr>
        <w:t>Holdings II, LLC, VHCP Management, LLC, VHCP Management II, LLC, Bong Koh and Nimish Shah are members of a group for the purposes of this Schedule 13G/A.</w:t>
      </w:r>
    </w:p>
    <w:p>
      <w:pPr>
        <w:spacing w:after="0" w:line="223" w:lineRule="exact"/>
        <w:rPr>
          <w:sz w:val="20"/>
          <w:szCs w:val="20"/>
          <w:color w:val="auto"/>
        </w:rPr>
      </w:pPr>
    </w:p>
    <w:p>
      <w:pPr>
        <w:jc w:val="both"/>
        <w:ind w:left="280" w:right="280" w:hanging="323"/>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2</w:t>
      </w:r>
      <w:r>
        <w:rPr>
          <w:rFonts w:ascii="Arial" w:cs="Arial" w:eastAsia="Arial" w:hAnsi="Arial"/>
          <w:sz w:val="22"/>
          <w:szCs w:val="22"/>
          <w:color w:val="auto"/>
        </w:rPr>
        <w:t xml:space="preserve">) </w:t>
      </w:r>
      <w:r>
        <w:rPr>
          <w:rFonts w:ascii="Arial" w:cs="Arial" w:eastAsia="Arial" w:hAnsi="Arial"/>
          <w:sz w:val="18"/>
          <w:szCs w:val="18"/>
          <w:color w:val="auto"/>
        </w:rPr>
        <w:t>Consists of 557,018 ordinary shares owned by Venrock Healthcare Capital Partners, L.P., 101,892 ordinary shares owned by VHCP Co-Investment</w:t>
      </w:r>
      <w:r>
        <w:rPr>
          <w:rFonts w:ascii="Arial" w:cs="Arial" w:eastAsia="Arial" w:hAnsi="Arial"/>
          <w:sz w:val="22"/>
          <w:szCs w:val="22"/>
          <w:color w:val="auto"/>
        </w:rPr>
        <w:t xml:space="preserve"> </w:t>
      </w:r>
      <w:r>
        <w:rPr>
          <w:rFonts w:ascii="Arial" w:cs="Arial" w:eastAsia="Arial" w:hAnsi="Arial"/>
          <w:sz w:val="18"/>
          <w:szCs w:val="18"/>
          <w:color w:val="auto"/>
        </w:rPr>
        <w:t>Holdings, LLC, 1,229,804 ordinary shares owned by Venrock Healthcare Capital Partners II, L.P. and 307,659 ordinary shares owned by VHCP Co-Investment Holdings II, LLC.</w:t>
      </w:r>
    </w:p>
    <w:p>
      <w:pPr>
        <w:spacing w:after="0" w:line="223" w:lineRule="exact"/>
        <w:rPr>
          <w:sz w:val="20"/>
          <w:szCs w:val="20"/>
          <w:color w:val="auto"/>
        </w:rPr>
      </w:pPr>
    </w:p>
    <w:p>
      <w:pPr>
        <w:ind w:left="280" w:right="380" w:hanging="323"/>
        <w:spacing w:after="0" w:line="227"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3</w:t>
      </w:r>
      <w:r>
        <w:rPr>
          <w:rFonts w:ascii="Arial" w:cs="Arial" w:eastAsia="Arial" w:hAnsi="Arial"/>
          <w:sz w:val="22"/>
          <w:szCs w:val="22"/>
          <w:color w:val="auto"/>
        </w:rPr>
        <w:t xml:space="preserve">) </w:t>
      </w:r>
      <w:r>
        <w:rPr>
          <w:rFonts w:ascii="Arial" w:cs="Arial" w:eastAsia="Arial" w:hAnsi="Arial"/>
          <w:sz w:val="18"/>
          <w:szCs w:val="18"/>
          <w:color w:val="auto"/>
        </w:rPr>
        <w:t>This percentage is calculated based upon 27,560,920 ordinary shares outstanding as of December 31, 2015, as set forth in Issuer’s annual report on</w:t>
      </w:r>
      <w:r>
        <w:rPr>
          <w:rFonts w:ascii="Arial" w:cs="Arial" w:eastAsia="Arial" w:hAnsi="Arial"/>
          <w:sz w:val="22"/>
          <w:szCs w:val="22"/>
          <w:color w:val="auto"/>
        </w:rPr>
        <w:t xml:space="preserve"> </w:t>
      </w:r>
      <w:r>
        <w:rPr>
          <w:rFonts w:ascii="Arial" w:cs="Arial" w:eastAsia="Arial" w:hAnsi="Arial"/>
          <w:sz w:val="18"/>
          <w:szCs w:val="18"/>
          <w:color w:val="auto"/>
        </w:rPr>
        <w:t>Form 20-F filed with the Securities and Exchange Commission on March 4, 2016.</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CUSIP No. M2239P109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VHCP Co-Investment Holdings, LLC</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x(1)</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62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-945515</wp:posOffset>
            </wp:positionV>
            <wp:extent cx="58743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-1159510</wp:posOffset>
            </wp:positionV>
            <wp:extent cx="58743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-1777365</wp:posOffset>
            </wp:positionV>
            <wp:extent cx="6612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240"/>
          </w:cols>
          <w:pgMar w:left="300" w:top="125" w:right="359" w:bottom="0" w:gutter="0" w:footer="0" w:header="0"/>
        </w:sect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2,196,373(2)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2,196,373(2)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8540"/>
          </w:cols>
          <w:pgMar w:left="300" w:top="125" w:right="359" w:bottom="0" w:gutter="0" w:footer="0" w:header="0"/>
          <w:type w:val="continuous"/>
        </w:sectPr>
      </w:pPr>
    </w:p>
    <w:p>
      <w:pPr>
        <w:spacing w:after="0" w:line="227" w:lineRule="exact"/>
        <w:rPr>
          <w:sz w:val="20"/>
          <w:szCs w:val="20"/>
          <w:color w:val="auto"/>
        </w:rPr>
      </w:pPr>
    </w:p>
    <w:p>
      <w:pPr>
        <w:ind w:left="1000" w:right="5440" w:hanging="620"/>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2,196,373(2)</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63500</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-347345</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240"/>
          </w:cols>
          <w:pgMar w:left="300" w:top="125" w:right="359" w:bottom="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ind w:left="1000" w:hanging="620"/>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Percent of Class Represented by Amount in Row (9)</w:t>
      </w:r>
    </w:p>
    <w:p>
      <w:pPr>
        <w:sectPr>
          <w:pgSz w:w="11900" w:h="16838" w:orient="portrait"/>
          <w:cols w:equalWidth="0" w:num="1">
            <w:col w:w="11240"/>
          </w:cols>
          <w:pgMar w:left="300" w:top="125" w:right="359" w:bottom="0" w:gutter="0" w:footer="0" w:header="0"/>
          <w:type w:val="continuous"/>
        </w:sectPr>
      </w:pPr>
    </w:p>
    <w:bookmarkStart w:id="2" w:name="page3"/>
    <w:bookmarkEnd w:id="2"/>
    <w:p>
      <w:pPr>
        <w:ind w:left="1000"/>
        <w:spacing w:after="0"/>
        <w:rPr>
          <w:sz w:val="20"/>
          <w:szCs w:val="20"/>
          <w:color w:val="auto"/>
        </w:rPr>
      </w:pPr>
      <w:r>
        <w:rPr>
          <w:rFonts w:ascii="Arial" w:cs="Arial" w:eastAsia="Arial" w:hAnsi="Arial"/>
          <w:sz w:val="18"/>
          <w:szCs w:val="18"/>
          <w:color w:val="auto"/>
        </w:rPr>
        <w:t>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254635</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80" w:hanging="323"/>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1</w:t>
      </w:r>
      <w:r>
        <w:rPr>
          <w:rFonts w:ascii="Arial" w:cs="Arial" w:eastAsia="Arial" w:hAnsi="Arial"/>
          <w:sz w:val="22"/>
          <w:szCs w:val="22"/>
          <w:color w:val="auto"/>
        </w:rPr>
        <w:t xml:space="preserve">) </w:t>
      </w:r>
      <w:r>
        <w:rPr>
          <w:rFonts w:ascii="Arial" w:cs="Arial" w:eastAsia="Arial" w:hAnsi="Arial"/>
          <w:sz w:val="18"/>
          <w:szCs w:val="18"/>
          <w:color w:val="auto"/>
        </w:rPr>
        <w:t>Venrock Healthcare Capital Partners, L.P., VHCP Co-Investment Holdings, LLC, Venrock Healthcare Capital Partners II, L.P., VHCP Co-Investment</w:t>
      </w:r>
      <w:r>
        <w:rPr>
          <w:rFonts w:ascii="Arial" w:cs="Arial" w:eastAsia="Arial" w:hAnsi="Arial"/>
          <w:sz w:val="22"/>
          <w:szCs w:val="22"/>
          <w:color w:val="auto"/>
        </w:rPr>
        <w:t xml:space="preserve"> </w:t>
      </w:r>
      <w:r>
        <w:rPr>
          <w:rFonts w:ascii="Arial" w:cs="Arial" w:eastAsia="Arial" w:hAnsi="Arial"/>
          <w:sz w:val="18"/>
          <w:szCs w:val="18"/>
          <w:color w:val="auto"/>
        </w:rPr>
        <w:t>Holdings II, LLC, VHCP Management, LLC, VHCP Management II, LLC, Bong Koh and Nimish Shah are members of a group for the purposes of this Schedule 13G/A.</w:t>
      </w:r>
    </w:p>
    <w:p>
      <w:pPr>
        <w:spacing w:after="0" w:line="196" w:lineRule="exact"/>
        <w:rPr>
          <w:sz w:val="20"/>
          <w:szCs w:val="20"/>
          <w:color w:val="auto"/>
        </w:rPr>
      </w:pPr>
    </w:p>
    <w:p>
      <w:pPr>
        <w:jc w:val="both"/>
        <w:ind w:left="280" w:right="280" w:hanging="323"/>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2</w:t>
      </w:r>
      <w:r>
        <w:rPr>
          <w:rFonts w:ascii="Arial" w:cs="Arial" w:eastAsia="Arial" w:hAnsi="Arial"/>
          <w:sz w:val="22"/>
          <w:szCs w:val="22"/>
          <w:color w:val="auto"/>
        </w:rPr>
        <w:t xml:space="preserve">) </w:t>
      </w:r>
      <w:r>
        <w:rPr>
          <w:rFonts w:ascii="Arial" w:cs="Arial" w:eastAsia="Arial" w:hAnsi="Arial"/>
          <w:sz w:val="18"/>
          <w:szCs w:val="18"/>
          <w:color w:val="auto"/>
        </w:rPr>
        <w:t>Consists of 557,018 ordinary shares owned by Venrock Healthcare Capital Partners, L.P., 101,892 ordinary shares owned by VHCP Co-Investment</w:t>
      </w:r>
      <w:r>
        <w:rPr>
          <w:rFonts w:ascii="Arial" w:cs="Arial" w:eastAsia="Arial" w:hAnsi="Arial"/>
          <w:sz w:val="22"/>
          <w:szCs w:val="22"/>
          <w:color w:val="auto"/>
        </w:rPr>
        <w:t xml:space="preserve"> </w:t>
      </w:r>
      <w:r>
        <w:rPr>
          <w:rFonts w:ascii="Arial" w:cs="Arial" w:eastAsia="Arial" w:hAnsi="Arial"/>
          <w:sz w:val="18"/>
          <w:szCs w:val="18"/>
          <w:color w:val="auto"/>
        </w:rPr>
        <w:t>Holdings, LLC, 1,229,804 ordinary shares owned by Venrock Healthcare Capital Partners II, L.P. and 307,659 ordinary shares owned by VHCP Co-Investment Holdings II, LLC.</w:t>
      </w:r>
    </w:p>
    <w:p>
      <w:pPr>
        <w:spacing w:after="0" w:line="196" w:lineRule="exact"/>
        <w:rPr>
          <w:sz w:val="20"/>
          <w:szCs w:val="20"/>
          <w:color w:val="auto"/>
        </w:rPr>
      </w:pPr>
    </w:p>
    <w:p>
      <w:pPr>
        <w:ind w:left="280" w:right="380" w:hanging="323"/>
        <w:spacing w:after="0" w:line="227"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3</w:t>
      </w:r>
      <w:r>
        <w:rPr>
          <w:rFonts w:ascii="Arial" w:cs="Arial" w:eastAsia="Arial" w:hAnsi="Arial"/>
          <w:sz w:val="22"/>
          <w:szCs w:val="22"/>
          <w:color w:val="auto"/>
        </w:rPr>
        <w:t xml:space="preserve">) </w:t>
      </w:r>
      <w:r>
        <w:rPr>
          <w:rFonts w:ascii="Arial" w:cs="Arial" w:eastAsia="Arial" w:hAnsi="Arial"/>
          <w:sz w:val="18"/>
          <w:szCs w:val="18"/>
          <w:color w:val="auto"/>
        </w:rPr>
        <w:t>This percentage is calculated based upon 27,560,920 ordinary shares outstanding as of December 31, 2015, as set forth in Issuer’s annual report on</w:t>
      </w:r>
      <w:r>
        <w:rPr>
          <w:rFonts w:ascii="Arial" w:cs="Arial" w:eastAsia="Arial" w:hAnsi="Arial"/>
          <w:sz w:val="22"/>
          <w:szCs w:val="22"/>
          <w:color w:val="auto"/>
        </w:rPr>
        <w:t xml:space="preserve"> </w:t>
      </w:r>
      <w:r>
        <w:rPr>
          <w:rFonts w:ascii="Arial" w:cs="Arial" w:eastAsia="Arial" w:hAnsi="Arial"/>
          <w:sz w:val="18"/>
          <w:szCs w:val="18"/>
          <w:color w:val="auto"/>
        </w:rPr>
        <w:t>Form 20-F filed with the Securities and Exchange Commission on March 4, 2016.</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CUSIP No. M2239P109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Venrock Healthcare Capital Partners II, L.P.</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hanging="6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x(1)</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620" w:hanging="620"/>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-945515</wp:posOffset>
            </wp:positionV>
            <wp:extent cx="58743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-1159510</wp:posOffset>
            </wp:positionV>
            <wp:extent cx="58743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-1777365</wp:posOffset>
            </wp:positionV>
            <wp:extent cx="6612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240"/>
          </w:cols>
          <w:pgMar w:left="300" w:top="125" w:right="359" w:bottom="477" w:gutter="0" w:footer="0" w:header="0"/>
        </w:sect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2,196,373(2)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2,196,373(2)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8540"/>
          </w:cols>
          <w:pgMar w:left="300" w:top="125" w:right="359" w:bottom="477" w:gutter="0" w:footer="0" w:header="0"/>
          <w:type w:val="continuous"/>
        </w:sectPr>
      </w:pPr>
    </w:p>
    <w:p>
      <w:pPr>
        <w:spacing w:after="0" w:line="227" w:lineRule="exact"/>
        <w:rPr>
          <w:sz w:val="20"/>
          <w:szCs w:val="20"/>
          <w:color w:val="auto"/>
        </w:rPr>
      </w:pPr>
    </w:p>
    <w:p>
      <w:pPr>
        <w:ind w:left="1000" w:right="5440" w:hanging="620"/>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2,196,373(2)</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6440" w:hanging="620"/>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8.0%(3)</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254635</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40"/>
          </w:cols>
          <w:pgMar w:left="300" w:top="125" w:right="359" w:bottom="477" w:gutter="0" w:footer="0" w:header="0"/>
          <w:type w:val="continuous"/>
        </w:sectPr>
      </w:pPr>
    </w:p>
    <w:bookmarkStart w:id="3" w:name="page4"/>
    <w:bookmarkEnd w:id="3"/>
    <w:p>
      <w:pPr>
        <w:ind w:left="280" w:hanging="323"/>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1</w:t>
      </w:r>
      <w:r>
        <w:rPr>
          <w:rFonts w:ascii="Arial" w:cs="Arial" w:eastAsia="Arial" w:hAnsi="Arial"/>
          <w:sz w:val="22"/>
          <w:szCs w:val="22"/>
          <w:color w:val="auto"/>
        </w:rPr>
        <w:t xml:space="preserve">) </w:t>
      </w:r>
      <w:r>
        <w:rPr>
          <w:rFonts w:ascii="Arial" w:cs="Arial" w:eastAsia="Arial" w:hAnsi="Arial"/>
          <w:sz w:val="18"/>
          <w:szCs w:val="18"/>
          <w:color w:val="auto"/>
        </w:rPr>
        <w:t>Venrock Healthcare Capital Partners, L.P., VHCP Co-Investment Holdings, LLC, Venrock Healthcare Capital Partners II, L.P., VHCP Co-Investment</w:t>
      </w:r>
      <w:r>
        <w:rPr>
          <w:rFonts w:ascii="Arial" w:cs="Arial" w:eastAsia="Arial" w:hAnsi="Arial"/>
          <w:sz w:val="22"/>
          <w:szCs w:val="22"/>
          <w:color w:val="auto"/>
        </w:rPr>
        <w:t xml:space="preserve"> </w:t>
      </w:r>
      <w:r>
        <w:rPr>
          <w:rFonts w:ascii="Arial" w:cs="Arial" w:eastAsia="Arial" w:hAnsi="Arial"/>
          <w:sz w:val="18"/>
          <w:szCs w:val="18"/>
          <w:color w:val="auto"/>
        </w:rPr>
        <w:t>Holdings II, LLC, VHCP Management, LLC, VHCP Management II, LLC, Bong Koh and Nimish Shah are members of a group for the purposes of this Schedule 13G/A.</w:t>
      </w:r>
    </w:p>
    <w:p>
      <w:pPr>
        <w:spacing w:after="0" w:line="224" w:lineRule="exact"/>
        <w:rPr>
          <w:sz w:val="20"/>
          <w:szCs w:val="20"/>
          <w:color w:val="auto"/>
        </w:rPr>
      </w:pPr>
    </w:p>
    <w:p>
      <w:pPr>
        <w:jc w:val="both"/>
        <w:ind w:left="280" w:right="280" w:hanging="323"/>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2</w:t>
      </w:r>
      <w:r>
        <w:rPr>
          <w:rFonts w:ascii="Arial" w:cs="Arial" w:eastAsia="Arial" w:hAnsi="Arial"/>
          <w:sz w:val="22"/>
          <w:szCs w:val="22"/>
          <w:color w:val="auto"/>
        </w:rPr>
        <w:t xml:space="preserve">) </w:t>
      </w:r>
      <w:r>
        <w:rPr>
          <w:rFonts w:ascii="Arial" w:cs="Arial" w:eastAsia="Arial" w:hAnsi="Arial"/>
          <w:sz w:val="18"/>
          <w:szCs w:val="18"/>
          <w:color w:val="auto"/>
        </w:rPr>
        <w:t>Consists of 557,018 ordinary shares owned by Venrock Healthcare Capital Partners, L.P., 101,892 ordinary shares owned by VHCP Co-Investment</w:t>
      </w:r>
      <w:r>
        <w:rPr>
          <w:rFonts w:ascii="Arial" w:cs="Arial" w:eastAsia="Arial" w:hAnsi="Arial"/>
          <w:sz w:val="22"/>
          <w:szCs w:val="22"/>
          <w:color w:val="auto"/>
        </w:rPr>
        <w:t xml:space="preserve"> </w:t>
      </w:r>
      <w:r>
        <w:rPr>
          <w:rFonts w:ascii="Arial" w:cs="Arial" w:eastAsia="Arial" w:hAnsi="Arial"/>
          <w:sz w:val="18"/>
          <w:szCs w:val="18"/>
          <w:color w:val="auto"/>
        </w:rPr>
        <w:t>Holdings, LLC, 1,229,804 ordinary shares owned by Venrock Healthcare Capital Partners II, L.P. and 307,659 ordinary shares owned by VHCP Co-Investment Holdings II, LLC.</w:t>
      </w:r>
    </w:p>
    <w:p>
      <w:pPr>
        <w:spacing w:after="0" w:line="223" w:lineRule="exact"/>
        <w:rPr>
          <w:sz w:val="20"/>
          <w:szCs w:val="20"/>
          <w:color w:val="auto"/>
        </w:rPr>
      </w:pPr>
    </w:p>
    <w:p>
      <w:pPr>
        <w:ind w:left="280" w:right="380" w:hanging="323"/>
        <w:spacing w:after="0" w:line="227"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3</w:t>
      </w:r>
      <w:r>
        <w:rPr>
          <w:rFonts w:ascii="Arial" w:cs="Arial" w:eastAsia="Arial" w:hAnsi="Arial"/>
          <w:sz w:val="22"/>
          <w:szCs w:val="22"/>
          <w:color w:val="auto"/>
        </w:rPr>
        <w:t xml:space="preserve">) </w:t>
      </w:r>
      <w:r>
        <w:rPr>
          <w:rFonts w:ascii="Arial" w:cs="Arial" w:eastAsia="Arial" w:hAnsi="Arial"/>
          <w:sz w:val="18"/>
          <w:szCs w:val="18"/>
          <w:color w:val="auto"/>
        </w:rPr>
        <w:t>This percentage is calculated based upon 27,560,920 ordinary shares outstanding as of December 31, 2015, as set forth in Issuer’s annual report on</w:t>
      </w:r>
      <w:r>
        <w:rPr>
          <w:rFonts w:ascii="Arial" w:cs="Arial" w:eastAsia="Arial" w:hAnsi="Arial"/>
          <w:sz w:val="22"/>
          <w:szCs w:val="22"/>
          <w:color w:val="auto"/>
        </w:rPr>
        <w:t xml:space="preserve"> </w:t>
      </w:r>
      <w:r>
        <w:rPr>
          <w:rFonts w:ascii="Arial" w:cs="Arial" w:eastAsia="Arial" w:hAnsi="Arial"/>
          <w:sz w:val="18"/>
          <w:szCs w:val="18"/>
          <w:color w:val="auto"/>
        </w:rPr>
        <w:t>Form 20-F filed with the Securities and Exchange Commission on March 4, 2016.</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CUSIP No. M2239P109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VHCP Co-Investment Holdings II, LLC</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hanging="620"/>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x(1)</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620" w:hanging="620"/>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-945515</wp:posOffset>
            </wp:positionV>
            <wp:extent cx="58743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-1159510</wp:posOffset>
            </wp:positionV>
            <wp:extent cx="58743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-1777365</wp:posOffset>
            </wp:positionV>
            <wp:extent cx="6612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240"/>
          </w:cols>
          <w:pgMar w:left="300" w:top="118" w:right="359" w:bottom="0" w:gutter="0" w:footer="0" w:header="0"/>
        </w:sect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2,196,373(2)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2,196,373(2)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8540"/>
          </w:cols>
          <w:pgMar w:left="300" w:top="118" w:right="359" w:bottom="0" w:gutter="0" w:footer="0" w:header="0"/>
          <w:type w:val="continuous"/>
        </w:sectPr>
      </w:pPr>
    </w:p>
    <w:p>
      <w:pPr>
        <w:spacing w:after="0" w:line="227" w:lineRule="exact"/>
        <w:rPr>
          <w:sz w:val="20"/>
          <w:szCs w:val="20"/>
          <w:color w:val="auto"/>
        </w:rPr>
      </w:pPr>
    </w:p>
    <w:p>
      <w:pPr>
        <w:ind w:left="1000" w:right="5440" w:hanging="620"/>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2,196,373(2)</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40" w:hanging="620"/>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(9) 8.0%(3)</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254635</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80" w:hanging="323"/>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1</w:t>
      </w:r>
      <w:r>
        <w:rPr>
          <w:rFonts w:ascii="Arial" w:cs="Arial" w:eastAsia="Arial" w:hAnsi="Arial"/>
          <w:sz w:val="22"/>
          <w:szCs w:val="22"/>
          <w:color w:val="auto"/>
        </w:rPr>
        <w:t xml:space="preserve">) </w:t>
      </w:r>
      <w:r>
        <w:rPr>
          <w:rFonts w:ascii="Arial" w:cs="Arial" w:eastAsia="Arial" w:hAnsi="Arial"/>
          <w:sz w:val="18"/>
          <w:szCs w:val="18"/>
          <w:color w:val="auto"/>
        </w:rPr>
        <w:t>Venrock Healthcare Capital Partners, L.P., VHCP Co-Investment Holdings, LLC, Venrock Healthcare Capital Partners II, L.P., VHCP Co-Investment</w:t>
      </w:r>
      <w:r>
        <w:rPr>
          <w:rFonts w:ascii="Arial" w:cs="Arial" w:eastAsia="Arial" w:hAnsi="Arial"/>
          <w:sz w:val="22"/>
          <w:szCs w:val="22"/>
          <w:color w:val="auto"/>
        </w:rPr>
        <w:t xml:space="preserve"> </w:t>
      </w:r>
      <w:r>
        <w:rPr>
          <w:rFonts w:ascii="Arial" w:cs="Arial" w:eastAsia="Arial" w:hAnsi="Arial"/>
          <w:sz w:val="18"/>
          <w:szCs w:val="18"/>
          <w:color w:val="auto"/>
        </w:rPr>
        <w:t>Holdings II, LLC, VHCP Management, LLC, VHCP Management II, LLC, Bong Koh and Nimish Shah are members of a group for the purposes of this Schedule 13G/A.</w:t>
      </w:r>
    </w:p>
    <w:p>
      <w:pPr>
        <w:spacing w:after="0" w:line="223" w:lineRule="exact"/>
        <w:rPr>
          <w:sz w:val="20"/>
          <w:szCs w:val="20"/>
          <w:color w:val="auto"/>
        </w:rPr>
      </w:pPr>
    </w:p>
    <w:p>
      <w:pPr>
        <w:jc w:val="both"/>
        <w:ind w:left="280" w:right="280" w:hanging="323"/>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2</w:t>
      </w:r>
      <w:r>
        <w:rPr>
          <w:rFonts w:ascii="Arial" w:cs="Arial" w:eastAsia="Arial" w:hAnsi="Arial"/>
          <w:sz w:val="22"/>
          <w:szCs w:val="22"/>
          <w:color w:val="auto"/>
        </w:rPr>
        <w:t xml:space="preserve">) </w:t>
      </w:r>
      <w:r>
        <w:rPr>
          <w:rFonts w:ascii="Arial" w:cs="Arial" w:eastAsia="Arial" w:hAnsi="Arial"/>
          <w:sz w:val="18"/>
          <w:szCs w:val="18"/>
          <w:color w:val="auto"/>
        </w:rPr>
        <w:t>Consists of 557,018 ordinary shares owned by Venrock Healthcare Capital Partners, L.P., 101,892 ordinary shares owned by VHCP Co-Investment</w:t>
      </w:r>
      <w:r>
        <w:rPr>
          <w:rFonts w:ascii="Arial" w:cs="Arial" w:eastAsia="Arial" w:hAnsi="Arial"/>
          <w:sz w:val="22"/>
          <w:szCs w:val="22"/>
          <w:color w:val="auto"/>
        </w:rPr>
        <w:t xml:space="preserve"> </w:t>
      </w:r>
      <w:r>
        <w:rPr>
          <w:rFonts w:ascii="Arial" w:cs="Arial" w:eastAsia="Arial" w:hAnsi="Arial"/>
          <w:sz w:val="18"/>
          <w:szCs w:val="18"/>
          <w:color w:val="auto"/>
        </w:rPr>
        <w:t>Holdings, LLC, 1,229,804 ordinary shares owned by Venrock Healthcare Capital Partners II, L.P. and 307,659 ordinary shares owned by VHCP Co-Investment Holdings II, LLC.</w:t>
      </w:r>
    </w:p>
    <w:p>
      <w:pPr>
        <w:sectPr>
          <w:pgSz w:w="11900" w:h="16838" w:orient="portrait"/>
          <w:cols w:equalWidth="0" w:num="1">
            <w:col w:w="11240"/>
          </w:cols>
          <w:pgMar w:left="300" w:top="118" w:right="359" w:bottom="0" w:gutter="0" w:footer="0" w:header="0"/>
          <w:type w:val="continuous"/>
        </w:sectPr>
      </w:pPr>
    </w:p>
    <w:bookmarkStart w:id="4" w:name="page5"/>
    <w:bookmarkEnd w:id="4"/>
    <w:p>
      <w:pPr>
        <w:ind w:left="280" w:right="380" w:hanging="323"/>
        <w:spacing w:after="0" w:line="228"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3</w:t>
      </w:r>
      <w:r>
        <w:rPr>
          <w:rFonts w:ascii="Arial" w:cs="Arial" w:eastAsia="Arial" w:hAnsi="Arial"/>
          <w:sz w:val="22"/>
          <w:szCs w:val="22"/>
          <w:color w:val="auto"/>
        </w:rPr>
        <w:t xml:space="preserve">) </w:t>
      </w:r>
      <w:r>
        <w:rPr>
          <w:rFonts w:ascii="Arial" w:cs="Arial" w:eastAsia="Arial" w:hAnsi="Arial"/>
          <w:sz w:val="18"/>
          <w:szCs w:val="18"/>
          <w:color w:val="auto"/>
        </w:rPr>
        <w:t>This percentage is calculated based upon 27,560,920 ordinary shares outstanding as of December 31, 2015, as set forth in Issuer’s annual report on</w:t>
      </w:r>
      <w:r>
        <w:rPr>
          <w:rFonts w:ascii="Arial" w:cs="Arial" w:eastAsia="Arial" w:hAnsi="Arial"/>
          <w:sz w:val="22"/>
          <w:szCs w:val="22"/>
          <w:color w:val="auto"/>
        </w:rPr>
        <w:t xml:space="preserve"> </w:t>
      </w:r>
      <w:r>
        <w:rPr>
          <w:rFonts w:ascii="Arial" w:cs="Arial" w:eastAsia="Arial" w:hAnsi="Arial"/>
          <w:sz w:val="18"/>
          <w:szCs w:val="18"/>
          <w:color w:val="auto"/>
        </w:rPr>
        <w:t>Form 20-F filed with the Securities and Exchange Commission on March 4, 2016.</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CUSIP No. M2239P109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8240" w:hanging="620"/>
        <w:spacing w:after="0" w:line="342"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Name of Reporting Persons VHCP Management, LLC</w:t>
      </w:r>
    </w:p>
    <w:p>
      <w:pPr>
        <w:spacing w:after="0" w:line="339" w:lineRule="exact"/>
        <w:rPr>
          <w:rFonts w:ascii="Arial" w:cs="Arial" w:eastAsia="Arial" w:hAnsi="Arial"/>
          <w:sz w:val="16"/>
          <w:szCs w:val="16"/>
          <w:color w:val="auto"/>
        </w:rPr>
      </w:pPr>
    </w:p>
    <w:p>
      <w:pPr>
        <w:ind w:left="1000" w:hanging="620"/>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x(1)</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620" w:hanging="620"/>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-945515</wp:posOffset>
            </wp:positionV>
            <wp:extent cx="58743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-1159510</wp:posOffset>
            </wp:positionV>
            <wp:extent cx="58743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-1777365</wp:posOffset>
            </wp:positionV>
            <wp:extent cx="6612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240"/>
          </w:cols>
          <w:pgMar w:left="300" w:top="118" w:right="359" w:bottom="0" w:gutter="0" w:footer="0" w:header="0"/>
        </w:sect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2,196,373(2)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2,196,373(2)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8540"/>
          </w:cols>
          <w:pgMar w:left="300" w:top="118" w:right="359" w:bottom="0" w:gutter="0" w:footer="0" w:header="0"/>
          <w:type w:val="continuous"/>
        </w:sectPr>
      </w:pPr>
    </w:p>
    <w:p>
      <w:pPr>
        <w:spacing w:after="0" w:line="227" w:lineRule="exact"/>
        <w:rPr>
          <w:sz w:val="20"/>
          <w:szCs w:val="20"/>
          <w:color w:val="auto"/>
        </w:rPr>
      </w:pPr>
    </w:p>
    <w:p>
      <w:pPr>
        <w:ind w:left="1000" w:right="5440" w:hanging="620"/>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2,196,373(2)</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40" w:hanging="620"/>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8.0%(3)</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254635</wp:posOffset>
            </wp:positionV>
            <wp:extent cx="18268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80" w:hanging="323"/>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1</w:t>
      </w:r>
      <w:r>
        <w:rPr>
          <w:rFonts w:ascii="Arial" w:cs="Arial" w:eastAsia="Arial" w:hAnsi="Arial"/>
          <w:sz w:val="22"/>
          <w:szCs w:val="22"/>
          <w:color w:val="auto"/>
        </w:rPr>
        <w:t xml:space="preserve">) </w:t>
      </w:r>
      <w:r>
        <w:rPr>
          <w:rFonts w:ascii="Arial" w:cs="Arial" w:eastAsia="Arial" w:hAnsi="Arial"/>
          <w:sz w:val="18"/>
          <w:szCs w:val="18"/>
          <w:color w:val="auto"/>
        </w:rPr>
        <w:t>Venrock Healthcare Capital Partners, L.P., VHCP Co-Investment Holdings, LLC, Venrock Healthcare Capital Partners II, L.P., VHCP Co-Investment</w:t>
      </w:r>
      <w:r>
        <w:rPr>
          <w:rFonts w:ascii="Arial" w:cs="Arial" w:eastAsia="Arial" w:hAnsi="Arial"/>
          <w:sz w:val="22"/>
          <w:szCs w:val="22"/>
          <w:color w:val="auto"/>
        </w:rPr>
        <w:t xml:space="preserve"> </w:t>
      </w:r>
      <w:r>
        <w:rPr>
          <w:rFonts w:ascii="Arial" w:cs="Arial" w:eastAsia="Arial" w:hAnsi="Arial"/>
          <w:sz w:val="18"/>
          <w:szCs w:val="18"/>
          <w:color w:val="auto"/>
        </w:rPr>
        <w:t>Holdings II, LLC, VHCP Management, LLC, VHCP Management II, LLC, Bong Koh and Nimish Shah are members of a group for the purposes of this Schedule 13G/A.</w:t>
      </w:r>
    </w:p>
    <w:p>
      <w:pPr>
        <w:spacing w:after="0" w:line="223" w:lineRule="exact"/>
        <w:rPr>
          <w:sz w:val="20"/>
          <w:szCs w:val="20"/>
          <w:color w:val="auto"/>
        </w:rPr>
      </w:pPr>
    </w:p>
    <w:p>
      <w:pPr>
        <w:jc w:val="both"/>
        <w:ind w:left="280" w:right="280" w:hanging="323"/>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2</w:t>
      </w:r>
      <w:r>
        <w:rPr>
          <w:rFonts w:ascii="Arial" w:cs="Arial" w:eastAsia="Arial" w:hAnsi="Arial"/>
          <w:sz w:val="22"/>
          <w:szCs w:val="22"/>
          <w:color w:val="auto"/>
        </w:rPr>
        <w:t xml:space="preserve">) </w:t>
      </w:r>
      <w:r>
        <w:rPr>
          <w:rFonts w:ascii="Arial" w:cs="Arial" w:eastAsia="Arial" w:hAnsi="Arial"/>
          <w:sz w:val="18"/>
          <w:szCs w:val="18"/>
          <w:color w:val="auto"/>
        </w:rPr>
        <w:t>Consists of 557,018 ordinary shares owned by Venrock Healthcare Capital Partners, L.P., 101,892 ordinary shares owned by VHCP Co-Investment</w:t>
      </w:r>
      <w:r>
        <w:rPr>
          <w:rFonts w:ascii="Arial" w:cs="Arial" w:eastAsia="Arial" w:hAnsi="Arial"/>
          <w:sz w:val="22"/>
          <w:szCs w:val="22"/>
          <w:color w:val="auto"/>
        </w:rPr>
        <w:t xml:space="preserve"> </w:t>
      </w:r>
      <w:r>
        <w:rPr>
          <w:rFonts w:ascii="Arial" w:cs="Arial" w:eastAsia="Arial" w:hAnsi="Arial"/>
          <w:sz w:val="18"/>
          <w:szCs w:val="18"/>
          <w:color w:val="auto"/>
        </w:rPr>
        <w:t>Holdings, LLC, 1,229,804 ordinary shares owned by Venrock Healthcare Capital Partners II, L.P. and 307,659 ordinary shares owned by VHCP Co-Investment Holdings II, LLC.</w:t>
      </w:r>
    </w:p>
    <w:p>
      <w:pPr>
        <w:spacing w:after="0" w:line="223" w:lineRule="exact"/>
        <w:rPr>
          <w:sz w:val="20"/>
          <w:szCs w:val="20"/>
          <w:color w:val="auto"/>
        </w:rPr>
      </w:pPr>
    </w:p>
    <w:p>
      <w:pPr>
        <w:ind w:left="280" w:right="380" w:hanging="323"/>
        <w:spacing w:after="0" w:line="227"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3</w:t>
      </w:r>
      <w:r>
        <w:rPr>
          <w:rFonts w:ascii="Arial" w:cs="Arial" w:eastAsia="Arial" w:hAnsi="Arial"/>
          <w:sz w:val="22"/>
          <w:szCs w:val="22"/>
          <w:color w:val="auto"/>
        </w:rPr>
        <w:t xml:space="preserve">) </w:t>
      </w:r>
      <w:r>
        <w:rPr>
          <w:rFonts w:ascii="Arial" w:cs="Arial" w:eastAsia="Arial" w:hAnsi="Arial"/>
          <w:sz w:val="18"/>
          <w:szCs w:val="18"/>
          <w:color w:val="auto"/>
        </w:rPr>
        <w:t>This percentage is calculated based upon 27,560,920 ordinary shares outstanding as of December 31, 2015, as set forth in Issuer’s annual report on</w:t>
      </w:r>
      <w:r>
        <w:rPr>
          <w:rFonts w:ascii="Arial" w:cs="Arial" w:eastAsia="Arial" w:hAnsi="Arial"/>
          <w:sz w:val="22"/>
          <w:szCs w:val="22"/>
          <w:color w:val="auto"/>
        </w:rPr>
        <w:t xml:space="preserve"> </w:t>
      </w:r>
      <w:r>
        <w:rPr>
          <w:rFonts w:ascii="Arial" w:cs="Arial" w:eastAsia="Arial" w:hAnsi="Arial"/>
          <w:sz w:val="18"/>
          <w:szCs w:val="18"/>
          <w:color w:val="auto"/>
        </w:rPr>
        <w:t>Form 20-F filed with the Securities and Exchange Commission on March 4, 2016.</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300" w:top="118" w:right="3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CUSIP No. M2239P109</w:t>
      </w:r>
    </w:p>
    <w:p>
      <w:pPr>
        <w:sectPr>
          <w:pgSz w:w="11900" w:h="16838" w:orient="portrait"/>
          <w:cols w:equalWidth="0" w:num="1">
            <w:col w:w="11240"/>
          </w:cols>
          <w:pgMar w:left="300" w:top="118" w:right="359" w:bottom="0" w:gutter="0" w:footer="0" w:header="0"/>
          <w:type w:val="continuous"/>
        </w:sectPr>
      </w:pPr>
    </w:p>
    <w:bookmarkStart w:id="5" w:name="page6"/>
    <w:bookmarkEnd w:id="5"/>
    <w:p>
      <w:pPr>
        <w:ind w:left="1000" w:right="8180" w:hanging="620"/>
        <w:spacing w:after="0" w:line="342"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t>Name of Reporting Persons VHCP Management II, LLC</w:t>
      </w:r>
    </w:p>
    <w:p>
      <w:pPr>
        <w:spacing w:after="0" w:line="339" w:lineRule="exact"/>
        <w:rPr>
          <w:rFonts w:ascii="Arial" w:cs="Arial" w:eastAsia="Arial" w:hAnsi="Arial"/>
          <w:sz w:val="16"/>
          <w:szCs w:val="16"/>
          <w:color w:val="auto"/>
        </w:rPr>
      </w:pPr>
    </w:p>
    <w:p>
      <w:pPr>
        <w:ind w:left="1000" w:hanging="620"/>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60" w:hanging="1159"/>
        <w:spacing w:after="0"/>
        <w:tabs>
          <w:tab w:leader="none" w:pos="21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x(1)</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620" w:hanging="620"/>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-945515</wp:posOffset>
            </wp:positionV>
            <wp:extent cx="58743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-1159510</wp:posOffset>
            </wp:positionV>
            <wp:extent cx="58743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-1777365</wp:posOffset>
            </wp:positionV>
            <wp:extent cx="6612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240"/>
          </w:cols>
          <w:pgMar w:left="300" w:top="517" w:right="359" w:bottom="0" w:gutter="0" w:footer="0" w:header="0"/>
        </w:sect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2,196,373(2)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2,196,373(2)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8540"/>
          </w:cols>
          <w:pgMar w:left="300" w:top="517" w:right="359" w:bottom="0" w:gutter="0" w:footer="0" w:header="0"/>
          <w:type w:val="continuous"/>
        </w:sectPr>
      </w:pPr>
    </w:p>
    <w:p>
      <w:pPr>
        <w:spacing w:after="0" w:line="227" w:lineRule="exact"/>
        <w:rPr>
          <w:sz w:val="20"/>
          <w:szCs w:val="20"/>
          <w:color w:val="auto"/>
        </w:rPr>
      </w:pPr>
    </w:p>
    <w:p>
      <w:pPr>
        <w:ind w:left="1000" w:right="5440" w:hanging="620"/>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2,196,373(2)</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40" w:hanging="620"/>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 8.0%(3)</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254635</wp:posOffset>
            </wp:positionV>
            <wp:extent cx="18268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80" w:hanging="323"/>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1</w:t>
      </w:r>
      <w:r>
        <w:rPr>
          <w:rFonts w:ascii="Arial" w:cs="Arial" w:eastAsia="Arial" w:hAnsi="Arial"/>
          <w:sz w:val="22"/>
          <w:szCs w:val="22"/>
          <w:color w:val="auto"/>
        </w:rPr>
        <w:t xml:space="preserve">) </w:t>
      </w:r>
      <w:r>
        <w:rPr>
          <w:rFonts w:ascii="Arial" w:cs="Arial" w:eastAsia="Arial" w:hAnsi="Arial"/>
          <w:sz w:val="18"/>
          <w:szCs w:val="18"/>
          <w:color w:val="auto"/>
        </w:rPr>
        <w:t>Venrock Healthcare Capital Partners, L.P., VHCP Co-Investment Holdings, LLC, Venrock Healthcare Capital Partners II, L.P., VHCP Co-Investment</w:t>
      </w:r>
      <w:r>
        <w:rPr>
          <w:rFonts w:ascii="Arial" w:cs="Arial" w:eastAsia="Arial" w:hAnsi="Arial"/>
          <w:sz w:val="22"/>
          <w:szCs w:val="22"/>
          <w:color w:val="auto"/>
        </w:rPr>
        <w:t xml:space="preserve"> </w:t>
      </w:r>
      <w:r>
        <w:rPr>
          <w:rFonts w:ascii="Arial" w:cs="Arial" w:eastAsia="Arial" w:hAnsi="Arial"/>
          <w:sz w:val="18"/>
          <w:szCs w:val="18"/>
          <w:color w:val="auto"/>
        </w:rPr>
        <w:t>Holdings II, LLC, VHCP Management, LLC, VHCP Management II, LLC, Bong Koh and Nimish Shah are members of a group for the purposes of this Schedule 13G/A.</w:t>
      </w:r>
    </w:p>
    <w:p>
      <w:pPr>
        <w:spacing w:after="0" w:line="223" w:lineRule="exact"/>
        <w:rPr>
          <w:sz w:val="20"/>
          <w:szCs w:val="20"/>
          <w:color w:val="auto"/>
        </w:rPr>
      </w:pPr>
    </w:p>
    <w:p>
      <w:pPr>
        <w:jc w:val="both"/>
        <w:ind w:left="280" w:right="280" w:hanging="323"/>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2</w:t>
      </w:r>
      <w:r>
        <w:rPr>
          <w:rFonts w:ascii="Arial" w:cs="Arial" w:eastAsia="Arial" w:hAnsi="Arial"/>
          <w:sz w:val="22"/>
          <w:szCs w:val="22"/>
          <w:color w:val="auto"/>
        </w:rPr>
        <w:t xml:space="preserve">) </w:t>
      </w:r>
      <w:r>
        <w:rPr>
          <w:rFonts w:ascii="Arial" w:cs="Arial" w:eastAsia="Arial" w:hAnsi="Arial"/>
          <w:sz w:val="18"/>
          <w:szCs w:val="18"/>
          <w:color w:val="auto"/>
        </w:rPr>
        <w:t>Consists of 557,018 ordinary shares owned by Venrock Healthcare Capital Partners, L.P., 101,892 ordinary shares owned by VHCP Co-Investment</w:t>
      </w:r>
      <w:r>
        <w:rPr>
          <w:rFonts w:ascii="Arial" w:cs="Arial" w:eastAsia="Arial" w:hAnsi="Arial"/>
          <w:sz w:val="22"/>
          <w:szCs w:val="22"/>
          <w:color w:val="auto"/>
        </w:rPr>
        <w:t xml:space="preserve"> </w:t>
      </w:r>
      <w:r>
        <w:rPr>
          <w:rFonts w:ascii="Arial" w:cs="Arial" w:eastAsia="Arial" w:hAnsi="Arial"/>
          <w:sz w:val="18"/>
          <w:szCs w:val="18"/>
          <w:color w:val="auto"/>
        </w:rPr>
        <w:t>Holdings, LLC, 1,229,804 ordinary shares owned by Venrock Healthcare Capital Partners II, L.P. and 307,659 ordinary shares owned by VHCP Co-Investment Holdings II, LLC.</w:t>
      </w:r>
    </w:p>
    <w:p>
      <w:pPr>
        <w:spacing w:after="0" w:line="223" w:lineRule="exact"/>
        <w:rPr>
          <w:sz w:val="20"/>
          <w:szCs w:val="20"/>
          <w:color w:val="auto"/>
        </w:rPr>
      </w:pPr>
    </w:p>
    <w:p>
      <w:pPr>
        <w:ind w:left="280" w:right="380" w:hanging="323"/>
        <w:spacing w:after="0" w:line="227"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3</w:t>
      </w:r>
      <w:r>
        <w:rPr>
          <w:rFonts w:ascii="Arial" w:cs="Arial" w:eastAsia="Arial" w:hAnsi="Arial"/>
          <w:sz w:val="22"/>
          <w:szCs w:val="22"/>
          <w:color w:val="auto"/>
        </w:rPr>
        <w:t xml:space="preserve">) </w:t>
      </w:r>
      <w:r>
        <w:rPr>
          <w:rFonts w:ascii="Arial" w:cs="Arial" w:eastAsia="Arial" w:hAnsi="Arial"/>
          <w:sz w:val="18"/>
          <w:szCs w:val="18"/>
          <w:color w:val="auto"/>
        </w:rPr>
        <w:t>This percentage is calculated based upon 27,560,920 ordinary shares outstanding as of December 31, 2015, as set forth in Issuer’s annual report on</w:t>
      </w:r>
      <w:r>
        <w:rPr>
          <w:rFonts w:ascii="Arial" w:cs="Arial" w:eastAsia="Arial" w:hAnsi="Arial"/>
          <w:sz w:val="22"/>
          <w:szCs w:val="22"/>
          <w:color w:val="auto"/>
        </w:rPr>
        <w:t xml:space="preserve"> </w:t>
      </w:r>
      <w:r>
        <w:rPr>
          <w:rFonts w:ascii="Arial" w:cs="Arial" w:eastAsia="Arial" w:hAnsi="Arial"/>
          <w:sz w:val="18"/>
          <w:szCs w:val="18"/>
          <w:color w:val="auto"/>
        </w:rPr>
        <w:t>Form 20-F filed with the Securities and Exchange Commission on March 4, 2016.</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CUSIP No. M2239P109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8240" w:hanging="620"/>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 of Reporting Persons Shah, Nimish</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x(1)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48895</wp:posOffset>
            </wp:positionV>
            <wp:extent cx="58743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-567690</wp:posOffset>
            </wp:positionV>
            <wp:extent cx="6612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240"/>
          </w:cols>
          <w:pgMar w:left="300" w:top="517" w:right="359" w:bottom="0" w:gutter="0" w:footer="0" w:header="0"/>
          <w:type w:val="continuous"/>
        </w:sectPr>
      </w:pPr>
    </w:p>
    <w:bookmarkStart w:id="6" w:name="page7"/>
    <w:bookmarkEnd w:id="6"/>
    <w:p>
      <w:pPr>
        <w:ind w:left="2160" w:hanging="1159"/>
        <w:spacing w:after="0"/>
        <w:tabs>
          <w:tab w:leader="none" w:pos="2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620" w:hanging="620"/>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-945515</wp:posOffset>
            </wp:positionV>
            <wp:extent cx="58743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ectPr>
          <w:pgSz w:w="11900" w:h="16838" w:orient="portrait"/>
          <w:cols w:equalWidth="0" w:num="1">
            <w:col w:w="11240"/>
          </w:cols>
          <w:pgMar w:left="300" w:top="125" w:right="359" w:bottom="0" w:gutter="0" w:footer="0" w:header="0"/>
        </w:sect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2,196,373(2)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2,196,373(2)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8540"/>
          </w:cols>
          <w:pgMar w:left="300" w:top="125" w:right="359" w:bottom="0" w:gutter="0" w:footer="0" w:header="0"/>
          <w:type w:val="continuous"/>
        </w:sectPr>
      </w:pPr>
    </w:p>
    <w:p>
      <w:pPr>
        <w:spacing w:after="0" w:line="227" w:lineRule="exact"/>
        <w:rPr>
          <w:sz w:val="20"/>
          <w:szCs w:val="20"/>
          <w:color w:val="auto"/>
        </w:rPr>
      </w:pPr>
    </w:p>
    <w:p>
      <w:pPr>
        <w:ind w:left="1000" w:right="5440" w:hanging="620"/>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2,196,373(2)</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40" w:hanging="620"/>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(9) 8.0%(3)</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254635</wp:posOffset>
            </wp:positionV>
            <wp:extent cx="18268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80" w:hanging="323"/>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1</w:t>
      </w:r>
      <w:r>
        <w:rPr>
          <w:rFonts w:ascii="Arial" w:cs="Arial" w:eastAsia="Arial" w:hAnsi="Arial"/>
          <w:sz w:val="22"/>
          <w:szCs w:val="22"/>
          <w:color w:val="auto"/>
        </w:rPr>
        <w:t xml:space="preserve">) </w:t>
      </w:r>
      <w:r>
        <w:rPr>
          <w:rFonts w:ascii="Arial" w:cs="Arial" w:eastAsia="Arial" w:hAnsi="Arial"/>
          <w:sz w:val="18"/>
          <w:szCs w:val="18"/>
          <w:color w:val="auto"/>
        </w:rPr>
        <w:t>Venrock Healthcare Capital Partners, L.P., VHCP Co-Investment Holdings, LLC, Venrock Healthcare Capital Partners II, L.P., VHCP Co-Investment</w:t>
      </w:r>
      <w:r>
        <w:rPr>
          <w:rFonts w:ascii="Arial" w:cs="Arial" w:eastAsia="Arial" w:hAnsi="Arial"/>
          <w:sz w:val="22"/>
          <w:szCs w:val="22"/>
          <w:color w:val="auto"/>
        </w:rPr>
        <w:t xml:space="preserve"> </w:t>
      </w:r>
      <w:r>
        <w:rPr>
          <w:rFonts w:ascii="Arial" w:cs="Arial" w:eastAsia="Arial" w:hAnsi="Arial"/>
          <w:sz w:val="18"/>
          <w:szCs w:val="18"/>
          <w:color w:val="auto"/>
        </w:rPr>
        <w:t>Holdings II, LLC, VHCP Management, LLC, VHCP Management II, LLC, Bong Koh and Nimish Shah are members of a group for the purposes of this Schedule 13G/A.</w:t>
      </w:r>
    </w:p>
    <w:p>
      <w:pPr>
        <w:spacing w:after="0" w:line="223" w:lineRule="exact"/>
        <w:rPr>
          <w:sz w:val="20"/>
          <w:szCs w:val="20"/>
          <w:color w:val="auto"/>
        </w:rPr>
      </w:pPr>
    </w:p>
    <w:p>
      <w:pPr>
        <w:jc w:val="both"/>
        <w:ind w:left="280" w:right="280" w:hanging="323"/>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2</w:t>
      </w:r>
      <w:r>
        <w:rPr>
          <w:rFonts w:ascii="Arial" w:cs="Arial" w:eastAsia="Arial" w:hAnsi="Arial"/>
          <w:sz w:val="22"/>
          <w:szCs w:val="22"/>
          <w:color w:val="auto"/>
        </w:rPr>
        <w:t xml:space="preserve">) </w:t>
      </w:r>
      <w:r>
        <w:rPr>
          <w:rFonts w:ascii="Arial" w:cs="Arial" w:eastAsia="Arial" w:hAnsi="Arial"/>
          <w:sz w:val="18"/>
          <w:szCs w:val="18"/>
          <w:color w:val="auto"/>
        </w:rPr>
        <w:t>Consists of 557,018 ordinary shares owned by Venrock Healthcare Capital Partners, L.P., 101,892 ordinary shares owned by VHCP Co-Investment</w:t>
      </w:r>
      <w:r>
        <w:rPr>
          <w:rFonts w:ascii="Arial" w:cs="Arial" w:eastAsia="Arial" w:hAnsi="Arial"/>
          <w:sz w:val="22"/>
          <w:szCs w:val="22"/>
          <w:color w:val="auto"/>
        </w:rPr>
        <w:t xml:space="preserve"> </w:t>
      </w:r>
      <w:r>
        <w:rPr>
          <w:rFonts w:ascii="Arial" w:cs="Arial" w:eastAsia="Arial" w:hAnsi="Arial"/>
          <w:sz w:val="18"/>
          <w:szCs w:val="18"/>
          <w:color w:val="auto"/>
        </w:rPr>
        <w:t>Holdings, LLC, 1,229,804 ordinary shares owned by Venrock Healthcare Capital Partners II, L.P. and 307,659 ordinary shares owned by VHCP Co-Investment Holdings II, LLC.</w:t>
      </w:r>
    </w:p>
    <w:p>
      <w:pPr>
        <w:spacing w:after="0" w:line="223" w:lineRule="exact"/>
        <w:rPr>
          <w:sz w:val="20"/>
          <w:szCs w:val="20"/>
          <w:color w:val="auto"/>
        </w:rPr>
      </w:pPr>
    </w:p>
    <w:p>
      <w:pPr>
        <w:ind w:left="280" w:right="380" w:hanging="323"/>
        <w:spacing w:after="0" w:line="227"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3</w:t>
      </w:r>
      <w:r>
        <w:rPr>
          <w:rFonts w:ascii="Arial" w:cs="Arial" w:eastAsia="Arial" w:hAnsi="Arial"/>
          <w:sz w:val="22"/>
          <w:szCs w:val="22"/>
          <w:color w:val="auto"/>
        </w:rPr>
        <w:t xml:space="preserve">) </w:t>
      </w:r>
      <w:r>
        <w:rPr>
          <w:rFonts w:ascii="Arial" w:cs="Arial" w:eastAsia="Arial" w:hAnsi="Arial"/>
          <w:sz w:val="18"/>
          <w:szCs w:val="18"/>
          <w:color w:val="auto"/>
        </w:rPr>
        <w:t>This percentage is calculated based upon 27,560,920 ordinary shares outstanding as of December 31, 2015, as set forth in Issuer’s annual report on</w:t>
      </w:r>
      <w:r>
        <w:rPr>
          <w:rFonts w:ascii="Arial" w:cs="Arial" w:eastAsia="Arial" w:hAnsi="Arial"/>
          <w:sz w:val="22"/>
          <w:szCs w:val="22"/>
          <w:color w:val="auto"/>
        </w:rPr>
        <w:t xml:space="preserve"> </w:t>
      </w:r>
      <w:r>
        <w:rPr>
          <w:rFonts w:ascii="Arial" w:cs="Arial" w:eastAsia="Arial" w:hAnsi="Arial"/>
          <w:sz w:val="18"/>
          <w:szCs w:val="18"/>
          <w:color w:val="auto"/>
        </w:rPr>
        <w:t>Form 20-F filed with the Securities and Exchange Commission on March 4, 2016.</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CUSIP No. M2239P109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right="8240" w:hanging="620"/>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 of Reporting Persons Koh, Bong</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160" w:hanging="1159"/>
        <w:spacing w:after="0"/>
        <w:tabs>
          <w:tab w:leader="none" w:pos="2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x(1)</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620" w:hanging="620"/>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-945515</wp:posOffset>
            </wp:positionV>
            <wp:extent cx="58743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-1159510</wp:posOffset>
            </wp:positionV>
            <wp:extent cx="58743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-1777365</wp:posOffset>
            </wp:positionV>
            <wp:extent cx="66122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240"/>
          </w:cols>
          <w:pgMar w:left="300" w:top="125" w:right="359" w:bottom="0" w:gutter="0" w:footer="0" w:header="0"/>
          <w:type w:val="continuous"/>
        </w:sectPr>
      </w:pPr>
    </w:p>
    <w:bookmarkStart w:id="7" w:name="page8"/>
    <w:bookmarkEnd w:id="7"/>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2,196,373(2)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2,196,373(2)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66" w:orient="portrait"/>
          <w:cols w:equalWidth="0" w:num="2">
            <w:col w:w="2040" w:space="720"/>
            <w:col w:w="8660"/>
          </w:cols>
          <w:pgMar w:left="240" w:top="449" w:right="239" w:bottom="0" w:gutter="0" w:footer="0" w:header="0"/>
        </w:sectPr>
      </w:pPr>
    </w:p>
    <w:p>
      <w:pPr>
        <w:spacing w:after="0" w:line="227" w:lineRule="exact"/>
        <w:rPr>
          <w:sz w:val="20"/>
          <w:szCs w:val="20"/>
          <w:color w:val="auto"/>
        </w:rPr>
      </w:pPr>
    </w:p>
    <w:p>
      <w:pPr>
        <w:ind w:left="1060" w:right="5560" w:hanging="620"/>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2,196,373(2)</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560" w:hanging="620"/>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 8.0%(3)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-1057275</wp:posOffset>
            </wp:positionV>
            <wp:extent cx="66122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-1468755</wp:posOffset>
            </wp:positionV>
            <wp:extent cx="6612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18268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340" w:right="120" w:hanging="323"/>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1</w:t>
      </w:r>
      <w:r>
        <w:rPr>
          <w:rFonts w:ascii="Arial" w:cs="Arial" w:eastAsia="Arial" w:hAnsi="Arial"/>
          <w:sz w:val="22"/>
          <w:szCs w:val="22"/>
          <w:color w:val="auto"/>
        </w:rPr>
        <w:t xml:space="preserve">) </w:t>
      </w:r>
      <w:r>
        <w:rPr>
          <w:rFonts w:ascii="Arial" w:cs="Arial" w:eastAsia="Arial" w:hAnsi="Arial"/>
          <w:sz w:val="18"/>
          <w:szCs w:val="18"/>
          <w:color w:val="auto"/>
        </w:rPr>
        <w:t>Venrock Healthcare Capital Partners, L.P., VHCP Co-Investment Holdings, LLC, Venrock Healthcare Capital Partners II, L.P., VHCP Co-Investment</w:t>
      </w:r>
      <w:r>
        <w:rPr>
          <w:rFonts w:ascii="Arial" w:cs="Arial" w:eastAsia="Arial" w:hAnsi="Arial"/>
          <w:sz w:val="22"/>
          <w:szCs w:val="22"/>
          <w:color w:val="auto"/>
        </w:rPr>
        <w:t xml:space="preserve"> </w:t>
      </w:r>
      <w:r>
        <w:rPr>
          <w:rFonts w:ascii="Arial" w:cs="Arial" w:eastAsia="Arial" w:hAnsi="Arial"/>
          <w:sz w:val="18"/>
          <w:szCs w:val="18"/>
          <w:color w:val="auto"/>
        </w:rPr>
        <w:t>Holdings II, LLC, VHCP Management, LLC, VHCP Management II, LLC, Bong Koh and Nimish Shah are members of a group for the purposes of this Schedule 13G/A.</w:t>
      </w:r>
    </w:p>
    <w:p>
      <w:pPr>
        <w:spacing w:after="0" w:line="223" w:lineRule="exact"/>
        <w:rPr>
          <w:sz w:val="20"/>
          <w:szCs w:val="20"/>
          <w:color w:val="auto"/>
        </w:rPr>
      </w:pPr>
    </w:p>
    <w:p>
      <w:pPr>
        <w:jc w:val="both"/>
        <w:ind w:left="340" w:right="400" w:hanging="323"/>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2</w:t>
      </w:r>
      <w:r>
        <w:rPr>
          <w:rFonts w:ascii="Arial" w:cs="Arial" w:eastAsia="Arial" w:hAnsi="Arial"/>
          <w:sz w:val="22"/>
          <w:szCs w:val="22"/>
          <w:color w:val="auto"/>
        </w:rPr>
        <w:t xml:space="preserve">) </w:t>
      </w:r>
      <w:r>
        <w:rPr>
          <w:rFonts w:ascii="Arial" w:cs="Arial" w:eastAsia="Arial" w:hAnsi="Arial"/>
          <w:sz w:val="18"/>
          <w:szCs w:val="18"/>
          <w:color w:val="auto"/>
        </w:rPr>
        <w:t>Consists of 557,018 ordinary shares owned by Venrock Healthcare Capital Partners, L.P., 101,892 ordinary shares owned by VHCP Co-Investment</w:t>
      </w:r>
      <w:r>
        <w:rPr>
          <w:rFonts w:ascii="Arial" w:cs="Arial" w:eastAsia="Arial" w:hAnsi="Arial"/>
          <w:sz w:val="22"/>
          <w:szCs w:val="22"/>
          <w:color w:val="auto"/>
        </w:rPr>
        <w:t xml:space="preserve"> </w:t>
      </w:r>
      <w:r>
        <w:rPr>
          <w:rFonts w:ascii="Arial" w:cs="Arial" w:eastAsia="Arial" w:hAnsi="Arial"/>
          <w:sz w:val="18"/>
          <w:szCs w:val="18"/>
          <w:color w:val="auto"/>
        </w:rPr>
        <w:t>Holdings, LLC, 1,229,804 ordinary shares owned by Venrock Healthcare Capital Partners II, L.P. and 307,659 ordinary shares owned by VHCP Co-Investment Holdings II, LLC.</w:t>
      </w:r>
    </w:p>
    <w:p>
      <w:pPr>
        <w:spacing w:after="0" w:line="223" w:lineRule="exact"/>
        <w:rPr>
          <w:sz w:val="20"/>
          <w:szCs w:val="20"/>
          <w:color w:val="auto"/>
        </w:rPr>
      </w:pPr>
    </w:p>
    <w:p>
      <w:pPr>
        <w:ind w:left="340" w:right="500" w:hanging="323"/>
        <w:spacing w:after="0" w:line="227" w:lineRule="auto"/>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3</w:t>
      </w:r>
      <w:r>
        <w:rPr>
          <w:rFonts w:ascii="Arial" w:cs="Arial" w:eastAsia="Arial" w:hAnsi="Arial"/>
          <w:sz w:val="22"/>
          <w:szCs w:val="22"/>
          <w:color w:val="auto"/>
        </w:rPr>
        <w:t xml:space="preserve">) </w:t>
      </w:r>
      <w:r>
        <w:rPr>
          <w:rFonts w:ascii="Arial" w:cs="Arial" w:eastAsia="Arial" w:hAnsi="Arial"/>
          <w:sz w:val="18"/>
          <w:szCs w:val="18"/>
          <w:color w:val="auto"/>
        </w:rPr>
        <w:t>This percentage is calculated based upon 27,560,920 ordinary shares outstanding as of December 31, 2015, as set forth in Issuer’s annual report on</w:t>
      </w:r>
      <w:r>
        <w:rPr>
          <w:rFonts w:ascii="Arial" w:cs="Arial" w:eastAsia="Arial" w:hAnsi="Arial"/>
          <w:sz w:val="22"/>
          <w:szCs w:val="22"/>
          <w:color w:val="auto"/>
        </w:rPr>
        <w:t xml:space="preserve"> </w:t>
      </w:r>
      <w:r>
        <w:rPr>
          <w:rFonts w:ascii="Arial" w:cs="Arial" w:eastAsia="Arial" w:hAnsi="Arial"/>
          <w:sz w:val="18"/>
          <w:szCs w:val="18"/>
          <w:color w:val="auto"/>
        </w:rPr>
        <w:t>Form 20-F filed with the Securities and Exchange Commission on March 4, 2016.</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M2239P109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Introductory Note: </w:t>
      </w:r>
      <w:r>
        <w:rPr>
          <w:rFonts w:ascii="Arial" w:cs="Arial" w:eastAsia="Arial" w:hAnsi="Arial"/>
          <w:sz w:val="18"/>
          <w:szCs w:val="18"/>
          <w:color w:val="auto"/>
        </w:rPr>
        <w:t>This Schedule 13G/A is filed on behalf of Venrock Healthcare Capital Partners, L.P., a limited partnership organized under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of Delaware (“VHCP LP”), VHCP Co-Investment Holdings, LLC, a limited liability company organized under the laws of the State of Delaware (“VHCP Co-Investment”), Venrock Healthcare Capital Partners II, L.P., a limited partnership organized under the laws of the State of Delaware (“VHCP II LP”), VHCP Co-Investment Holdings II, LLC, a limited liability company organized under the laws of the State of Delaware (“VHCP Co-Investment II”), VHCP Management, LLC, a limited liability company organized under the laws of the State of Delaware (“VHCP Management”), VHCP Management II, LLC, a limited liability company organized under the laws of the State of Delaware (“VHCP Management II” and collectively with VHCP LP, VHCP II LP, VHCP Co-Investment II, VHCP Management and VHCP Co-Investment, the “Venrock Entities”), Bong Koh (“Koh”) and Nimish Shah (“Shah”) in respect of ordinary shares of Alcobra Ltd.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520" w:right="8800" w:hanging="499"/>
        <w:spacing w:after="0" w:line="342" w:lineRule="auto"/>
        <w:tabs>
          <w:tab w:leader="none" w:pos="1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Name of Issuer Alcobra Ltd.</w:t>
      </w:r>
    </w:p>
    <w:p>
      <w:pPr>
        <w:spacing w:after="0" w:line="29" w:lineRule="exact"/>
        <w:rPr>
          <w:rFonts w:ascii="Arial" w:cs="Arial" w:eastAsia="Arial" w:hAnsi="Arial"/>
          <w:sz w:val="16"/>
          <w:szCs w:val="16"/>
          <w:color w:val="auto"/>
        </w:rPr>
      </w:pPr>
    </w:p>
    <w:p>
      <w:pPr>
        <w:ind w:left="1520" w:right="6480" w:hanging="499"/>
        <w:spacing w:after="0" w:line="258" w:lineRule="auto"/>
        <w:tabs>
          <w:tab w:leader="none" w:pos="1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 of Issuer’s Principal Executive Offices Azrieli Triangle Building</w:t>
      </w:r>
    </w:p>
    <w:p>
      <w:pPr>
        <w:spacing w:after="0" w:line="1" w:lineRule="exact"/>
        <w:rPr>
          <w:rFonts w:ascii="Arial" w:cs="Arial" w:eastAsia="Arial" w:hAnsi="Arial"/>
          <w:sz w:val="18"/>
          <w:szCs w:val="18"/>
          <w:color w:val="auto"/>
        </w:rPr>
      </w:pPr>
    </w:p>
    <w:p>
      <w:pPr>
        <w:ind w:left="1520" w:right="6940"/>
        <w:spacing w:after="0" w:line="261" w:lineRule="auto"/>
        <w:rPr>
          <w:rFonts w:ascii="Arial" w:cs="Arial" w:eastAsia="Arial" w:hAnsi="Arial"/>
          <w:sz w:val="18"/>
          <w:szCs w:val="18"/>
          <w:color w:val="auto"/>
        </w:rPr>
      </w:pPr>
      <w:r>
        <w:rPr>
          <w:rFonts w:ascii="Arial" w:cs="Arial" w:eastAsia="Arial" w:hAnsi="Arial"/>
          <w:sz w:val="18"/>
          <w:szCs w:val="18"/>
          <w:color w:val="auto"/>
        </w:rPr>
        <w:t>132 Derech Menachem Begin 39th Floor Tel Aviv 6701101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22860</wp:posOffset>
            </wp:positionV>
            <wp:extent cx="63201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20155" cy="8890"/>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-602615</wp:posOffset>
            </wp:positionV>
            <wp:extent cx="63201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520" w:hanging="499"/>
        <w:spacing w:after="0"/>
        <w:tabs>
          <w:tab w:leader="none" w:pos="1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520" w:right="6900"/>
        <w:spacing w:after="0" w:line="323" w:lineRule="auto"/>
        <w:rPr>
          <w:rFonts w:ascii="Arial" w:cs="Arial" w:eastAsia="Arial" w:hAnsi="Arial"/>
          <w:sz w:val="18"/>
          <w:szCs w:val="18"/>
          <w:color w:val="auto"/>
        </w:rPr>
      </w:pPr>
      <w:r>
        <w:rPr>
          <w:rFonts w:ascii="Arial" w:cs="Arial" w:eastAsia="Arial" w:hAnsi="Arial"/>
          <w:sz w:val="16"/>
          <w:szCs w:val="16"/>
          <w:color w:val="auto"/>
        </w:rPr>
        <w:t>Venrock Healthcare Capital Partners, L.P. VHCP Co-Investment Holdings, LLC</w:t>
      </w:r>
    </w:p>
    <w:p>
      <w:pPr>
        <w:sectPr>
          <w:pgSz w:w="11900" w:h="16866" w:orient="portrait"/>
          <w:cols w:equalWidth="0" w:num="1">
            <w:col w:w="11420"/>
          </w:cols>
          <w:pgMar w:left="240" w:top="449" w:right="239" w:bottom="0" w:gutter="0" w:footer="0" w:header="0"/>
          <w:type w:val="continuous"/>
        </w:sectPr>
      </w:pPr>
    </w:p>
    <w:bookmarkStart w:id="8" w:name="page9"/>
    <w:bookmarkEnd w:id="8"/>
    <w:p>
      <w:pPr>
        <w:ind w:left="1460"/>
        <w:spacing w:after="0"/>
        <w:rPr>
          <w:sz w:val="20"/>
          <w:szCs w:val="20"/>
          <w:color w:val="auto"/>
        </w:rPr>
      </w:pPr>
      <w:r>
        <w:rPr>
          <w:rFonts w:ascii="Arial" w:cs="Arial" w:eastAsia="Arial" w:hAnsi="Arial"/>
          <w:sz w:val="18"/>
          <w:szCs w:val="18"/>
          <w:color w:val="auto"/>
        </w:rPr>
        <w:t>Venrock Healthcare Capital Partners II, L.P.</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VHCP Co-Investment Holdings II, LLC</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VHCP Management, LLC</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VHCP Management II, LLC</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Bong Koh</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Nimish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40005</wp:posOffset>
            </wp:positionV>
            <wp:extent cx="63201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312" w:lineRule="exact"/>
        <w:rPr>
          <w:sz w:val="20"/>
          <w:szCs w:val="20"/>
          <w:color w:val="auto"/>
        </w:rPr>
      </w:pPr>
    </w:p>
    <w:p>
      <w:pPr>
        <w:ind w:left="1460" w:hanging="499"/>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71"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New York Office:</w:t>
            </w:r>
          </w:p>
        </w:tc>
        <w:tc>
          <w:tcPr>
            <w:tcW w:w="300" w:type="dxa"/>
            <w:vAlign w:val="bottom"/>
          </w:tcPr>
          <w:p>
            <w:pPr>
              <w:spacing w:after="0"/>
              <w:rPr>
                <w:sz w:val="14"/>
                <w:szCs w:val="14"/>
                <w:color w:val="auto"/>
              </w:rPr>
            </w:pPr>
          </w:p>
        </w:tc>
        <w:tc>
          <w:tcPr>
            <w:tcW w:w="286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Palo Alto Office:</w:t>
            </w:r>
          </w:p>
        </w:tc>
        <w:tc>
          <w:tcPr>
            <w:tcW w:w="300" w:type="dxa"/>
            <w:vAlign w:val="bottom"/>
          </w:tcPr>
          <w:p>
            <w:pPr>
              <w:spacing w:after="0"/>
              <w:rPr>
                <w:sz w:val="14"/>
                <w:szCs w:val="14"/>
                <w:color w:val="auto"/>
              </w:rPr>
            </w:pPr>
          </w:p>
        </w:tc>
        <w:tc>
          <w:tcPr>
            <w:tcW w:w="300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Boston Office:</w:t>
            </w:r>
          </w:p>
        </w:tc>
        <w:tc>
          <w:tcPr>
            <w:tcW w:w="460" w:type="dxa"/>
            <w:vAlign w:val="bottom"/>
          </w:tcPr>
          <w:p>
            <w:pPr>
              <w:spacing w:after="0"/>
              <w:rPr>
                <w:sz w:val="14"/>
                <w:szCs w:val="14"/>
                <w:color w:val="auto"/>
              </w:rPr>
            </w:pPr>
          </w:p>
        </w:tc>
      </w:tr>
      <w:tr>
        <w:trPr>
          <w:trHeight w:val="210"/>
        </w:trPr>
        <w:tc>
          <w:tcPr>
            <w:tcW w:w="2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530 Fifth Avenue</w:t>
            </w:r>
          </w:p>
        </w:tc>
        <w:tc>
          <w:tcPr>
            <w:tcW w:w="31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3340 Hillview Avenue</w:t>
            </w:r>
          </w:p>
        </w:tc>
        <w:tc>
          <w:tcPr>
            <w:tcW w:w="3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34 Farnsworth Street</w:t>
            </w:r>
          </w:p>
        </w:tc>
        <w:tc>
          <w:tcPr>
            <w:tcW w:w="460" w:type="dxa"/>
            <w:vAlign w:val="bottom"/>
          </w:tcPr>
          <w:p>
            <w:pPr>
              <w:spacing w:after="0"/>
              <w:rPr>
                <w:sz w:val="18"/>
                <w:szCs w:val="18"/>
                <w:color w:val="auto"/>
              </w:rPr>
            </w:pPr>
          </w:p>
        </w:tc>
      </w:tr>
      <w:tr>
        <w:trPr>
          <w:trHeight w:val="432"/>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22nd Floor</w:t>
            </w:r>
          </w:p>
        </w:tc>
        <w:tc>
          <w:tcPr>
            <w:tcW w:w="30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Palo Alto, CA 94304</w:t>
            </w:r>
          </w:p>
        </w:tc>
        <w:tc>
          <w:tcPr>
            <w:tcW w:w="33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3rd Floor</w:t>
            </w:r>
          </w:p>
        </w:tc>
        <w:tc>
          <w:tcPr>
            <w:tcW w:w="460" w:type="dxa"/>
            <w:vAlign w:val="bottom"/>
          </w:tcPr>
          <w:p>
            <w:pPr>
              <w:spacing w:after="0"/>
              <w:rPr>
                <w:sz w:val="24"/>
                <w:szCs w:val="24"/>
                <w:color w:val="auto"/>
              </w:rPr>
            </w:pPr>
          </w:p>
        </w:tc>
      </w:tr>
      <w:tr>
        <w:trPr>
          <w:trHeight w:val="432"/>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10036</w:t>
            </w:r>
          </w:p>
        </w:tc>
        <w:tc>
          <w:tcPr>
            <w:tcW w:w="30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Boston, MA 02210</w:t>
            </w:r>
          </w:p>
        </w:tc>
        <w:tc>
          <w:tcPr>
            <w:tcW w:w="460" w:type="dxa"/>
            <w:vAlign w:val="bottom"/>
          </w:tcPr>
          <w:p>
            <w:pPr>
              <w:spacing w:after="0"/>
              <w:rPr>
                <w:sz w:val="24"/>
                <w:szCs w:val="24"/>
                <w:color w:val="auto"/>
              </w:rPr>
            </w:pPr>
          </w:p>
        </w:tc>
      </w:tr>
      <w:tr>
        <w:trPr>
          <w:trHeight w:val="95"/>
        </w:trPr>
        <w:tc>
          <w:tcPr>
            <w:tcW w:w="200" w:type="dxa"/>
            <w:vAlign w:val="bottom"/>
          </w:tcPr>
          <w:p>
            <w:pPr>
              <w:spacing w:after="0"/>
              <w:rPr>
                <w:sz w:val="8"/>
                <w:szCs w:val="8"/>
                <w:color w:val="auto"/>
              </w:rPr>
            </w:pPr>
          </w:p>
        </w:tc>
        <w:tc>
          <w:tcPr>
            <w:tcW w:w="27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0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bl>
    <w:p>
      <w:pPr>
        <w:spacing w:after="0" w:line="40" w:lineRule="exact"/>
        <w:rPr>
          <w:sz w:val="20"/>
          <w:szCs w:val="20"/>
          <w:color w:val="auto"/>
        </w:rPr>
      </w:pPr>
    </w:p>
    <w:p>
      <w:pPr>
        <w:ind w:left="1580" w:hanging="484"/>
        <w:spacing w:after="0"/>
        <w:tabs>
          <w:tab w:leader="none" w:pos="1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Each of the Venrock Entities was organized in Delaware. Koh and Shah are both United States citizens.</w:t>
      </w:r>
    </w:p>
    <w:p>
      <w:pPr>
        <w:spacing w:after="0" w:line="116" w:lineRule="exact"/>
        <w:rPr>
          <w:rFonts w:ascii="Arial" w:cs="Arial" w:eastAsia="Arial" w:hAnsi="Arial"/>
          <w:sz w:val="18"/>
          <w:szCs w:val="18"/>
          <w:color w:val="auto"/>
        </w:rPr>
      </w:pPr>
    </w:p>
    <w:p>
      <w:pPr>
        <w:ind w:left="1580" w:hanging="484"/>
        <w:spacing w:after="0"/>
        <w:tabs>
          <w:tab w:leader="none" w:pos="1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Ordinary shares, par value NIS 0.01 per share</w:t>
      </w:r>
    </w:p>
    <w:p>
      <w:pPr>
        <w:spacing w:after="0" w:line="116" w:lineRule="exact"/>
        <w:rPr>
          <w:rFonts w:ascii="Arial" w:cs="Arial" w:eastAsia="Arial" w:hAnsi="Arial"/>
          <w:sz w:val="18"/>
          <w:szCs w:val="18"/>
          <w:color w:val="auto"/>
        </w:rPr>
      </w:pPr>
    </w:p>
    <w:p>
      <w:pPr>
        <w:ind w:left="1580" w:right="8420" w:hanging="484"/>
        <w:spacing w:after="0" w:line="342" w:lineRule="auto"/>
        <w:tabs>
          <w:tab w:leader="none" w:pos="1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CUSIP Number M223P109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970280</wp:posOffset>
            </wp:positionH>
            <wp:positionV relativeFrom="paragraph">
              <wp:posOffset>-14605</wp:posOffset>
            </wp:positionV>
            <wp:extent cx="61061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106160" cy="8890"/>
                    </a:xfrm>
                    <a:prstGeom prst="rect">
                      <a:avLst/>
                    </a:prstGeom>
                    <a:noFill/>
                  </pic:spPr>
                </pic:pic>
              </a:graphicData>
            </a:graphic>
          </wp:anchor>
        </w:drawing>
        <w:drawing>
          <wp:anchor simplePos="0" relativeHeight="251657728" behindDoc="1" locked="0" layoutInCell="0" allowOverlap="1">
            <wp:simplePos x="0" y="0"/>
            <wp:positionH relativeFrom="column">
              <wp:posOffset>970280</wp:posOffset>
            </wp:positionH>
            <wp:positionV relativeFrom="paragraph">
              <wp:posOffset>-366395</wp:posOffset>
            </wp:positionV>
            <wp:extent cx="61061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06160" cy="8890"/>
                    </a:xfrm>
                    <a:prstGeom prst="rect">
                      <a:avLst/>
                    </a:prstGeom>
                    <a:noFill/>
                  </pic:spPr>
                </pic:pic>
              </a:graphicData>
            </a:graphic>
          </wp:anchor>
        </w:drawing>
        <w:drawing>
          <wp:anchor simplePos="0" relativeHeight="251657728" behindDoc="1" locked="0" layoutInCell="0" allowOverlap="1">
            <wp:simplePos x="0" y="0"/>
            <wp:positionH relativeFrom="column">
              <wp:posOffset>970280</wp:posOffset>
            </wp:positionH>
            <wp:positionV relativeFrom="paragraph">
              <wp:posOffset>-717550</wp:posOffset>
            </wp:positionV>
            <wp:extent cx="61061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316" w:lineRule="exact"/>
        <w:rPr>
          <w:sz w:val="20"/>
          <w:szCs w:val="20"/>
          <w:color w:val="auto"/>
        </w:rPr>
      </w:pPr>
    </w:p>
    <w:p>
      <w:pPr>
        <w:ind w:left="16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CUSIP No. M2239P109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75" w:lineRule="exact"/>
        <w:rPr>
          <w:sz w:val="20"/>
          <w:szCs w:val="20"/>
          <w:color w:val="auto"/>
        </w:rPr>
      </w:pPr>
    </w:p>
    <w:p>
      <w:pPr>
        <w:ind w:left="1660" w:hanging="380"/>
        <w:spacing w:after="0"/>
        <w:tabs>
          <w:tab w:leader="none" w:pos="1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beneficially owned as of December 31, 2016:</w:t>
      </w:r>
    </w:p>
    <w:p>
      <w:pPr>
        <w:spacing w:after="0" w:line="226"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Venrock Healthcare Capital Partners, L.P.</w:t>
            </w:r>
          </w:p>
        </w:tc>
        <w:tc>
          <w:tcPr>
            <w:tcW w:w="2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2,196,373(1)</w:t>
            </w:r>
          </w:p>
        </w:tc>
        <w:tc>
          <w:tcPr>
            <w:tcW w:w="18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VHCP Co-Investment Holdings, LLC</w:t>
            </w:r>
          </w:p>
        </w:tc>
        <w:tc>
          <w:tcPr>
            <w:tcW w:w="2800" w:type="dxa"/>
            <w:vAlign w:val="bottom"/>
          </w:tcPr>
          <w:p>
            <w:pPr>
              <w:jc w:val="right"/>
              <w:ind w:right="30"/>
              <w:spacing w:after="0"/>
              <w:rPr>
                <w:sz w:val="20"/>
                <w:szCs w:val="20"/>
                <w:color w:val="auto"/>
              </w:rPr>
            </w:pPr>
            <w:r>
              <w:rPr>
                <w:rFonts w:ascii="Arial" w:cs="Arial" w:eastAsia="Arial" w:hAnsi="Arial"/>
                <w:sz w:val="18"/>
                <w:szCs w:val="18"/>
                <w:color w:val="auto"/>
              </w:rPr>
              <w:t>2,196,373(1)</w:t>
            </w:r>
          </w:p>
        </w:tc>
        <w:tc>
          <w:tcPr>
            <w:tcW w:w="18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2,196,373(1)</w:t>
            </w:r>
          </w:p>
        </w:tc>
        <w:tc>
          <w:tcPr>
            <w:tcW w:w="18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VHCP Co-Investment Holdings II, LLC</w:t>
            </w:r>
          </w:p>
        </w:tc>
        <w:tc>
          <w:tcPr>
            <w:tcW w:w="2800" w:type="dxa"/>
            <w:vAlign w:val="bottom"/>
          </w:tcPr>
          <w:p>
            <w:pPr>
              <w:jc w:val="right"/>
              <w:ind w:right="30"/>
              <w:spacing w:after="0"/>
              <w:rPr>
                <w:sz w:val="20"/>
                <w:szCs w:val="20"/>
                <w:color w:val="auto"/>
              </w:rPr>
            </w:pPr>
            <w:r>
              <w:rPr>
                <w:rFonts w:ascii="Arial" w:cs="Arial" w:eastAsia="Arial" w:hAnsi="Arial"/>
                <w:sz w:val="18"/>
                <w:szCs w:val="18"/>
                <w:color w:val="auto"/>
              </w:rPr>
              <w:t>2,196,373(1)</w:t>
            </w:r>
          </w:p>
        </w:tc>
        <w:tc>
          <w:tcPr>
            <w:tcW w:w="18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VHCP Management, LLC</w:t>
            </w:r>
          </w:p>
        </w:tc>
        <w:tc>
          <w:tcPr>
            <w:tcW w:w="2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2,196,373(1)</w:t>
            </w:r>
          </w:p>
        </w:tc>
        <w:tc>
          <w:tcPr>
            <w:tcW w:w="18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VHCP Management II, LLC</w:t>
            </w:r>
          </w:p>
        </w:tc>
        <w:tc>
          <w:tcPr>
            <w:tcW w:w="2800" w:type="dxa"/>
            <w:vAlign w:val="bottom"/>
          </w:tcPr>
          <w:p>
            <w:pPr>
              <w:jc w:val="right"/>
              <w:ind w:right="30"/>
              <w:spacing w:after="0"/>
              <w:rPr>
                <w:sz w:val="20"/>
                <w:szCs w:val="20"/>
                <w:color w:val="auto"/>
              </w:rPr>
            </w:pPr>
            <w:r>
              <w:rPr>
                <w:rFonts w:ascii="Arial" w:cs="Arial" w:eastAsia="Arial" w:hAnsi="Arial"/>
                <w:sz w:val="18"/>
                <w:szCs w:val="18"/>
                <w:color w:val="auto"/>
              </w:rPr>
              <w:t>2,196,373(1)</w:t>
            </w:r>
          </w:p>
        </w:tc>
        <w:tc>
          <w:tcPr>
            <w:tcW w:w="18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Bong Koh</w:t>
            </w:r>
          </w:p>
        </w:tc>
        <w:tc>
          <w:tcPr>
            <w:tcW w:w="2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2,196,373(1)</w:t>
            </w:r>
          </w:p>
        </w:tc>
        <w:tc>
          <w:tcPr>
            <w:tcW w:w="184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Nimish Shah</w:t>
            </w:r>
          </w:p>
        </w:tc>
        <w:tc>
          <w:tcPr>
            <w:tcW w:w="2800" w:type="dxa"/>
            <w:vAlign w:val="bottom"/>
          </w:tcPr>
          <w:p>
            <w:pPr>
              <w:jc w:val="right"/>
              <w:ind w:right="30"/>
              <w:spacing w:after="0"/>
              <w:rPr>
                <w:sz w:val="20"/>
                <w:szCs w:val="20"/>
                <w:color w:val="auto"/>
              </w:rPr>
            </w:pPr>
            <w:r>
              <w:rPr>
                <w:rFonts w:ascii="Arial" w:cs="Arial" w:eastAsia="Arial" w:hAnsi="Arial"/>
                <w:sz w:val="18"/>
                <w:szCs w:val="18"/>
                <w:color w:val="auto"/>
              </w:rPr>
              <w:t>2,196,373(1)</w:t>
            </w:r>
          </w:p>
        </w:tc>
        <w:tc>
          <w:tcPr>
            <w:tcW w:w="1840" w:type="dxa"/>
            <w:vAlign w:val="bottom"/>
          </w:tcPr>
          <w:p>
            <w:pPr>
              <w:spacing w:after="0"/>
              <w:rPr>
                <w:sz w:val="20"/>
                <w:szCs w:val="20"/>
                <w:color w:val="auto"/>
              </w:rPr>
            </w:pPr>
          </w:p>
        </w:tc>
      </w:tr>
      <w:tr>
        <w:trPr>
          <w:trHeight w:val="80"/>
        </w:trPr>
        <w:tc>
          <w:tcPr>
            <w:tcW w:w="320" w:type="dxa"/>
            <w:vAlign w:val="bottom"/>
            <w:gridSpan w:val="2"/>
          </w:tcPr>
          <w:p>
            <w:pPr>
              <w:spacing w:after="0"/>
              <w:rPr>
                <w:sz w:val="6"/>
                <w:szCs w:val="6"/>
                <w:color w:val="auto"/>
              </w:rPr>
            </w:pPr>
          </w:p>
        </w:tc>
        <w:tc>
          <w:tcPr>
            <w:tcW w:w="4860" w:type="dxa"/>
            <w:vAlign w:val="bottom"/>
            <w:tcBorders>
              <w:bottom w:val="single" w:sz="8" w:color="auto"/>
            </w:tcBorders>
          </w:tcPr>
          <w:p>
            <w:pPr>
              <w:spacing w:after="0"/>
              <w:rPr>
                <w:sz w:val="6"/>
                <w:szCs w:val="6"/>
                <w:color w:val="auto"/>
              </w:rPr>
            </w:pPr>
          </w:p>
        </w:tc>
        <w:tc>
          <w:tcPr>
            <w:tcW w:w="280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r>
      <w:tr>
        <w:trPr>
          <w:trHeight w:val="318"/>
        </w:trPr>
        <w:tc>
          <w:tcPr>
            <w:tcW w:w="5180" w:type="dxa"/>
            <w:vAlign w:val="bottom"/>
            <w:gridSpan w:val="3"/>
          </w:tcPr>
          <w:p>
            <w:pPr>
              <w:spacing w:after="0"/>
              <w:rPr>
                <w:sz w:val="20"/>
                <w:szCs w:val="20"/>
                <w:color w:val="auto"/>
              </w:rPr>
            </w:pPr>
            <w:r>
              <w:rPr>
                <w:rFonts w:ascii="Arial" w:cs="Arial" w:eastAsia="Arial" w:hAnsi="Arial"/>
                <w:sz w:val="18"/>
                <w:szCs w:val="18"/>
                <w:color w:val="auto"/>
              </w:rPr>
              <w:t>(b)  Percent of class as of December 31, 2016:</w:t>
            </w:r>
          </w:p>
        </w:tc>
        <w:tc>
          <w:tcPr>
            <w:tcW w:w="2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120" w:type="dxa"/>
            <w:vAlign w:val="bottom"/>
          </w:tcPr>
          <w:p>
            <w:pPr>
              <w:spacing w:after="0"/>
              <w:rPr>
                <w:sz w:val="17"/>
                <w:szCs w:val="17"/>
                <w:color w:val="auto"/>
              </w:rPr>
            </w:pPr>
          </w:p>
        </w:tc>
        <w:tc>
          <w:tcPr>
            <w:tcW w:w="5060" w:type="dxa"/>
            <w:vAlign w:val="bottom"/>
            <w:gridSpan w:val="2"/>
          </w:tcPr>
          <w:p>
            <w:pPr>
              <w:spacing w:after="0"/>
              <w:rPr>
                <w:sz w:val="17"/>
                <w:szCs w:val="17"/>
                <w:color w:val="auto"/>
              </w:rPr>
            </w:pPr>
          </w:p>
        </w:tc>
        <w:tc>
          <w:tcPr>
            <w:tcW w:w="28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Venrock Healthcare Capital Partners, L.P.</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VHCP Co-Investment Holdings, LLC</w:t>
            </w:r>
          </w:p>
        </w:tc>
        <w:tc>
          <w:tcPr>
            <w:tcW w:w="2800" w:type="dxa"/>
            <w:vAlign w:val="bottom"/>
          </w:tcPr>
          <w:p>
            <w:pPr>
              <w:jc w:val="right"/>
              <w:spacing w:after="0"/>
              <w:rPr>
                <w:sz w:val="20"/>
                <w:szCs w:val="20"/>
                <w:color w:val="auto"/>
              </w:rPr>
            </w:pPr>
            <w:r>
              <w:rPr>
                <w:rFonts w:ascii="Arial" w:cs="Arial" w:eastAsia="Arial" w:hAnsi="Arial"/>
                <w:sz w:val="18"/>
                <w:szCs w:val="18"/>
                <w:color w:val="auto"/>
              </w:rPr>
              <w:t>8.0%</w:t>
            </w:r>
          </w:p>
        </w:tc>
        <w:tc>
          <w:tcPr>
            <w:tcW w:w="18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VHCP Co-Investment Holdings II, LLC</w:t>
            </w:r>
          </w:p>
        </w:tc>
        <w:tc>
          <w:tcPr>
            <w:tcW w:w="2800" w:type="dxa"/>
            <w:vAlign w:val="bottom"/>
          </w:tcPr>
          <w:p>
            <w:pPr>
              <w:jc w:val="right"/>
              <w:spacing w:after="0"/>
              <w:rPr>
                <w:sz w:val="20"/>
                <w:szCs w:val="20"/>
                <w:color w:val="auto"/>
              </w:rPr>
            </w:pPr>
            <w:r>
              <w:rPr>
                <w:rFonts w:ascii="Arial" w:cs="Arial" w:eastAsia="Arial" w:hAnsi="Arial"/>
                <w:sz w:val="18"/>
                <w:szCs w:val="18"/>
                <w:color w:val="auto"/>
              </w:rPr>
              <w:t>8.0%</w:t>
            </w:r>
          </w:p>
        </w:tc>
        <w:tc>
          <w:tcPr>
            <w:tcW w:w="18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VHCP Management, LLC</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VHCP Management II, LLC</w:t>
            </w:r>
          </w:p>
        </w:tc>
        <w:tc>
          <w:tcPr>
            <w:tcW w:w="2800" w:type="dxa"/>
            <w:vAlign w:val="bottom"/>
          </w:tcPr>
          <w:p>
            <w:pPr>
              <w:jc w:val="right"/>
              <w:spacing w:after="0"/>
              <w:rPr>
                <w:sz w:val="20"/>
                <w:szCs w:val="20"/>
                <w:color w:val="auto"/>
              </w:rPr>
            </w:pPr>
            <w:r>
              <w:rPr>
                <w:rFonts w:ascii="Arial" w:cs="Arial" w:eastAsia="Arial" w:hAnsi="Arial"/>
                <w:sz w:val="18"/>
                <w:szCs w:val="18"/>
                <w:color w:val="auto"/>
              </w:rPr>
              <w:t>8.0%</w:t>
            </w:r>
          </w:p>
        </w:tc>
        <w:tc>
          <w:tcPr>
            <w:tcW w:w="18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Bong Koh</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4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Nimish Shah</w:t>
            </w:r>
          </w:p>
        </w:tc>
        <w:tc>
          <w:tcPr>
            <w:tcW w:w="2800" w:type="dxa"/>
            <w:vAlign w:val="bottom"/>
          </w:tcPr>
          <w:p>
            <w:pPr>
              <w:jc w:val="right"/>
              <w:spacing w:after="0"/>
              <w:rPr>
                <w:sz w:val="20"/>
                <w:szCs w:val="20"/>
                <w:color w:val="auto"/>
              </w:rPr>
            </w:pPr>
            <w:r>
              <w:rPr>
                <w:rFonts w:ascii="Arial" w:cs="Arial" w:eastAsia="Arial" w:hAnsi="Arial"/>
                <w:sz w:val="18"/>
                <w:szCs w:val="18"/>
                <w:color w:val="auto"/>
              </w:rPr>
              <w:t>8.0%</w:t>
            </w:r>
          </w:p>
        </w:tc>
        <w:tc>
          <w:tcPr>
            <w:tcW w:w="18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1073150</wp:posOffset>
            </wp:positionH>
            <wp:positionV relativeFrom="paragraph">
              <wp:posOffset>50800</wp:posOffset>
            </wp:positionV>
            <wp:extent cx="596011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0110" cy="8890"/>
                    </a:xfrm>
                    <a:prstGeom prst="rect">
                      <a:avLst/>
                    </a:prstGeom>
                    <a:noFill/>
                  </pic:spPr>
                </pic:pic>
              </a:graphicData>
            </a:graphic>
          </wp:anchor>
        </w:drawing>
      </w:r>
    </w:p>
    <w:p>
      <w:pPr>
        <w:spacing w:after="0" w:line="167" w:lineRule="exact"/>
        <w:rPr>
          <w:sz w:val="20"/>
          <w:szCs w:val="20"/>
          <w:color w:val="auto"/>
        </w:rPr>
      </w:pPr>
    </w:p>
    <w:p>
      <w:pPr>
        <w:ind w:left="1740" w:hanging="379"/>
        <w:spacing w:after="0"/>
        <w:tabs>
          <w:tab w:leader="none" w:pos="1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Number of shares as to which the person has,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1073150</wp:posOffset>
            </wp:positionH>
            <wp:positionV relativeFrom="paragraph">
              <wp:posOffset>255270</wp:posOffset>
            </wp:positionV>
            <wp:extent cx="596011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011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1900" w:type="dxa"/>
        <w:tblCellMar>
          <w:top w:w="0" w:type="dxa"/>
          <w:left w:w="0" w:type="dxa"/>
          <w:bottom w:w="0" w:type="dxa"/>
          <w:right w:w="0" w:type="dxa"/>
        </w:tblCellMar>
      </w:tblPr>
      <w:tr>
        <w:trPr>
          <w:trHeight w:val="230"/>
        </w:trPr>
        <w:tc>
          <w:tcPr>
            <w:tcW w:w="5140" w:type="dxa"/>
            <w:vAlign w:val="bottom"/>
            <w:gridSpan w:val="3"/>
          </w:tcPr>
          <w:p>
            <w:pPr>
              <w:spacing w:after="0"/>
              <w:rPr>
                <w:sz w:val="20"/>
                <w:szCs w:val="20"/>
                <w:color w:val="auto"/>
              </w:rPr>
            </w:pPr>
            <w:r>
              <w:rPr>
                <w:rFonts w:ascii="Arial" w:cs="Arial" w:eastAsia="Arial" w:hAnsi="Arial"/>
                <w:sz w:val="18"/>
                <w:szCs w:val="18"/>
                <w:color w:val="auto"/>
              </w:rPr>
              <w:t>(i)   Sole power to vote or to direct the vote</w:t>
            </w:r>
          </w:p>
        </w:tc>
        <w:tc>
          <w:tcPr>
            <w:tcW w:w="2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03"/>
        </w:trPr>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6"/>
        </w:trPr>
        <w:tc>
          <w:tcPr>
            <w:tcW w:w="18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Venrock Healthcare Capital Partners, L.P.</w:t>
            </w:r>
          </w:p>
        </w:tc>
        <w:tc>
          <w:tcPr>
            <w:tcW w:w="2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8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VHCP Co-Investment Holdings, LLC</w:t>
            </w: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8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8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VHCP Co-Investment Holdings II, LLC</w:t>
            </w: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8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VHCP Management, LLC</w:t>
            </w:r>
          </w:p>
        </w:tc>
        <w:tc>
          <w:tcPr>
            <w:tcW w:w="2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8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VHCP Management II, LLC</w:t>
            </w: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8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Bong Koh</w:t>
            </w:r>
          </w:p>
        </w:tc>
        <w:tc>
          <w:tcPr>
            <w:tcW w:w="2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80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Nimish Shah</w:t>
            </w: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800" w:type="dxa"/>
            <w:vAlign w:val="bottom"/>
          </w:tcPr>
          <w:p>
            <w:pPr>
              <w:spacing w:after="0"/>
              <w:rPr>
                <w:sz w:val="20"/>
                <w:szCs w:val="20"/>
                <w:color w:val="auto"/>
              </w:rPr>
            </w:pPr>
          </w:p>
        </w:tc>
      </w:tr>
      <w:tr>
        <w:trPr>
          <w:trHeight w:val="80"/>
        </w:trPr>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700" w:type="dxa"/>
            <w:vAlign w:val="bottom"/>
            <w:tcBorders>
              <w:bottom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bl>
    <w:p>
      <w:pPr>
        <w:sectPr>
          <w:pgSz w:w="11900" w:h="16838" w:orient="portrait"/>
          <w:cols w:equalWidth="0" w:num="1">
            <w:col w:w="11140"/>
          </w:cols>
          <w:pgMar w:left="300" w:top="125" w:right="459" w:bottom="0" w:gutter="0" w:footer="0" w:header="0"/>
        </w:sectPr>
      </w:pPr>
    </w:p>
    <w:bookmarkStart w:id="9" w:name="page10"/>
    <w:bookmarkEnd w:id="9"/>
    <w:p>
      <w:pPr>
        <w:jc w:val="center"/>
        <w:ind w:right="-3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spacing w:after="0"/>
        <w:rPr>
          <w:sz w:val="20"/>
          <w:szCs w:val="20"/>
          <w:color w:val="auto"/>
        </w:rPr>
      </w:pPr>
      <w:r>
        <w:rPr>
          <w:rFonts w:ascii="Arial" w:cs="Arial" w:eastAsia="Arial" w:hAnsi="Arial"/>
          <w:sz w:val="18"/>
          <w:szCs w:val="18"/>
          <w:color w:val="auto"/>
        </w:rPr>
        <w:t>CUSIP No. M2239P109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ind w:left="2452" w:hanging="462"/>
        <w:spacing w:after="0"/>
        <w:tabs>
          <w:tab w:leader="none" w:pos="2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6" w:lineRule="exact"/>
        <w:rPr>
          <w:sz w:val="20"/>
          <w:szCs w:val="20"/>
          <w:color w:val="auto"/>
        </w:rPr>
      </w:pPr>
    </w:p>
    <w:tbl>
      <w:tblPr>
        <w:tblLayout w:type="fixed"/>
        <w:tblInd w:w="2132" w:type="dxa"/>
        <w:tblCellMar>
          <w:top w:w="0" w:type="dxa"/>
          <w:left w:w="0" w:type="dxa"/>
          <w:bottom w:w="0" w:type="dxa"/>
          <w:right w:w="0" w:type="dxa"/>
        </w:tblCellMar>
      </w:tblP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L.P.</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2,196,373(1)</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VHCP Co-Investment Holdings, LLC</w:t>
            </w:r>
          </w:p>
        </w:tc>
        <w:tc>
          <w:tcPr>
            <w:tcW w:w="2420" w:type="dxa"/>
            <w:vAlign w:val="bottom"/>
          </w:tcPr>
          <w:p>
            <w:pPr>
              <w:jc w:val="right"/>
              <w:spacing w:after="0"/>
              <w:rPr>
                <w:sz w:val="20"/>
                <w:szCs w:val="20"/>
                <w:color w:val="auto"/>
              </w:rPr>
            </w:pPr>
            <w:r>
              <w:rPr>
                <w:rFonts w:ascii="Arial" w:cs="Arial" w:eastAsia="Arial" w:hAnsi="Arial"/>
                <w:sz w:val="18"/>
                <w:szCs w:val="18"/>
                <w:color w:val="auto"/>
              </w:rPr>
              <w:t>2,196,373(1)</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2,196,373(1)</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2420" w:type="dxa"/>
            <w:vAlign w:val="bottom"/>
          </w:tcPr>
          <w:p>
            <w:pPr>
              <w:jc w:val="right"/>
              <w:spacing w:after="0"/>
              <w:rPr>
                <w:sz w:val="20"/>
                <w:szCs w:val="20"/>
                <w:color w:val="auto"/>
              </w:rPr>
            </w:pPr>
            <w:r>
              <w:rPr>
                <w:rFonts w:ascii="Arial" w:cs="Arial" w:eastAsia="Arial" w:hAnsi="Arial"/>
                <w:sz w:val="18"/>
                <w:szCs w:val="18"/>
                <w:color w:val="auto"/>
              </w:rPr>
              <w:t>2,196,373(1)</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LLC</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2,196,373(1)</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VHCP Management II, LLC</w:t>
            </w:r>
          </w:p>
        </w:tc>
        <w:tc>
          <w:tcPr>
            <w:tcW w:w="2420" w:type="dxa"/>
            <w:vAlign w:val="bottom"/>
          </w:tcPr>
          <w:p>
            <w:pPr>
              <w:jc w:val="right"/>
              <w:spacing w:after="0"/>
              <w:rPr>
                <w:sz w:val="20"/>
                <w:szCs w:val="20"/>
                <w:color w:val="auto"/>
              </w:rPr>
            </w:pPr>
            <w:r>
              <w:rPr>
                <w:rFonts w:ascii="Arial" w:cs="Arial" w:eastAsia="Arial" w:hAnsi="Arial"/>
                <w:sz w:val="18"/>
                <w:szCs w:val="18"/>
                <w:color w:val="auto"/>
              </w:rPr>
              <w:t>2,196,373(1)</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Bong Koh</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2,196,373(1)</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Nimish Shah</w:t>
            </w:r>
          </w:p>
        </w:tc>
        <w:tc>
          <w:tcPr>
            <w:tcW w:w="2420" w:type="dxa"/>
            <w:vAlign w:val="bottom"/>
          </w:tcPr>
          <w:p>
            <w:pPr>
              <w:jc w:val="right"/>
              <w:spacing w:after="0"/>
              <w:rPr>
                <w:sz w:val="20"/>
                <w:szCs w:val="20"/>
                <w:color w:val="auto"/>
              </w:rPr>
            </w:pPr>
            <w:r>
              <w:rPr>
                <w:rFonts w:ascii="Arial" w:cs="Arial" w:eastAsia="Arial" w:hAnsi="Arial"/>
                <w:sz w:val="18"/>
                <w:szCs w:val="18"/>
                <w:color w:val="auto"/>
              </w:rPr>
              <w:t>2,196,373(1)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1517650</wp:posOffset>
            </wp:positionH>
            <wp:positionV relativeFrom="paragraph">
              <wp:posOffset>50800</wp:posOffset>
            </wp:positionV>
            <wp:extent cx="546290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167" w:lineRule="exact"/>
        <w:rPr>
          <w:sz w:val="20"/>
          <w:szCs w:val="20"/>
          <w:color w:val="auto"/>
        </w:rPr>
      </w:pPr>
    </w:p>
    <w:p>
      <w:pPr>
        <w:ind w:left="2452" w:hanging="487"/>
        <w:spacing w:after="0"/>
        <w:tabs>
          <w:tab w:leader="none" w:pos="24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6" w:lineRule="exact"/>
        <w:rPr>
          <w:sz w:val="20"/>
          <w:szCs w:val="20"/>
          <w:color w:val="auto"/>
        </w:rPr>
      </w:pPr>
    </w:p>
    <w:tbl>
      <w:tblPr>
        <w:tblLayout w:type="fixed"/>
        <w:tblInd w:w="2132" w:type="dxa"/>
        <w:tblCellMar>
          <w:top w:w="0" w:type="dxa"/>
          <w:left w:w="0" w:type="dxa"/>
          <w:bottom w:w="0" w:type="dxa"/>
          <w:right w:w="0" w:type="dxa"/>
        </w:tblCellMar>
      </w:tblP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L.P.</w:t>
            </w:r>
          </w:p>
        </w:tc>
        <w:tc>
          <w:tcPr>
            <w:tcW w:w="2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VHCP Co-Investment Holdings, LLC</w:t>
            </w: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0</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0</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LLC</w:t>
            </w:r>
          </w:p>
        </w:tc>
        <w:tc>
          <w:tcPr>
            <w:tcW w:w="2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VHCP Management II, LLC</w:t>
            </w: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0</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Bong Koh</w:t>
            </w:r>
          </w:p>
        </w:tc>
        <w:tc>
          <w:tcPr>
            <w:tcW w:w="2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Nimish Shah</w:t>
            </w: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1517650</wp:posOffset>
            </wp:positionH>
            <wp:positionV relativeFrom="paragraph">
              <wp:posOffset>50800</wp:posOffset>
            </wp:positionV>
            <wp:extent cx="54629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167" w:lineRule="exact"/>
        <w:rPr>
          <w:sz w:val="20"/>
          <w:szCs w:val="20"/>
          <w:color w:val="auto"/>
        </w:rPr>
      </w:pPr>
    </w:p>
    <w:p>
      <w:pPr>
        <w:ind w:left="2452" w:hanging="482"/>
        <w:spacing w:after="0"/>
        <w:tabs>
          <w:tab w:leader="none" w:pos="24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6" w:lineRule="exact"/>
        <w:rPr>
          <w:sz w:val="20"/>
          <w:szCs w:val="20"/>
          <w:color w:val="auto"/>
        </w:rPr>
      </w:pPr>
    </w:p>
    <w:tbl>
      <w:tblPr>
        <w:tblLayout w:type="fixed"/>
        <w:tblInd w:w="2132" w:type="dxa"/>
        <w:tblCellMar>
          <w:top w:w="0" w:type="dxa"/>
          <w:left w:w="0" w:type="dxa"/>
          <w:bottom w:w="0" w:type="dxa"/>
          <w:right w:w="0" w:type="dxa"/>
        </w:tblCellMar>
      </w:tblP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Venrock Healthcare Capital Partners, L.P.</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2,196,373(1)</w:t>
            </w:r>
          </w:p>
        </w:tc>
        <w:tc>
          <w:tcPr>
            <w:tcW w:w="1800" w:type="dxa"/>
            <w:vAlign w:val="bottom"/>
          </w:tcPr>
          <w:p>
            <w:pPr>
              <w:spacing w:after="0"/>
              <w:rPr>
                <w:sz w:val="18"/>
                <w:szCs w:val="18"/>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VHCP Co-Investment Holdings, LLC</w:t>
            </w:r>
          </w:p>
        </w:tc>
        <w:tc>
          <w:tcPr>
            <w:tcW w:w="2420" w:type="dxa"/>
            <w:vAlign w:val="bottom"/>
          </w:tcPr>
          <w:p>
            <w:pPr>
              <w:jc w:val="right"/>
              <w:spacing w:after="0"/>
              <w:rPr>
                <w:sz w:val="20"/>
                <w:szCs w:val="20"/>
                <w:color w:val="auto"/>
              </w:rPr>
            </w:pPr>
            <w:r>
              <w:rPr>
                <w:rFonts w:ascii="Arial" w:cs="Arial" w:eastAsia="Arial" w:hAnsi="Arial"/>
                <w:sz w:val="18"/>
                <w:szCs w:val="18"/>
                <w:color w:val="auto"/>
              </w:rPr>
              <w:t>2,196,373(1)</w:t>
            </w:r>
          </w:p>
        </w:tc>
        <w:tc>
          <w:tcPr>
            <w:tcW w:w="1800" w:type="dxa"/>
            <w:vAlign w:val="bottom"/>
          </w:tcPr>
          <w:p>
            <w:pPr>
              <w:spacing w:after="0"/>
              <w:rPr>
                <w:sz w:val="18"/>
                <w:szCs w:val="18"/>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2,196,373(1)</w:t>
            </w:r>
          </w:p>
        </w:tc>
        <w:tc>
          <w:tcPr>
            <w:tcW w:w="1800" w:type="dxa"/>
            <w:vAlign w:val="bottom"/>
          </w:tcPr>
          <w:p>
            <w:pPr>
              <w:spacing w:after="0"/>
              <w:rPr>
                <w:sz w:val="18"/>
                <w:szCs w:val="18"/>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VHCP Co-Investment Holdings II, LLC</w:t>
            </w:r>
          </w:p>
        </w:tc>
        <w:tc>
          <w:tcPr>
            <w:tcW w:w="2420" w:type="dxa"/>
            <w:vAlign w:val="bottom"/>
          </w:tcPr>
          <w:p>
            <w:pPr>
              <w:jc w:val="right"/>
              <w:spacing w:after="0"/>
              <w:rPr>
                <w:sz w:val="20"/>
                <w:szCs w:val="20"/>
                <w:color w:val="auto"/>
              </w:rPr>
            </w:pPr>
            <w:r>
              <w:rPr>
                <w:rFonts w:ascii="Arial" w:cs="Arial" w:eastAsia="Arial" w:hAnsi="Arial"/>
                <w:sz w:val="18"/>
                <w:szCs w:val="18"/>
                <w:color w:val="auto"/>
              </w:rPr>
              <w:t>2,196,373(1)</w:t>
            </w:r>
          </w:p>
        </w:tc>
        <w:tc>
          <w:tcPr>
            <w:tcW w:w="1800" w:type="dxa"/>
            <w:vAlign w:val="bottom"/>
          </w:tcPr>
          <w:p>
            <w:pPr>
              <w:spacing w:after="0"/>
              <w:rPr>
                <w:sz w:val="18"/>
                <w:szCs w:val="18"/>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VHCP Management, LLC</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2,196,373(1)</w:t>
            </w:r>
          </w:p>
        </w:tc>
        <w:tc>
          <w:tcPr>
            <w:tcW w:w="1800" w:type="dxa"/>
            <w:vAlign w:val="bottom"/>
          </w:tcPr>
          <w:p>
            <w:pPr>
              <w:spacing w:after="0"/>
              <w:rPr>
                <w:sz w:val="18"/>
                <w:szCs w:val="18"/>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VHCP Management II, LLC</w:t>
            </w:r>
          </w:p>
        </w:tc>
        <w:tc>
          <w:tcPr>
            <w:tcW w:w="2420" w:type="dxa"/>
            <w:vAlign w:val="bottom"/>
          </w:tcPr>
          <w:p>
            <w:pPr>
              <w:jc w:val="right"/>
              <w:spacing w:after="0"/>
              <w:rPr>
                <w:sz w:val="20"/>
                <w:szCs w:val="20"/>
                <w:color w:val="auto"/>
              </w:rPr>
            </w:pPr>
            <w:r>
              <w:rPr>
                <w:rFonts w:ascii="Arial" w:cs="Arial" w:eastAsia="Arial" w:hAnsi="Arial"/>
                <w:sz w:val="18"/>
                <w:szCs w:val="18"/>
                <w:color w:val="auto"/>
              </w:rPr>
              <w:t>2,196,373(1)</w:t>
            </w:r>
          </w:p>
        </w:tc>
        <w:tc>
          <w:tcPr>
            <w:tcW w:w="1800" w:type="dxa"/>
            <w:vAlign w:val="bottom"/>
          </w:tcPr>
          <w:p>
            <w:pPr>
              <w:spacing w:after="0"/>
              <w:rPr>
                <w:sz w:val="18"/>
                <w:szCs w:val="18"/>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Bong Koh</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2,196,373(1)</w:t>
            </w:r>
          </w:p>
        </w:tc>
        <w:tc>
          <w:tcPr>
            <w:tcW w:w="1800" w:type="dxa"/>
            <w:vAlign w:val="bottom"/>
          </w:tcPr>
          <w:p>
            <w:pPr>
              <w:spacing w:after="0"/>
              <w:rPr>
                <w:sz w:val="18"/>
                <w:szCs w:val="18"/>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Nimish Shah</w:t>
            </w:r>
          </w:p>
        </w:tc>
        <w:tc>
          <w:tcPr>
            <w:tcW w:w="2420" w:type="dxa"/>
            <w:vAlign w:val="bottom"/>
          </w:tcPr>
          <w:p>
            <w:pPr>
              <w:jc w:val="right"/>
              <w:spacing w:after="0"/>
              <w:rPr>
                <w:sz w:val="20"/>
                <w:szCs w:val="20"/>
                <w:color w:val="auto"/>
              </w:rPr>
            </w:pPr>
            <w:r>
              <w:rPr>
                <w:rFonts w:ascii="Arial" w:cs="Arial" w:eastAsia="Arial" w:hAnsi="Arial"/>
                <w:sz w:val="18"/>
                <w:szCs w:val="18"/>
                <w:color w:val="auto"/>
              </w:rPr>
              <w:t>2,196,373(1)</w:t>
            </w:r>
          </w:p>
        </w:tc>
        <w:tc>
          <w:tcPr>
            <w:tcW w:w="1800" w:type="dxa"/>
            <w:vAlign w:val="bottom"/>
          </w:tcPr>
          <w:p>
            <w:pPr>
              <w:spacing w:after="0"/>
              <w:rPr>
                <w:sz w:val="20"/>
                <w:szCs w:val="20"/>
                <w:color w:val="auto"/>
              </w:rPr>
            </w:pPr>
          </w:p>
        </w:tc>
      </w:tr>
      <w:tr>
        <w:trPr>
          <w:trHeight w:val="80"/>
        </w:trPr>
        <w:tc>
          <w:tcPr>
            <w:tcW w:w="260" w:type="dxa"/>
            <w:vAlign w:val="bottom"/>
          </w:tcPr>
          <w:p>
            <w:pPr>
              <w:spacing w:after="0"/>
              <w:rPr>
                <w:sz w:val="6"/>
                <w:szCs w:val="6"/>
                <w:color w:val="auto"/>
              </w:rPr>
            </w:pPr>
          </w:p>
        </w:tc>
        <w:tc>
          <w:tcPr>
            <w:tcW w:w="4380" w:type="dxa"/>
            <w:vAlign w:val="bottom"/>
            <w:tcBorders>
              <w:bottom w:val="single" w:sz="8" w:color="auto"/>
            </w:tcBorders>
          </w:tcPr>
          <w:p>
            <w:pPr>
              <w:spacing w:after="0"/>
              <w:rPr>
                <w:sz w:val="6"/>
                <w:szCs w:val="6"/>
                <w:color w:val="auto"/>
              </w:rPr>
            </w:pPr>
          </w:p>
        </w:tc>
        <w:tc>
          <w:tcPr>
            <w:tcW w:w="242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18268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512" w:hanging="512"/>
        <w:spacing w:after="0" w:line="255" w:lineRule="auto"/>
        <w:tabs>
          <w:tab w:leader="none" w:pos="52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shares are owned directly as follows: 557,018 ordinary shares are owned by Venrock Healthcare Capital Partners, L.P., 101,892 ordinary shares are owned by VHCP Co-Investment Holdings, LLC, 1,229,804 ordinary shares are owned by Venrock Healthcare Capital Partners II, L.P. and 307,659 ordinary shares are owned by VHCP Co-Investment Holdings II, LLC. VHCP Management, LLC is the general partner of Venrock Healthcare Capital Partners, L.P. and the manager of VHCP Co-Investment Holdings, LLC. VHCP Management II, LLC is the general partner of Venrock Healthcare Capital Partners II, L.P. and the manager of VHCP Co-Investment Holdings II, LLC. Messrs. Koh and Shah are the managing members of VHCP Management, LLC and VHCP Management II, LLC.</w:t>
      </w:r>
    </w:p>
    <w:p>
      <w:pPr>
        <w:spacing w:after="0" w:line="243" w:lineRule="exact"/>
        <w:rPr>
          <w:sz w:val="20"/>
          <w:szCs w:val="20"/>
          <w:color w:val="auto"/>
        </w:rPr>
      </w:pPr>
    </w:p>
    <w:p>
      <w:pPr>
        <w:ind w:left="112"/>
        <w:spacing w:after="0"/>
        <w:tabs>
          <w:tab w:leader="none" w:pos="1252"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75" w:lineRule="exact"/>
        <w:rPr>
          <w:sz w:val="20"/>
          <w:szCs w:val="20"/>
          <w:color w:val="auto"/>
        </w:rPr>
      </w:pPr>
    </w:p>
    <w:p>
      <w:pPr>
        <w:ind w:left="112" w:right="5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27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spacing w:after="0"/>
        <w:rPr>
          <w:sz w:val="20"/>
          <w:szCs w:val="20"/>
          <w:color w:val="auto"/>
        </w:rPr>
      </w:pPr>
      <w:r>
        <w:rPr>
          <w:rFonts w:ascii="Arial" w:cs="Arial" w:eastAsia="Arial" w:hAnsi="Arial"/>
          <w:sz w:val="18"/>
          <w:szCs w:val="18"/>
          <w:color w:val="auto"/>
        </w:rPr>
        <w:t>CUSIP No. M2239P109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ind w:left="212"/>
        <w:spacing w:after="0"/>
        <w:tabs>
          <w:tab w:leader="none" w:pos="1332"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212"/>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352" w:right="660" w:hanging="1133"/>
        <w:spacing w:after="0" w:line="282" w:lineRule="auto"/>
        <w:tabs>
          <w:tab w:leader="none" w:pos="1332"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212"/>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212"/>
        <w:spacing w:after="0"/>
        <w:tabs>
          <w:tab w:leader="none" w:pos="1332"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212"/>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372"/>
          </w:cols>
          <w:pgMar w:left="248" w:top="125" w:right="279" w:bottom="113" w:gutter="0" w:footer="0" w:header="0"/>
        </w:sectPr>
      </w:pPr>
    </w:p>
    <w:bookmarkStart w:id="10" w:name="page11"/>
    <w:bookmarkEnd w:id="10"/>
    <w:p>
      <w:pPr>
        <w:ind w:left="220"/>
        <w:spacing w:after="0"/>
        <w:tabs>
          <w:tab w:leader="none" w:pos="13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M2239P109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60" w:right="12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2017</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Venrock Healthcare Capital Partners, L.P.</w:t>
            </w:r>
          </w:p>
        </w:tc>
        <w:tc>
          <w:tcPr>
            <w:tcW w:w="6140" w:type="dxa"/>
            <w:vAlign w:val="bottom"/>
            <w:gridSpan w:val="3"/>
          </w:tcPr>
          <w:p>
            <w:pPr>
              <w:ind w:left="1040"/>
              <w:spacing w:after="0"/>
              <w:rPr>
                <w:sz w:val="20"/>
                <w:szCs w:val="20"/>
                <w:color w:val="auto"/>
              </w:rPr>
            </w:pPr>
            <w:r>
              <w:rPr>
                <w:rFonts w:ascii="Arial" w:cs="Arial" w:eastAsia="Arial" w:hAnsi="Arial"/>
                <w:sz w:val="18"/>
                <w:szCs w:val="18"/>
                <w:b w:val="1"/>
                <w:bCs w:val="1"/>
                <w:color w:val="auto"/>
              </w:rPr>
              <w:t>VHCP Co-Investment Holdings,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VHCP Management, LLC,</w:t>
            </w:r>
          </w:p>
        </w:tc>
        <w:tc>
          <w:tcPr>
            <w:tcW w:w="1620" w:type="dxa"/>
            <w:vAlign w:val="bottom"/>
          </w:tcPr>
          <w:p>
            <w:pPr>
              <w:ind w:left="1040"/>
              <w:spacing w:after="0"/>
              <w:rPr>
                <w:sz w:val="20"/>
                <w:szCs w:val="20"/>
                <w:color w:val="auto"/>
              </w:rPr>
            </w:pPr>
            <w:r>
              <w:rPr>
                <w:rFonts w:ascii="Arial" w:cs="Arial" w:eastAsia="Arial" w:hAnsi="Arial"/>
                <w:sz w:val="18"/>
                <w:szCs w:val="18"/>
                <w:color w:val="auto"/>
              </w:rPr>
              <w:t>By:</w:t>
            </w:r>
          </w:p>
        </w:tc>
        <w:tc>
          <w:tcPr>
            <w:tcW w:w="4520" w:type="dxa"/>
            <w:vAlign w:val="bottom"/>
            <w:gridSpan w:val="2"/>
          </w:tcPr>
          <w:p>
            <w:pPr>
              <w:spacing w:after="0"/>
              <w:rPr>
                <w:sz w:val="20"/>
                <w:szCs w:val="20"/>
                <w:color w:val="auto"/>
              </w:rPr>
            </w:pPr>
            <w:r>
              <w:rPr>
                <w:rFonts w:ascii="Arial" w:cs="Arial" w:eastAsia="Arial" w:hAnsi="Arial"/>
                <w:sz w:val="18"/>
                <w:szCs w:val="18"/>
                <w:color w:val="auto"/>
              </w:rPr>
              <w:t>VHCP Management, LLC,</w:t>
            </w:r>
          </w:p>
        </w:tc>
      </w:tr>
      <w:tr>
        <w:trPr>
          <w:trHeight w:val="432"/>
        </w:trPr>
        <w:tc>
          <w:tcPr>
            <w:tcW w:w="58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its General Partner</w:t>
            </w:r>
          </w:p>
        </w:tc>
        <w:tc>
          <w:tcPr>
            <w:tcW w:w="162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its Manager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1620" w:type="dxa"/>
            <w:vAlign w:val="bottom"/>
          </w:tcPr>
          <w:p>
            <w:pPr>
              <w:ind w:left="104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r>
      <w:tr>
        <w:trPr>
          <w:trHeight w:val="224"/>
        </w:trPr>
        <w:tc>
          <w:tcPr>
            <w:tcW w:w="58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020" w:type="dxa"/>
            <w:vAlign w:val="bottom"/>
          </w:tcPr>
          <w:p>
            <w:pPr>
              <w:ind w:left="180"/>
              <w:spacing w:after="0"/>
              <w:rPr>
                <w:sz w:val="20"/>
                <w:szCs w:val="20"/>
                <w:color w:val="auto"/>
              </w:rPr>
            </w:pPr>
            <w:r>
              <w:rPr>
                <w:rFonts w:ascii="Arial" w:cs="Arial" w:eastAsia="Arial" w:hAnsi="Arial"/>
                <w:sz w:val="18"/>
                <w:szCs w:val="18"/>
                <w:color w:val="auto"/>
              </w:rPr>
              <w:t>David L. Stepp</w:t>
            </w:r>
          </w:p>
        </w:tc>
        <w:tc>
          <w:tcPr>
            <w:tcW w:w="16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860" w:type="dxa"/>
            <w:vAlign w:val="bottom"/>
          </w:tcPr>
          <w:p>
            <w:pPr>
              <w:ind w:left="180"/>
              <w:spacing w:after="0"/>
              <w:rPr>
                <w:sz w:val="20"/>
                <w:szCs w:val="20"/>
                <w:color w:val="auto"/>
              </w:rPr>
            </w:pPr>
            <w:r>
              <w:rPr>
                <w:rFonts w:ascii="Arial" w:cs="Arial" w:eastAsia="Arial" w:hAnsi="Arial"/>
                <w:sz w:val="18"/>
                <w:szCs w:val="18"/>
                <w:color w:val="auto"/>
              </w:rPr>
              <w:t>David L. Stepp</w:t>
            </w:r>
          </w:p>
        </w:tc>
      </w:tr>
      <w:tr>
        <w:trPr>
          <w:trHeight w:val="418"/>
        </w:trPr>
        <w:tc>
          <w:tcPr>
            <w:tcW w:w="5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80"/>
              <w:spacing w:after="0"/>
              <w:rPr>
                <w:sz w:val="20"/>
                <w:szCs w:val="20"/>
                <w:color w:val="auto"/>
              </w:rPr>
            </w:pPr>
            <w:r>
              <w:rPr>
                <w:rFonts w:ascii="Arial" w:cs="Arial" w:eastAsia="Arial" w:hAnsi="Arial"/>
                <w:sz w:val="18"/>
                <w:szCs w:val="18"/>
                <w:color w:val="auto"/>
              </w:rPr>
              <w:t>Authorized Signatory</w:t>
            </w:r>
          </w:p>
        </w:tc>
        <w:tc>
          <w:tcPr>
            <w:tcW w:w="16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180"/>
              <w:spacing w:after="0"/>
              <w:rPr>
                <w:sz w:val="20"/>
                <w:szCs w:val="20"/>
                <w:color w:val="auto"/>
              </w:rPr>
            </w:pPr>
            <w:r>
              <w:rPr>
                <w:rFonts w:ascii="Arial" w:cs="Arial" w:eastAsia="Arial" w:hAnsi="Arial"/>
                <w:sz w:val="18"/>
                <w:szCs w:val="18"/>
                <w:color w:val="auto"/>
              </w:rPr>
              <w:t>Authorized Signatory</w:t>
            </w:r>
          </w:p>
        </w:tc>
      </w:tr>
      <w:tr>
        <w:trPr>
          <w:trHeight w:val="432"/>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VHCP Management, LLC</w:t>
            </w: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020" w:type="dxa"/>
            <w:vAlign w:val="bottom"/>
          </w:tcPr>
          <w:p>
            <w:pPr>
              <w:ind w:left="180"/>
              <w:spacing w:after="0"/>
              <w:rPr>
                <w:sz w:val="20"/>
                <w:szCs w:val="20"/>
                <w:color w:val="auto"/>
              </w:rPr>
            </w:pPr>
            <w:r>
              <w:rPr>
                <w:rFonts w:ascii="Arial" w:cs="Arial" w:eastAsia="Arial" w:hAnsi="Arial"/>
                <w:sz w:val="18"/>
                <w:szCs w:val="18"/>
                <w:color w:val="auto"/>
              </w:rPr>
              <w:t>David L. Stepp</w:t>
            </w: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418"/>
        </w:trPr>
        <w:tc>
          <w:tcPr>
            <w:tcW w:w="5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80"/>
              <w:spacing w:after="0"/>
              <w:rPr>
                <w:sz w:val="20"/>
                <w:szCs w:val="20"/>
                <w:color w:val="auto"/>
              </w:rPr>
            </w:pPr>
            <w:r>
              <w:rPr>
                <w:rFonts w:ascii="Arial" w:cs="Arial" w:eastAsia="Arial" w:hAnsi="Arial"/>
                <w:sz w:val="18"/>
                <w:szCs w:val="18"/>
                <w:color w:val="auto"/>
              </w:rPr>
              <w:t>Authorized Signatory</w:t>
            </w: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6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David L. Stepp,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4454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Nimish Shah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David L. Stepp,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4454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Bong Koh</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Venrock Healthcare Capital Partners II, L.P.</w:t>
            </w:r>
          </w:p>
        </w:tc>
        <w:tc>
          <w:tcPr>
            <w:tcW w:w="6140" w:type="dxa"/>
            <w:vAlign w:val="bottom"/>
            <w:gridSpan w:val="3"/>
          </w:tcPr>
          <w:p>
            <w:pPr>
              <w:ind w:left="1040"/>
              <w:spacing w:after="0"/>
              <w:rPr>
                <w:sz w:val="20"/>
                <w:szCs w:val="20"/>
                <w:color w:val="auto"/>
              </w:rPr>
            </w:pPr>
            <w:r>
              <w:rPr>
                <w:rFonts w:ascii="Arial" w:cs="Arial" w:eastAsia="Arial" w:hAnsi="Arial"/>
                <w:sz w:val="18"/>
                <w:szCs w:val="18"/>
                <w:b w:val="1"/>
                <w:bCs w:val="1"/>
                <w:color w:val="auto"/>
              </w:rPr>
              <w:t>VHCP Co-Investment Holdings II, LLC</w:t>
            </w:r>
          </w:p>
        </w:tc>
        <w:tc>
          <w:tcPr>
            <w:tcW w:w="4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VHCP Management II, LLC,</w:t>
            </w:r>
          </w:p>
        </w:tc>
        <w:tc>
          <w:tcPr>
            <w:tcW w:w="1620" w:type="dxa"/>
            <w:vAlign w:val="bottom"/>
          </w:tcPr>
          <w:p>
            <w:pPr>
              <w:ind w:left="1040"/>
              <w:spacing w:after="0"/>
              <w:rPr>
                <w:sz w:val="20"/>
                <w:szCs w:val="20"/>
                <w:color w:val="auto"/>
              </w:rPr>
            </w:pPr>
            <w:r>
              <w:rPr>
                <w:rFonts w:ascii="Arial" w:cs="Arial" w:eastAsia="Arial" w:hAnsi="Arial"/>
                <w:sz w:val="18"/>
                <w:szCs w:val="18"/>
                <w:color w:val="auto"/>
              </w:rPr>
              <w:t>By:</w:t>
            </w:r>
          </w:p>
        </w:tc>
        <w:tc>
          <w:tcPr>
            <w:tcW w:w="4520" w:type="dxa"/>
            <w:vAlign w:val="bottom"/>
            <w:gridSpan w:val="2"/>
          </w:tcPr>
          <w:p>
            <w:pPr>
              <w:spacing w:after="0"/>
              <w:rPr>
                <w:sz w:val="20"/>
                <w:szCs w:val="20"/>
                <w:color w:val="auto"/>
              </w:rPr>
            </w:pPr>
            <w:r>
              <w:rPr>
                <w:rFonts w:ascii="Arial" w:cs="Arial" w:eastAsia="Arial" w:hAnsi="Arial"/>
                <w:sz w:val="18"/>
                <w:szCs w:val="18"/>
                <w:color w:val="auto"/>
              </w:rPr>
              <w:t>VHCP Management II, LLC,</w:t>
            </w:r>
          </w:p>
        </w:tc>
        <w:tc>
          <w:tcPr>
            <w:tcW w:w="4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its General Partner</w:t>
            </w:r>
          </w:p>
        </w:tc>
        <w:tc>
          <w:tcPr>
            <w:tcW w:w="162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its Manager</w:t>
            </w:r>
          </w:p>
        </w:tc>
        <w:tc>
          <w:tcPr>
            <w:tcW w:w="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1620" w:type="dxa"/>
            <w:vAlign w:val="bottom"/>
          </w:tcPr>
          <w:p>
            <w:pPr>
              <w:ind w:left="104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4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020" w:type="dxa"/>
            <w:vAlign w:val="bottom"/>
          </w:tcPr>
          <w:p>
            <w:pPr>
              <w:ind w:left="180"/>
              <w:spacing w:after="0"/>
              <w:rPr>
                <w:sz w:val="20"/>
                <w:szCs w:val="20"/>
                <w:color w:val="auto"/>
              </w:rPr>
            </w:pPr>
            <w:r>
              <w:rPr>
                <w:rFonts w:ascii="Arial" w:cs="Arial" w:eastAsia="Arial" w:hAnsi="Arial"/>
                <w:sz w:val="18"/>
                <w:szCs w:val="18"/>
                <w:color w:val="auto"/>
              </w:rPr>
              <w:t>David L. Stepp</w:t>
            </w:r>
          </w:p>
        </w:tc>
        <w:tc>
          <w:tcPr>
            <w:tcW w:w="16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860" w:type="dxa"/>
            <w:vAlign w:val="bottom"/>
          </w:tcPr>
          <w:p>
            <w:pPr>
              <w:ind w:left="180"/>
              <w:spacing w:after="0"/>
              <w:rPr>
                <w:sz w:val="20"/>
                <w:szCs w:val="20"/>
                <w:color w:val="auto"/>
              </w:rPr>
            </w:pPr>
            <w:r>
              <w:rPr>
                <w:rFonts w:ascii="Arial" w:cs="Arial" w:eastAsia="Arial" w:hAnsi="Arial"/>
                <w:sz w:val="18"/>
                <w:szCs w:val="18"/>
                <w:color w:val="auto"/>
              </w:rPr>
              <w:t>David L. Stepp</w:t>
            </w:r>
          </w:p>
        </w:tc>
        <w:tc>
          <w:tcPr>
            <w:tcW w:w="40" w:type="dxa"/>
            <w:vAlign w:val="bottom"/>
          </w:tcPr>
          <w:p>
            <w:pPr>
              <w:spacing w:after="0"/>
              <w:rPr>
                <w:sz w:val="19"/>
                <w:szCs w:val="19"/>
                <w:color w:val="auto"/>
              </w:rPr>
            </w:pPr>
          </w:p>
        </w:tc>
      </w:tr>
      <w:tr>
        <w:trPr>
          <w:trHeight w:val="418"/>
        </w:trPr>
        <w:tc>
          <w:tcPr>
            <w:tcW w:w="5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80"/>
              <w:spacing w:after="0"/>
              <w:rPr>
                <w:sz w:val="20"/>
                <w:szCs w:val="20"/>
                <w:color w:val="auto"/>
              </w:rPr>
            </w:pPr>
            <w:r>
              <w:rPr>
                <w:rFonts w:ascii="Arial" w:cs="Arial" w:eastAsia="Arial" w:hAnsi="Arial"/>
                <w:sz w:val="18"/>
                <w:szCs w:val="18"/>
                <w:color w:val="auto"/>
              </w:rPr>
              <w:t>Authorized Signatory</w:t>
            </w:r>
          </w:p>
        </w:tc>
        <w:tc>
          <w:tcPr>
            <w:tcW w:w="16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180"/>
              <w:spacing w:after="0"/>
              <w:rPr>
                <w:sz w:val="20"/>
                <w:szCs w:val="20"/>
                <w:color w:val="auto"/>
              </w:rPr>
            </w:pPr>
            <w:r>
              <w:rPr>
                <w:rFonts w:ascii="Arial" w:cs="Arial" w:eastAsia="Arial" w:hAnsi="Arial"/>
                <w:sz w:val="18"/>
                <w:szCs w:val="18"/>
                <w:color w:val="auto"/>
              </w:rPr>
              <w:t>Authorized Signatory</w:t>
            </w:r>
          </w:p>
        </w:tc>
        <w:tc>
          <w:tcPr>
            <w:tcW w:w="40" w:type="dxa"/>
            <w:vAlign w:val="bottom"/>
          </w:tcPr>
          <w:p>
            <w:pPr>
              <w:spacing w:after="0"/>
              <w:rPr>
                <w:sz w:val="24"/>
                <w:szCs w:val="24"/>
                <w:color w:val="auto"/>
              </w:rPr>
            </w:pPr>
          </w:p>
        </w:tc>
      </w:tr>
      <w:tr>
        <w:trPr>
          <w:trHeight w:val="432"/>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VHCP Management II, LLC</w:t>
            </w: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020" w:type="dxa"/>
            <w:vAlign w:val="bottom"/>
          </w:tcPr>
          <w:p>
            <w:pPr>
              <w:ind w:left="180"/>
              <w:spacing w:after="0"/>
              <w:rPr>
                <w:sz w:val="20"/>
                <w:szCs w:val="20"/>
                <w:color w:val="auto"/>
              </w:rPr>
            </w:pPr>
            <w:r>
              <w:rPr>
                <w:rFonts w:ascii="Arial" w:cs="Arial" w:eastAsia="Arial" w:hAnsi="Arial"/>
                <w:sz w:val="18"/>
                <w:szCs w:val="18"/>
                <w:color w:val="auto"/>
              </w:rPr>
              <w:t>David L. Stepp</w:t>
            </w:r>
          </w:p>
        </w:tc>
        <w:tc>
          <w:tcPr>
            <w:tcW w:w="1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5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80"/>
              <w:spacing w:after="0"/>
              <w:rPr>
                <w:sz w:val="20"/>
                <w:szCs w:val="20"/>
                <w:color w:val="auto"/>
              </w:rPr>
            </w:pPr>
            <w:r>
              <w:rPr>
                <w:rFonts w:ascii="Arial" w:cs="Arial" w:eastAsia="Arial" w:hAnsi="Arial"/>
                <w:sz w:val="18"/>
                <w:szCs w:val="18"/>
                <w:color w:val="auto"/>
              </w:rPr>
              <w:t>Authorized Signatory</w:t>
            </w: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20" w:type="dxa"/>
            <w:vAlign w:val="bottom"/>
          </w:tcPr>
          <w:p>
            <w:pPr>
              <w:jc w:val="right"/>
              <w:ind w:right="1010"/>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20" w:type="dxa"/>
            <w:vAlign w:val="bottom"/>
            <w:tcBorders>
              <w:bottom w:val="single" w:sz="8" w:color="808080"/>
            </w:tcBorders>
          </w:tcPr>
          <w:p>
            <w:pPr>
              <w:spacing w:after="0"/>
              <w:rPr>
                <w:sz w:val="11"/>
                <w:szCs w:val="11"/>
                <w:color w:val="auto"/>
              </w:rPr>
            </w:pPr>
          </w:p>
        </w:tc>
        <w:tc>
          <w:tcPr>
            <w:tcW w:w="16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38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M2239P109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60"/>
          </w:cols>
          <w:pgMar w:left="240" w:top="121" w:right="199" w:bottom="46"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Joint Filing Agreement</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Power of Attorney for Bong Koh (Incorporated by reference from Exhibit B to Schedule 13G filed on January 26, 2015)</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Power of Attorney for Nimish Shah</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In accordance with Rule 13d-1(k) under the Securities Exchange Act of 1934, as amended, the undersigned agree to the joint filing on behalf of each of them of a statement on Schedule 13G (including amendments thereto) with respect to the Ordinary Shares of Alcobra Ltd.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evidence whereof, the undersigned have caused this Agreement to be executed on their behalf this 13</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February, 2017.</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Venrock Healthcare Capital Partners, L.P.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VHCP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Stepp</w:t>
            </w:r>
          </w:p>
        </w:tc>
      </w:tr>
      <w:tr>
        <w:trPr>
          <w:trHeight w:val="195"/>
        </w:trPr>
        <w:tc>
          <w:tcPr>
            <w:tcW w:w="600" w:type="dxa"/>
            <w:vAlign w:val="bottom"/>
          </w:tcPr>
          <w:p>
            <w:pPr>
              <w:spacing w:after="0"/>
              <w:rPr>
                <w:sz w:val="16"/>
                <w:szCs w:val="16"/>
                <w:color w:val="auto"/>
              </w:rPr>
            </w:pPr>
          </w:p>
        </w:tc>
        <w:tc>
          <w:tcPr>
            <w:tcW w:w="5120" w:type="dxa"/>
            <w:vAlign w:val="bottom"/>
          </w:tcPr>
          <w:p>
            <w:pPr>
              <w:spacing w:after="0" w:line="195" w:lineRule="exact"/>
              <w:rPr>
                <w:sz w:val="20"/>
                <w:szCs w:val="20"/>
                <w:color w:val="auto"/>
              </w:rPr>
            </w:pPr>
            <w:r>
              <w:rPr>
                <w:rFonts w:ascii="Arial" w:cs="Arial" w:eastAsia="Arial" w:hAnsi="Arial"/>
                <w:sz w:val="18"/>
                <w:szCs w:val="18"/>
                <w:color w:val="auto"/>
              </w:rPr>
              <w:t>David L. Stepp</w:t>
            </w:r>
          </w:p>
        </w:tc>
      </w:tr>
      <w:tr>
        <w:trPr>
          <w:trHeight w:val="230"/>
        </w:trPr>
        <w:tc>
          <w:tcPr>
            <w:tcW w:w="60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VHCP Co-Investment Holdings, LLC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VHCP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Manager</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Stepp</w:t>
            </w:r>
          </w:p>
        </w:tc>
      </w:tr>
      <w:tr>
        <w:trPr>
          <w:trHeight w:val="195"/>
        </w:trPr>
        <w:tc>
          <w:tcPr>
            <w:tcW w:w="600" w:type="dxa"/>
            <w:vAlign w:val="bottom"/>
          </w:tcPr>
          <w:p>
            <w:pPr>
              <w:spacing w:after="0"/>
              <w:rPr>
                <w:sz w:val="16"/>
                <w:szCs w:val="16"/>
                <w:color w:val="auto"/>
              </w:rPr>
            </w:pPr>
          </w:p>
        </w:tc>
        <w:tc>
          <w:tcPr>
            <w:tcW w:w="5120" w:type="dxa"/>
            <w:vAlign w:val="bottom"/>
          </w:tcPr>
          <w:p>
            <w:pPr>
              <w:spacing w:after="0" w:line="195" w:lineRule="exact"/>
              <w:rPr>
                <w:sz w:val="20"/>
                <w:szCs w:val="20"/>
                <w:color w:val="auto"/>
              </w:rPr>
            </w:pPr>
            <w:r>
              <w:rPr>
                <w:rFonts w:ascii="Arial" w:cs="Arial" w:eastAsia="Arial" w:hAnsi="Arial"/>
                <w:sz w:val="18"/>
                <w:szCs w:val="18"/>
                <w:color w:val="auto"/>
              </w:rPr>
              <w:t>David L. Stepp</w:t>
            </w:r>
          </w:p>
        </w:tc>
      </w:tr>
      <w:tr>
        <w:trPr>
          <w:trHeight w:val="230"/>
        </w:trPr>
        <w:tc>
          <w:tcPr>
            <w:tcW w:w="60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59"/>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VHCP Management, LLC</w:t>
            </w: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Stepp</w:t>
            </w:r>
          </w:p>
        </w:tc>
      </w:tr>
      <w:tr>
        <w:trPr>
          <w:trHeight w:val="195"/>
        </w:trPr>
        <w:tc>
          <w:tcPr>
            <w:tcW w:w="600" w:type="dxa"/>
            <w:vAlign w:val="bottom"/>
          </w:tcPr>
          <w:p>
            <w:pPr>
              <w:spacing w:after="0"/>
              <w:rPr>
                <w:sz w:val="16"/>
                <w:szCs w:val="16"/>
                <w:color w:val="auto"/>
              </w:rPr>
            </w:pPr>
          </w:p>
        </w:tc>
        <w:tc>
          <w:tcPr>
            <w:tcW w:w="5120" w:type="dxa"/>
            <w:vAlign w:val="bottom"/>
          </w:tcPr>
          <w:p>
            <w:pPr>
              <w:spacing w:after="0" w:line="195" w:lineRule="exact"/>
              <w:rPr>
                <w:sz w:val="20"/>
                <w:szCs w:val="20"/>
                <w:color w:val="auto"/>
              </w:rPr>
            </w:pPr>
            <w:r>
              <w:rPr>
                <w:rFonts w:ascii="Arial" w:cs="Arial" w:eastAsia="Arial" w:hAnsi="Arial"/>
                <w:sz w:val="18"/>
                <w:szCs w:val="18"/>
                <w:color w:val="auto"/>
              </w:rPr>
              <w:t>David L. Stepp</w:t>
            </w:r>
          </w:p>
        </w:tc>
      </w:tr>
      <w:tr>
        <w:trPr>
          <w:trHeight w:val="230"/>
        </w:trPr>
        <w:tc>
          <w:tcPr>
            <w:tcW w:w="60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Venrock Healthcare Capital Partners II, L.P.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VHCP Management 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Stepp</w:t>
            </w:r>
          </w:p>
        </w:tc>
      </w:tr>
      <w:tr>
        <w:trPr>
          <w:trHeight w:val="195"/>
        </w:trPr>
        <w:tc>
          <w:tcPr>
            <w:tcW w:w="600" w:type="dxa"/>
            <w:vAlign w:val="bottom"/>
          </w:tcPr>
          <w:p>
            <w:pPr>
              <w:spacing w:after="0"/>
              <w:rPr>
                <w:sz w:val="16"/>
                <w:szCs w:val="16"/>
                <w:color w:val="auto"/>
              </w:rPr>
            </w:pPr>
          </w:p>
        </w:tc>
        <w:tc>
          <w:tcPr>
            <w:tcW w:w="5120" w:type="dxa"/>
            <w:vAlign w:val="bottom"/>
          </w:tcPr>
          <w:p>
            <w:pPr>
              <w:spacing w:after="0" w:line="195" w:lineRule="exact"/>
              <w:rPr>
                <w:sz w:val="20"/>
                <w:szCs w:val="20"/>
                <w:color w:val="auto"/>
              </w:rPr>
            </w:pPr>
            <w:r>
              <w:rPr>
                <w:rFonts w:ascii="Arial" w:cs="Arial" w:eastAsia="Arial" w:hAnsi="Arial"/>
                <w:sz w:val="18"/>
                <w:szCs w:val="18"/>
                <w:color w:val="auto"/>
              </w:rPr>
              <w:t>David L. Stepp</w:t>
            </w:r>
          </w:p>
        </w:tc>
      </w:tr>
      <w:tr>
        <w:trPr>
          <w:trHeight w:val="230"/>
        </w:trPr>
        <w:tc>
          <w:tcPr>
            <w:tcW w:w="60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VHCP Co-Investment Holdings II, LLC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VHCP Management 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Manager</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Stepp</w:t>
            </w:r>
          </w:p>
        </w:tc>
      </w:tr>
      <w:tr>
        <w:trPr>
          <w:trHeight w:val="195"/>
        </w:trPr>
        <w:tc>
          <w:tcPr>
            <w:tcW w:w="600" w:type="dxa"/>
            <w:vAlign w:val="bottom"/>
          </w:tcPr>
          <w:p>
            <w:pPr>
              <w:spacing w:after="0"/>
              <w:rPr>
                <w:sz w:val="16"/>
                <w:szCs w:val="16"/>
                <w:color w:val="auto"/>
              </w:rPr>
            </w:pPr>
          </w:p>
        </w:tc>
        <w:tc>
          <w:tcPr>
            <w:tcW w:w="5120" w:type="dxa"/>
            <w:vAlign w:val="bottom"/>
          </w:tcPr>
          <w:p>
            <w:pPr>
              <w:spacing w:after="0" w:line="195" w:lineRule="exact"/>
              <w:rPr>
                <w:sz w:val="20"/>
                <w:szCs w:val="20"/>
                <w:color w:val="auto"/>
              </w:rPr>
            </w:pPr>
            <w:r>
              <w:rPr>
                <w:rFonts w:ascii="Arial" w:cs="Arial" w:eastAsia="Arial" w:hAnsi="Arial"/>
                <w:sz w:val="18"/>
                <w:szCs w:val="18"/>
                <w:color w:val="auto"/>
              </w:rPr>
              <w:t>David L. Stepp</w:t>
            </w:r>
          </w:p>
        </w:tc>
      </w:tr>
      <w:tr>
        <w:trPr>
          <w:trHeight w:val="230"/>
        </w:trPr>
        <w:tc>
          <w:tcPr>
            <w:tcW w:w="60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VHCP Management II, LLC</w:t>
      </w:r>
    </w:p>
    <w:p>
      <w:pPr>
        <w:spacing w:after="0" w:line="25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L. Stepp</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-130810</wp:posOffset>
            </wp:positionV>
            <wp:extent cx="32499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Authorized Signatory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Bong Koh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BONG KOH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ectPr>
          <w:pgSz w:w="11900" w:h="16838" w:orient="portrait"/>
          <w:cols w:equalWidth="0" w:num="1">
            <w:col w:w="11360"/>
          </w:cols>
          <w:pgMar w:left="240" w:top="121" w:right="299" w:bottom="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/s/ Nimish Shah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NIMISH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 FOR SEC FILINGS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undersigned hereby constitutes and appoints each of David L. Stepp, Sherman G. Souther and Lisa D. Harris, signing individually, the undersigned’s true and lawful attorney-in fact and agent to:</w:t>
      </w:r>
    </w:p>
    <w:p>
      <w:pPr>
        <w:spacing w:after="0" w:line="170" w:lineRule="exact"/>
        <w:rPr>
          <w:sz w:val="20"/>
          <w:szCs w:val="20"/>
          <w:color w:val="auto"/>
        </w:rPr>
      </w:pPr>
    </w:p>
    <w:p>
      <w:pPr>
        <w:ind w:left="1440" w:right="20" w:hanging="460"/>
        <w:spacing w:after="0" w:line="272" w:lineRule="auto"/>
        <w:tabs>
          <w:tab w:leader="none" w:pos="1467"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 and any amendments thereto in accordance with Section 13 of the Exchange Act and the rules thereunder, and (b) Forms 3, 4 and 5 and any amendments thereto in accordance with Section 16(a) of the Exchange Act and the rules thereunder; and</w:t>
      </w:r>
    </w:p>
    <w:p>
      <w:pPr>
        <w:spacing w:after="0" w:line="177" w:lineRule="exact"/>
        <w:rPr>
          <w:rFonts w:ascii="Arial" w:cs="Arial" w:eastAsia="Arial" w:hAnsi="Arial"/>
          <w:sz w:val="17"/>
          <w:szCs w:val="17"/>
          <w:color w:val="auto"/>
        </w:rPr>
      </w:pPr>
    </w:p>
    <w:p>
      <w:pPr>
        <w:ind w:left="1440" w:right="60" w:hanging="460"/>
        <w:spacing w:after="0" w:line="279" w:lineRule="auto"/>
        <w:tabs>
          <w:tab w:leader="none" w:pos="1476" w:val="left"/>
        </w:tabs>
        <w:numPr>
          <w:ilvl w:val="0"/>
          <w:numId w:val="33"/>
        </w:numPr>
        <w:rPr>
          <w:rFonts w:ascii="Arial" w:cs="Arial" w:eastAsia="Arial" w:hAnsi="Arial"/>
          <w:sz w:val="17"/>
          <w:szCs w:val="17"/>
          <w:color w:val="auto"/>
        </w:rPr>
      </w:pPr>
      <w:r>
        <w:rPr>
          <w:rFonts w:ascii="Arial" w:cs="Arial" w:eastAsia="Arial" w:hAnsi="Arial"/>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undersigned, is not assuming, nor is Venrock assuming, any of the undersigned’s responsibilities to comply with the Exchange Act, including without limitation Sections 13 and 16 of the Exchange Act.</w:t>
      </w:r>
    </w:p>
    <w:p>
      <w:pPr>
        <w:spacing w:after="0" w:line="16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VR Management, LLC (or its successor).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 this Power of Attorney to be executed as of this 13th day of February,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Nimish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6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o"/>
      <w:numFmt w:val="bullet"/>
      <w:start w:val="1"/>
    </w:lvl>
  </w:abstractNum>
  <w:abstractNum w:abstractNumId="1">
    <w:nsid w:val="519B500D"/>
    <w:multiLevelType w:val="hybridMultilevel"/>
    <w:lvl w:ilvl="0">
      <w:lvlJc w:val="left"/>
      <w:lvlText w:val="%1."/>
      <w:numFmt w:val="decimal"/>
      <w:start w:val="1"/>
    </w:lvl>
    <w:lvl w:ilvl="1">
      <w:lvlJc w:val="left"/>
      <w:lvlText w:val="(%2)"/>
      <w:numFmt w:val="lowerLetter"/>
      <w:start w:val="1"/>
    </w:lvl>
  </w:abstractNum>
  <w:abstractNum w:abstractNumId="2">
    <w:nsid w:val="431BD7B7"/>
    <w:multiLevelType w:val="hybridMultilevel"/>
    <w:lvl w:ilvl="0">
      <w:lvlJc w:val="left"/>
      <w:lvlText w:val="%1."/>
      <w:numFmt w:val="decimal"/>
      <w:start w:val="9"/>
    </w:lvl>
  </w:abstractNum>
  <w:abstractNum w:abstractNumId="3">
    <w:nsid w:val="3F2DBA31"/>
    <w:multiLevelType w:val="hybridMultilevel"/>
    <w:lvl w:ilvl="0">
      <w:lvlJc w:val="left"/>
      <w:lvlText w:val="%1."/>
      <w:numFmt w:val="decimal"/>
      <w:start w:val="1"/>
    </w:lvl>
    <w:lvl w:ilvl="1">
      <w:lvlJc w:val="left"/>
      <w:lvlText w:val="(%2)"/>
      <w:numFmt w:val="lowerLetter"/>
      <w:start w:val="1"/>
    </w:lvl>
  </w:abstractNum>
  <w:abstractNum w:abstractNumId="4">
    <w:nsid w:val="7C83E458"/>
    <w:multiLevelType w:val="hybridMultilevel"/>
    <w:lvl w:ilvl="0">
      <w:lvlJc w:val="left"/>
      <w:lvlText w:val="%1."/>
      <w:numFmt w:val="decimal"/>
      <w:start w:val="9"/>
    </w:lvl>
  </w:abstractNum>
  <w:abstractNum w:abstractNumId="5">
    <w:nsid w:val="257130A3"/>
    <w:multiLevelType w:val="hybridMultilevel"/>
    <w:lvl w:ilvl="0">
      <w:lvlJc w:val="left"/>
      <w:lvlText w:val="%1."/>
      <w:numFmt w:val="decimal"/>
      <w:start w:val="11"/>
    </w:lvl>
  </w:abstractNum>
  <w:abstractNum w:abstractNumId="6">
    <w:nsid w:val="62BBD95A"/>
    <w:multiLevelType w:val="hybridMultilevel"/>
    <w:lvl w:ilvl="0">
      <w:lvlJc w:val="left"/>
      <w:lvlText w:val="%1."/>
      <w:numFmt w:val="decimal"/>
      <w:start w:val="12"/>
    </w:lvl>
  </w:abstractNum>
  <w:abstractNum w:abstractNumId="7">
    <w:nsid w:val="436C6125"/>
    <w:multiLevelType w:val="hybridMultilevel"/>
    <w:lvl w:ilvl="0">
      <w:lvlJc w:val="left"/>
      <w:lvlText w:val="%1."/>
      <w:numFmt w:val="decimal"/>
      <w:start w:val="1"/>
    </w:lvl>
    <w:lvl w:ilvl="1">
      <w:lvlJc w:val="left"/>
      <w:lvlText w:val="(%2)"/>
      <w:numFmt w:val="lowerLetter"/>
      <w:start w:val="1"/>
    </w:lvl>
  </w:abstractNum>
  <w:abstractNum w:abstractNumId="8">
    <w:nsid w:val="628C895D"/>
    <w:multiLevelType w:val="hybridMultilevel"/>
    <w:lvl w:ilvl="0">
      <w:lvlJc w:val="left"/>
      <w:lvlText w:val="%1."/>
      <w:numFmt w:val="decimal"/>
      <w:start w:val="9"/>
    </w:lvl>
  </w:abstractNum>
  <w:abstractNum w:abstractNumId="9">
    <w:nsid w:val="333AB105"/>
    <w:multiLevelType w:val="hybridMultilevel"/>
    <w:lvl w:ilvl="0">
      <w:lvlJc w:val="left"/>
      <w:lvlText w:val="%1."/>
      <w:numFmt w:val="decimal"/>
      <w:start w:val="1"/>
    </w:lvl>
    <w:lvl w:ilvl="1">
      <w:lvlJc w:val="left"/>
      <w:lvlText w:val="(%2)"/>
      <w:numFmt w:val="lowerLetter"/>
      <w:start w:val="1"/>
    </w:lvl>
  </w:abstractNum>
  <w:abstractNum w:abstractNumId="10">
    <w:nsid w:val="721DA317"/>
    <w:multiLevelType w:val="hybridMultilevel"/>
    <w:lvl w:ilvl="0">
      <w:lvlJc w:val="left"/>
      <w:lvlText w:val="%1."/>
      <w:numFmt w:val="decimal"/>
      <w:start w:val="9"/>
    </w:lvl>
  </w:abstractNum>
  <w:abstractNum w:abstractNumId="11">
    <w:nsid w:val="2443A858"/>
    <w:multiLevelType w:val="hybridMultilevel"/>
    <w:lvl w:ilvl="0">
      <w:lvlJc w:val="left"/>
      <w:lvlText w:val="%1."/>
      <w:numFmt w:val="decimal"/>
      <w:start w:val="1"/>
    </w:lvl>
    <w:lvl w:ilvl="1">
      <w:lvlJc w:val="left"/>
      <w:lvlText w:val="(%2)"/>
      <w:numFmt w:val="lowerLetter"/>
      <w:start w:val="1"/>
    </w:lvl>
  </w:abstractNum>
  <w:abstractNum w:abstractNumId="12">
    <w:nsid w:val="2D1D5AE9"/>
    <w:multiLevelType w:val="hybridMultilevel"/>
    <w:lvl w:ilvl="0">
      <w:lvlJc w:val="left"/>
      <w:lvlText w:val="%1."/>
      <w:numFmt w:val="decimal"/>
      <w:start w:val="9"/>
    </w:lvl>
  </w:abstractNum>
  <w:abstractNum w:abstractNumId="13">
    <w:nsid w:val="6763845E"/>
    <w:multiLevelType w:val="hybridMultilevel"/>
    <w:lvl w:ilvl="0">
      <w:lvlJc w:val="left"/>
      <w:lvlText w:val="%1."/>
      <w:numFmt w:val="decimal"/>
      <w:start w:val="1"/>
    </w:lvl>
    <w:lvl w:ilvl="1">
      <w:lvlJc w:val="left"/>
      <w:lvlText w:val="(%2)"/>
      <w:numFmt w:val="lowerLetter"/>
      <w:start w:val="1"/>
    </w:lvl>
  </w:abstractNum>
  <w:abstractNum w:abstractNumId="14">
    <w:nsid w:val="75A2A8D4"/>
    <w:multiLevelType w:val="hybridMultilevel"/>
    <w:lvl w:ilvl="0">
      <w:lvlJc w:val="left"/>
      <w:lvlText w:val="%1."/>
      <w:numFmt w:val="decimal"/>
      <w:start w:val="9"/>
    </w:lvl>
  </w:abstractNum>
  <w:abstractNum w:abstractNumId="15">
    <w:nsid w:val="8EDBDAB"/>
    <w:multiLevelType w:val="hybridMultilevel"/>
    <w:lvl w:ilvl="0">
      <w:lvlJc w:val="left"/>
      <w:lvlText w:val="%1."/>
      <w:numFmt w:val="decimal"/>
      <w:start w:val="1"/>
    </w:lvl>
    <w:lvl w:ilvl="1">
      <w:lvlJc w:val="left"/>
      <w:lvlText w:val="(%2)"/>
      <w:numFmt w:val="lowerLetter"/>
      <w:start w:val="1"/>
    </w:lvl>
  </w:abstractNum>
  <w:abstractNum w:abstractNumId="16">
    <w:nsid w:val="79838CB2"/>
    <w:multiLevelType w:val="hybridMultilevel"/>
    <w:lvl w:ilvl="0">
      <w:lvlJc w:val="left"/>
      <w:lvlText w:val="%1"/>
      <w:numFmt w:val="decimal"/>
      <w:start w:val="1"/>
    </w:lvl>
    <w:lvl w:ilvl="1">
      <w:lvlJc w:val="left"/>
      <w:lvlText w:val="(%2)"/>
      <w:numFmt w:val="lowerLetter"/>
      <w:start w:val="2"/>
    </w:lvl>
  </w:abstractNum>
  <w:abstractNum w:abstractNumId="17">
    <w:nsid w:val="4353D0CD"/>
    <w:multiLevelType w:val="hybridMultilevel"/>
    <w:lvl w:ilvl="0">
      <w:lvlJc w:val="left"/>
      <w:lvlText w:val="%1."/>
      <w:numFmt w:val="decimal"/>
      <w:start w:val="3"/>
    </w:lvl>
    <w:lvl w:ilvl="1">
      <w:lvlJc w:val="left"/>
      <w:lvlText w:val="%2"/>
      <w:numFmt w:val="lowerLetter"/>
      <w:start w:val="1"/>
    </w:lvl>
  </w:abstractNum>
  <w:abstractNum w:abstractNumId="18">
    <w:nsid w:val="B03E0C6"/>
    <w:multiLevelType w:val="hybridMultilevel"/>
    <w:lvl w:ilvl="0">
      <w:lvlJc w:val="left"/>
      <w:lvlText w:val="%1."/>
      <w:numFmt w:val="decimal"/>
      <w:start w:val="9"/>
    </w:lvl>
  </w:abstractNum>
  <w:abstractNum w:abstractNumId="19">
    <w:nsid w:val="189A769B"/>
    <w:multiLevelType w:val="hybridMultilevel"/>
    <w:lvl w:ilvl="0">
      <w:lvlJc w:val="left"/>
      <w:lvlText w:val="%1."/>
      <w:numFmt w:val="decimal"/>
      <w:start w:val="1"/>
    </w:lvl>
    <w:lvl w:ilvl="1">
      <w:lvlJc w:val="left"/>
      <w:lvlText w:val="(%2)"/>
      <w:numFmt w:val="lowerLetter"/>
      <w:start w:val="1"/>
    </w:lvl>
  </w:abstractNum>
  <w:abstractNum w:abstractNumId="20">
    <w:nsid w:val="54E49EB4"/>
    <w:multiLevelType w:val="hybridMultilevel"/>
    <w:lvl w:ilvl="0">
      <w:lvlJc w:val="left"/>
      <w:lvlText w:val="%1."/>
      <w:numFmt w:val="decimal"/>
      <w:start w:val="9"/>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lowerLetter"/>
      <w:start w:val="2"/>
    </w:lvl>
  </w:abstractNum>
  <w:abstractNum w:abstractNumId="24">
    <w:nsid w:val="2901D82"/>
    <w:multiLevelType w:val="hybridMultilevel"/>
    <w:lvl w:ilvl="0">
      <w:lvlJc w:val="left"/>
      <w:lvlText w:val="(%1)"/>
      <w:numFmt w:val="lowerLetter"/>
      <w:start w:val="3"/>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3"/>
    </w:lvl>
  </w:abstractNum>
  <w:abstractNum w:abstractNumId="27">
    <w:nsid w:val="1E7FF521"/>
    <w:multiLevelType w:val="hybridMultilevel"/>
    <w:lvl w:ilvl="0">
      <w:lvlJc w:val="left"/>
      <w:lvlText w:val="(%1)"/>
      <w:numFmt w:val="lowerRoman"/>
      <w:start w:val="2"/>
    </w:lvl>
  </w:abstractNum>
  <w:abstractNum w:abstractNumId="28">
    <w:nsid w:val="7C3DBD3D"/>
    <w:multiLevelType w:val="hybridMultilevel"/>
    <w:lvl w:ilvl="0">
      <w:lvlJc w:val="left"/>
      <w:lvlText w:val="(%1)"/>
      <w:numFmt w:val="lowerRoman"/>
      <w:start w:val="3"/>
    </w:lvl>
  </w:abstractNum>
  <w:abstractNum w:abstractNumId="29">
    <w:nsid w:val="737B8DDC"/>
    <w:multiLevelType w:val="hybridMultilevel"/>
    <w:lvl w:ilvl="0">
      <w:lvlJc w:val="left"/>
      <w:lvlText w:val="(%1)"/>
      <w:numFmt w:val="lowerRoman"/>
      <w:start w:val="4"/>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upperLetter"/>
      <w:start w:val="1"/>
    </w:lvl>
  </w:abstractNum>
  <w:abstractNum w:abstractNumId="32">
    <w:nsid w:val="4516DD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2019-12-16T22:18:35Z</dcterms:created>
  <dcterms:modified xsi:type="dcterms:W3CDTF">2019-12-16T22:18:35Z</dcterms:modified>
</cp:coreProperties>
</file>