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20, 2020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472" w:right="339" w:bottom="1440" w:gutter="0" w:footer="0" w:header="0"/>
        </w:sectPr>
      </w:pPr>
    </w:p>
    <w:p>
      <w:pPr>
        <w:spacing w:after="0" w:line="205"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001-38942</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32-0595345</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4500" w:space="720"/>
            <w:col w:w="2800" w:space="720"/>
            <w:col w:w="2500"/>
          </w:cols>
          <w:pgMar w:left="320" w:top="472" w:right="339" w:bottom="144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10628 Science Center Drive, Suite 250</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California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1240"/>
          </w:cols>
          <w:pgMar w:left="320" w:top="472" w:right="339" w:bottom="1440" w:gutter="0" w:footer="0" w:header="0"/>
          <w:type w:val="continuous"/>
        </w:sect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(858) 900-2660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4"/>
        </w:trPr>
        <w:tc>
          <w:tcPr>
            <w:tcW w:w="3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3"/>
              </w:rPr>
              <w:t>Trading</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00" w:type="dxa"/>
            <w:vAlign w:val="bottom"/>
            <w:gridSpan w:val="3"/>
          </w:tcPr>
          <w:p>
            <w:pPr>
              <w:jc w:val="center"/>
              <w:ind w:right="900"/>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9"/>
              </w:rPr>
              <w:t>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80" w:type="dxa"/>
            <w:vAlign w:val="bottom"/>
            <w:tcBorders>
              <w:top w:val="single" w:sz="8" w:color="auto"/>
            </w:tcBorders>
          </w:tcPr>
          <w:p>
            <w:pPr>
              <w:jc w:val="center"/>
              <w:ind w:right="570"/>
              <w:spacing w:after="0"/>
              <w:rPr>
                <w:sz w:val="20"/>
                <w:szCs w:val="20"/>
                <w:color w:val="auto"/>
              </w:rPr>
            </w:pPr>
            <w:r>
              <w:rPr>
                <w:rFonts w:ascii="Arial" w:cs="Arial" w:eastAsia="Arial" w:hAnsi="Arial"/>
                <w:sz w:val="18"/>
                <w:szCs w:val="18"/>
                <w:b w:val="1"/>
                <w:bCs w:val="1"/>
                <w:color w:val="auto"/>
                <w:w w:val="99"/>
              </w:rPr>
              <w:t>ARCT</w:t>
            </w:r>
          </w:p>
        </w:tc>
        <w:tc>
          <w:tcPr>
            <w:tcW w:w="260" w:type="dxa"/>
            <w:vAlign w:val="bottom"/>
          </w:tcPr>
          <w:p>
            <w:pPr>
              <w:spacing w:after="0"/>
              <w:rPr>
                <w:sz w:val="19"/>
                <w:szCs w:val="19"/>
                <w:color w:val="auto"/>
              </w:rPr>
            </w:pPr>
          </w:p>
        </w:tc>
        <w:tc>
          <w:tcPr>
            <w:tcW w:w="38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Ultragenyx Option Exercise Pursuant to the Equity Purchase Agreement</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previously announced, on June 18, 2019 Arcturus Therapeutics Holdings Inc. (the “Company”) entered into an Equity Purchase Agreement (the “Agreement”) with Ultragenyx Pharmaceutical Inc. (“Ultragenyx”). Pursuant to the Agreement, the Company granted Ultragenyx a two-year option (the “Option”) to purchase up to 600,000 additional shares of the Company’s common stock (the “Common Stock”) at a price of $16.00 per share. On May 20, 2020, Ultragenyx completed the exercise of the Option to purchase an additional 600,000 shares of Common Stock (the “Additional Shares”) in accordance with the terms of the Agreement. The issuance of the Additional Shares closed on May 20, 2020.</w:t>
      </w:r>
    </w:p>
    <w:p>
      <w:pPr>
        <w:spacing w:after="0" w:line="176"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The issuance and sale of the Additional Shares have not been registered under the Securities Act. The Additional Shares have been sold and issued in reliance on an exemption from the registration requirements of the Securities Act afforded by Section 4(a)(2) thereof and Rule 506 of Regulation D thereunder.</w:t>
      </w:r>
    </w:p>
    <w:p>
      <w:pPr>
        <w:spacing w:after="0" w:line="184"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None of the Additional Shares may be offered or sold in the United States absent registration under or exemption from the Securities Act and any applicable state securities laws. This Current Report on Form 8-K is not an offer to sell or the solicitation of an offer to buy any such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May 21, 2020, the Company issued a press release, a copy of which is filed herewith as Exhibit 99.1, announcing the issuance of the Additional Shares. The information set forth in this Item 7.01 and in Exhibit 99.1 is furnished and shall not be deemed “filed” for purposes of Section 18 of the Securities Exchange Act of 1934, as amended (the “Exchange Act”), or otherwise subject to the liabilities of that Section. The information in this Item 7.01 and in Exhibit 99.1 shall not be deemed to be incorporated by reference into any filing of the Company under the Securities Act of 1933, as amended, or the Exchange Act, whether made before or after the date hereof, except as shall be expressly set forth by specific reference in such a filing.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  Description of Exhibit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10220" w:type="dxa"/>
            <w:vAlign w:val="bottom"/>
            <w:gridSpan w:val="5"/>
          </w:tcPr>
          <w:p>
            <w:pPr>
              <w:spacing w:after="0"/>
              <w:rPr>
                <w:rFonts w:ascii="Arial" w:cs="Arial" w:eastAsia="Arial" w:hAnsi="Arial"/>
                <w:sz w:val="18"/>
                <w:szCs w:val="18"/>
                <w:color w:val="0000EE"/>
                <w:w w:val="91"/>
              </w:rPr>
            </w:pPr>
            <w:hyperlink r:id="rId9">
              <w:r>
                <w:rPr>
                  <w:rFonts w:ascii="Arial" w:cs="Arial" w:eastAsia="Arial" w:hAnsi="Arial"/>
                  <w:sz w:val="18"/>
                  <w:szCs w:val="18"/>
                  <w:color w:val="0000EE"/>
                  <w:w w:val="91"/>
                </w:rPr>
                <w:t>Registration Rights Agreement, dated June 18, 2019, between the Company and Ultragenyx Pharmaceutical Inc. (Incorporated by reference</w:t>
              </w:r>
            </w:hyperlink>
          </w:p>
        </w:tc>
      </w:tr>
      <w:tr>
        <w:trPr>
          <w:trHeight w:val="196"/>
        </w:trPr>
        <w:tc>
          <w:tcPr>
            <w:tcW w:w="1020" w:type="dxa"/>
            <w:vAlign w:val="bottom"/>
          </w:tcPr>
          <w:p>
            <w:pPr>
              <w:spacing w:after="0"/>
              <w:rPr>
                <w:sz w:val="17"/>
                <w:szCs w:val="17"/>
                <w:color w:val="auto"/>
              </w:rPr>
            </w:pPr>
          </w:p>
        </w:tc>
        <w:tc>
          <w:tcPr>
            <w:tcW w:w="4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9">
              <w:r>
                <w:rPr>
                  <w:rFonts w:ascii="Arial" w:cs="Arial" w:eastAsia="Arial" w:hAnsi="Arial"/>
                  <w:sz w:val="18"/>
                  <w:szCs w:val="18"/>
                  <w:color w:val="0000EE"/>
                  <w:w w:val="91"/>
                </w:rPr>
                <w:t>to Exhibit 4.1 to the Company’s 8-K filed on June 20, 2019.)</w:t>
              </w:r>
            </w:hyperlink>
          </w:p>
        </w:tc>
        <w:tc>
          <w:tcPr>
            <w:tcW w:w="5680" w:type="dxa"/>
            <w:vAlign w:val="bottom"/>
            <w:tcBorders>
              <w:top w:val="single" w:sz="8" w:color="0000EE"/>
            </w:tcBorders>
            <w:gridSpan w:val="2"/>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0220" w:type="dxa"/>
            <w:vAlign w:val="bottom"/>
            <w:gridSpan w:val="5"/>
          </w:tcPr>
          <w:p>
            <w:pPr>
              <w:spacing w:after="0" w:line="196" w:lineRule="exact"/>
              <w:rPr>
                <w:rFonts w:ascii="Arial" w:cs="Arial" w:eastAsia="Arial" w:hAnsi="Arial"/>
                <w:sz w:val="18"/>
                <w:szCs w:val="18"/>
                <w:color w:val="0000EE"/>
                <w:w w:val="91"/>
              </w:rPr>
            </w:pPr>
            <w:hyperlink r:id="rId10">
              <w:r>
                <w:rPr>
                  <w:rFonts w:ascii="Arial" w:cs="Arial" w:eastAsia="Arial" w:hAnsi="Arial"/>
                  <w:sz w:val="18"/>
                  <w:szCs w:val="18"/>
                  <w:color w:val="0000EE"/>
                  <w:w w:val="91"/>
                </w:rPr>
                <w:t>Equity Purchase Agreement, dated June 18, 2019, between the Company and Ultragenyx Pharmaceutical Inc. (Incorporated by reference to</w:t>
              </w:r>
            </w:hyperlink>
          </w:p>
        </w:tc>
      </w:tr>
      <w:tr>
        <w:trPr>
          <w:trHeight w:val="196"/>
        </w:trPr>
        <w:tc>
          <w:tcPr>
            <w:tcW w:w="1020" w:type="dxa"/>
            <w:vAlign w:val="bottom"/>
          </w:tcPr>
          <w:p>
            <w:pPr>
              <w:spacing w:after="0"/>
              <w:rPr>
                <w:sz w:val="17"/>
                <w:szCs w:val="17"/>
                <w:color w:val="auto"/>
              </w:rPr>
            </w:pPr>
          </w:p>
        </w:tc>
        <w:tc>
          <w:tcPr>
            <w:tcW w:w="100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r:id="rId10">
              <w:r>
                <w:rPr>
                  <w:rFonts w:ascii="Arial" w:cs="Arial" w:eastAsia="Arial" w:hAnsi="Arial"/>
                  <w:sz w:val="18"/>
                  <w:szCs w:val="18"/>
                  <w:color w:val="0000EE"/>
                </w:rPr>
                <w:t>Exhibit 10.1 to the Company’s 8-K filed on June 20, 2019.)</w:t>
              </w:r>
            </w:hyperlink>
          </w:p>
        </w:tc>
        <w:tc>
          <w:tcPr>
            <w:tcW w:w="200" w:type="dxa"/>
            <w:vAlign w:val="bottom"/>
            <w:gridSpan w:val="2"/>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22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May 21, 2020, issued by the Company.</w:t>
              </w:r>
            </w:hyperlink>
          </w:p>
        </w:tc>
      </w:tr>
      <w:tr>
        <w:trPr>
          <w:trHeight w:val="574"/>
        </w:trPr>
        <w:tc>
          <w:tcPr>
            <w:tcW w:w="10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2020</w:t>
      </w:r>
    </w:p>
    <w:p>
      <w:pPr>
        <w:spacing w:after="0" w:line="211"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96" w:right="339" w:bottom="1440" w:gutter="0" w:footer="0" w:header="0"/>
        </w:sectPr>
      </w:pPr>
    </w:p>
    <w:bookmarkStart w:id="3" w:name="page4"/>
    <w:bookmarkEnd w:id="3"/>
    <w:p>
      <w:pPr>
        <w:ind w:left="10360"/>
        <w:spacing w:after="0"/>
        <w:rPr>
          <w:sz w:val="20"/>
          <w:szCs w:val="20"/>
          <w:color w:val="auto"/>
        </w:rPr>
      </w:pPr>
      <w:r>
        <w:rPr>
          <w:rFonts w:ascii="Arial" w:cs="Arial" w:eastAsia="Arial" w:hAnsi="Arial"/>
          <w:sz w:val="16"/>
          <w:szCs w:val="16"/>
          <w:color w:val="auto"/>
        </w:rPr>
        <w:t>Exhibit 99.1</w:t>
      </w:r>
    </w:p>
    <w:p>
      <w:pPr>
        <w:spacing w:after="0" w:line="221" w:lineRule="exact"/>
        <w:rPr>
          <w:sz w:val="20"/>
          <w:szCs w:val="20"/>
          <w:color w:val="auto"/>
        </w:rPr>
      </w:pPr>
    </w:p>
    <w:p>
      <w:pPr>
        <w:jc w:val="center"/>
        <w:spacing w:after="0" w:line="272" w:lineRule="auto"/>
        <w:rPr>
          <w:sz w:val="20"/>
          <w:szCs w:val="20"/>
          <w:color w:val="auto"/>
        </w:rPr>
      </w:pPr>
      <w:r>
        <w:rPr>
          <w:rFonts w:ascii="Arial" w:cs="Arial" w:eastAsia="Arial" w:hAnsi="Arial"/>
          <w:sz w:val="32"/>
          <w:szCs w:val="32"/>
          <w:b w:val="1"/>
          <w:bCs w:val="1"/>
          <w:color w:val="auto"/>
        </w:rPr>
        <w:t>Ultragenyx Announces Exercise of Option to Purchase Additional Stock of Arcturus Therapeutics</w:t>
      </w:r>
    </w:p>
    <w:p>
      <w:pPr>
        <w:spacing w:after="0" w:line="13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NOVATO, Calif. and SAN DIEGO, May 21, 2020 (GLOBE NEWSWIRE) -- Ultragenyx Pharmaceutical, Inc. (Nasdaq: RARE), a biopharmaceutical company focused on the development and commercialization of novel products for serious rare and ultra-rare genetic diseases and Arcturus Therapeutics Holdings Inc. (Nasdaq: ARCT), a leading clinical-stage messenger RNA medicines company focused on the discovery, development and commercialization of therapeutics for rare diseases and vaccines, today announced that Ultragenyx has exercised its option to purchase 600,000 shares of Arcturus common stock at $16.00 per share.</w:t>
      </w:r>
    </w:p>
    <w:p>
      <w:pPr>
        <w:spacing w:after="0" w:line="18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are encouraged by the advancement of Arcturus’s broad nucleic acid platform across multiple therapeutic areas, including their self-replicating mRNA-based COVID-19 vaccine candidate,” said Emil D. Kakkis, M.D., Ph.D., Chief Executive Officer and President of Ultragenyx. “We are also pleased with the progress of our preclinical UX053 mRNA candidate for Glycogen Storage Disease Type III and other earlier-stage opportunities we are exploring under the collaboration.”</w:t>
      </w:r>
    </w:p>
    <w:p>
      <w:pPr>
        <w:spacing w:after="0" w:line="187"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new investment from Ultragenyx is a testament to the strength of our long-term collaboration in developing nucleic acid therapies,” said Andrew Sassine, Chief Financial Officer of Arcturus. “The additional funding will support our clinical programs, including our efforts to move our COVID-19 vaccine candidate into clinical testing this summer.”</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After completion of the new equity purchase, Ultragenyx will own 3,000,000 shares, or 14.6%, of Arcturus outstanding common stock and will continue to be its largest shareholder. The purchase was made pursuant to the equity purchase agreement between the parties entered into in June 2019 in connection with the amendment to the research collaboration and license agreement between the two companies focused on nucleic acid therapies for rare diseases that was initiated in 2015. The first disclosed indication under the collaboration is Glycogen Storage Disease Type III, and an Investigational New Drug (IND) application for this mRNA therapeutic program, UX053, is expected to be filed in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Ultragenyx Pharmaceutical, Inc.</w:t>
      </w:r>
    </w:p>
    <w:p>
      <w:pPr>
        <w:spacing w:after="0" w:line="2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Ultragenyx is a biopharmaceutical company committed to bringing patients novel products for the treatment of serious rare and ultra-rare genetic diseases. The company has built a diverse portfolio of approved therapies and product candidates aimed at addressing diseases with high unmet medical need and clear biology for treatment, for which there are typically no approved therapies treating the underlying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ind w:right="280"/>
        <w:spacing w:after="0" w:line="342" w:lineRule="auto"/>
        <w:rPr>
          <w:sz w:val="20"/>
          <w:szCs w:val="20"/>
          <w:color w:val="auto"/>
        </w:rPr>
      </w:pPr>
      <w:r>
        <w:rPr>
          <w:rFonts w:ascii="Arial" w:cs="Arial" w:eastAsia="Arial" w:hAnsi="Arial"/>
          <w:sz w:val="16"/>
          <w:szCs w:val="16"/>
          <w:color w:val="auto"/>
        </w:rPr>
        <w:t>The company is led by a management team experienced in the development and commercialization of rare disease therapeutics. Ultragenyx’s strategy is predicated upon time and cost-efficient drug development, with the goal of delivering safe and effective therapies to patients with the utmost urgency.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Ultragenyx, please visit the Company's website at www.ultragenyx.com.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 Holdings Inc.</w:t>
      </w:r>
    </w:p>
    <w:p>
      <w:pPr>
        <w:spacing w:after="0" w:line="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candidates includes programs to potentially treat Ornithine Transcarbamylase (OTC) Deficiency, Cystic Fibrosis, Glycogen Storage Disease Type 3, Hepatitis B, non-alcoholic steatohepatitis (NASH) and a self-replicating mRNA vaccine for SARS-CoV-2.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(187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Catalent Inc., and the Cystic Fibrosis Foundation. For more information visit www.ArcturusRx.com.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Ultragenyx Forward-Looking Statements</w:t>
      </w:r>
    </w:p>
    <w:p>
      <w:pPr>
        <w:spacing w:after="0" w:line="27"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i w:val="1"/>
          <w:iCs w:val="1"/>
          <w:color w:val="auto"/>
        </w:rPr>
        <w:t>Except for the historical information contained herein, the matters set forth in this press release, including statements related to Ultragenyx's expectations regarding plans for its clinical programs and clinical studies, future regulatory interactions, and the components and timing of regulatory submissions are forward-looking statements within the meaning of the "safe harbor" provisions of the Private Securities Litigation Reform Act of 1995. Such forward-looking statements involve substantial risks and uncertainties that could cause our clinical development programs, collaboration with, and investment, in Arcturus, future results, performance or achievements to differ significantly from those expressed or implied by the forward-looking statements. Such risks and uncertainties include, among others, the uncertainties inherent in the clinical drug development process, such as the regulatory approval process, the timing of regulatory filings and approvals (including whether such approvals can be obtained), the effects from the COVID-19 pandemic on our clinical trial activities, business and operations and other matters that could affect sufficiency of existing cash, cash equivalents and short-term investments to fund operations and the availability or commercial potential of our products and drug candidates. Ultragenyx undertakes no obligation to update or revise any forward looking statements. For a further description of the risks and uncertainties that could cause actual results to differ from those expressed in these forward-looking statements, as well as risks relating to the business of Ultragenyx in general, see Ultragenyx's Quarterly Report filed on Form 10-Q with the Securities and Exchange Commission on May 7, 2020, and its subsequent periodic reports filed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Arcturus Forward-Looking Statements</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including those regarding Arcturus’ expected performance, Arcturus’ efforts to develop a vaccine against COVID-19, the forecasted safety, timing, efficacy, reliability or availability of a vaccine against COVID-19 were one to be successfully developed by Arcturus, the timing and the potential initiation of clinical trials of a vaccine against COVID-19 by Arcturus,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No assurances can be given that any results reported in pre-clinical studies can be replicated in further studies or in human beings, or that a vaccine can or will ever be developed or approved using Arcturus’ technology.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&amp;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Therapeutics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858-900-2682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617-914-0008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ctanzi@kendallir.com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Danielle Keatley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415-475-6876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IR@ultragenyx.com</w:t>
      </w:r>
    </w:p>
    <w:sectPr>
      <w:pgSz w:w="11900" w:h="16838" w:orient="portrait"/>
      <w:cols w:equalWidth="0" w:num="1">
        <w:col w:w="11160"/>
      </w:cols>
      <w:pgMar w:left="320" w:top="79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9" Type="http://schemas.openxmlformats.org/officeDocument/2006/relationships/hyperlink" Target="http://www.sec.gov/Archives/edgar/data/1566049/000119312519176908/d721252dex41.htm" TargetMode="External"/><Relationship Id="rId10" Type="http://schemas.openxmlformats.org/officeDocument/2006/relationships/hyperlink" Target="http://www.sec.gov/Archives/edgar/data/1566049/000119312519176908/d72125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2020-05-21T15:35:57Z</dcterms:created>
  <dcterms:modified xsi:type="dcterms:W3CDTF">2020-05-21T15:35:57Z</dcterms:modified>
</cp:coreProperties>
</file>