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189865</wp:posOffset>
            </wp:positionH>
            <wp:positionV relativeFrom="page">
              <wp:posOffset>81280</wp:posOffset>
            </wp:positionV>
            <wp:extent cx="7389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127000</wp:posOffset>
            </wp:positionV>
            <wp:extent cx="7389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89495" cy="8890"/>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SECURITIES AND EXCHANGE COMMISSION</w:t>
      </w: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241935</wp:posOffset>
            </wp:positionV>
            <wp:extent cx="1557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260350</wp:posOffset>
            </wp:positionV>
            <wp:extent cx="155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CURRENT REPORT</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Pursuant to Section 13 or 15(d)</w:t>
      </w:r>
    </w:p>
    <w:p>
      <w:pPr>
        <w:jc w:val="center"/>
        <w:spacing w:after="0"/>
        <w:rPr>
          <w:sz w:val="20"/>
          <w:szCs w:val="20"/>
          <w:color w:val="auto"/>
        </w:rPr>
      </w:pPr>
      <w:r>
        <w:rPr>
          <w:rFonts w:ascii="Arial" w:cs="Arial" w:eastAsia="Arial" w:hAnsi="Arial"/>
          <w:sz w:val="23"/>
          <w:szCs w:val="23"/>
          <w:b w:val="1"/>
          <w:bCs w:val="1"/>
          <w:color w:val="auto"/>
        </w:rPr>
        <w:t>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Date of Report (Date of earliest event reported): September 16,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249555</wp:posOffset>
            </wp:positionV>
            <wp:extent cx="155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45"/>
          <w:szCs w:val="45"/>
          <w:b w:val="1"/>
          <w:bCs w:val="1"/>
          <w:color w:val="auto"/>
        </w:rPr>
        <w:t>ARCTURUS THERAPEUTICS HOLDINGS INC.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249555</wp:posOffset>
            </wp:positionV>
            <wp:extent cx="1557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ectPr>
          <w:pgSz w:w="12240" w:h="15840" w:orient="portrait"/>
          <w:cols w:equalWidth="0" w:num="1">
            <w:col w:w="11640"/>
          </w:cols>
          <w:pgMar w:left="300" w:top="239" w:right="300" w:bottom="115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16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2240"/>
        <w:spacing w:after="0"/>
        <w:rPr>
          <w:sz w:val="20"/>
          <w:szCs w:val="20"/>
          <w:color w:val="auto"/>
        </w:rPr>
      </w:pPr>
      <w:r>
        <w:rPr>
          <w:rFonts w:ascii="Arial" w:cs="Arial" w:eastAsia="Arial" w:hAnsi="Arial"/>
          <w:sz w:val="17"/>
          <w:szCs w:val="17"/>
          <w:b w:val="1"/>
          <w:bCs w:val="1"/>
          <w:color w:val="auto"/>
        </w:rPr>
        <w:t>001-38942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32-0595345</w:t>
      </w:r>
    </w:p>
    <w:p>
      <w:pPr>
        <w:spacing w:after="0" w:line="30" w:lineRule="exact"/>
        <w:rPr>
          <w:sz w:val="24"/>
          <w:szCs w:val="24"/>
          <w:color w:val="auto"/>
        </w:rPr>
      </w:pPr>
    </w:p>
    <w:p>
      <w:pPr>
        <w:sectPr>
          <w:pgSz w:w="12240" w:h="15840" w:orient="portrait"/>
          <w:cols w:equalWidth="0" w:num="3">
            <w:col w:w="4800" w:space="720"/>
            <w:col w:w="3080" w:space="720"/>
            <w:col w:w="2320"/>
          </w:cols>
          <w:pgMar w:left="300" w:top="239" w:right="300" w:bottom="1152" w:gutter="0" w:footer="0" w:header="0"/>
          <w:type w:val="continuous"/>
        </w:sectPr>
      </w:pPr>
    </w:p>
    <w:p>
      <w:pPr>
        <w:spacing w:after="0" w:line="22" w:lineRule="exact"/>
        <w:rPr>
          <w:sz w:val="24"/>
          <w:szCs w:val="24"/>
          <w:color w:val="auto"/>
        </w:rPr>
      </w:pPr>
    </w:p>
    <w:p>
      <w:pPr>
        <w:jc w:val="center"/>
        <w:ind w:right="840"/>
        <w:spacing w:after="0"/>
        <w:rPr>
          <w:sz w:val="20"/>
          <w:szCs w:val="20"/>
          <w:color w:val="auto"/>
        </w:rPr>
      </w:pPr>
      <w:r>
        <w:rPr>
          <w:rFonts w:ascii="Arial" w:cs="Arial" w:eastAsia="Arial" w:hAnsi="Arial"/>
          <w:sz w:val="13"/>
          <w:szCs w:val="13"/>
          <w:b w:val="1"/>
          <w:bCs w:val="1"/>
          <w:color w:val="auto"/>
        </w:rPr>
        <w:t>(State or other jurisdiction</w:t>
      </w:r>
    </w:p>
    <w:p>
      <w:pPr>
        <w:spacing w:after="0" w:line="1" w:lineRule="exact"/>
        <w:rPr>
          <w:sz w:val="24"/>
          <w:szCs w:val="24"/>
          <w:color w:val="auto"/>
        </w:rPr>
      </w:pPr>
    </w:p>
    <w:p>
      <w:pPr>
        <w:jc w:val="center"/>
        <w:ind w:right="840"/>
        <w:spacing w:after="0"/>
        <w:rPr>
          <w:sz w:val="20"/>
          <w:szCs w:val="20"/>
          <w:color w:val="auto"/>
        </w:rPr>
      </w:pPr>
      <w:r>
        <w:rPr>
          <w:rFonts w:ascii="Arial" w:cs="Arial" w:eastAsia="Arial" w:hAnsi="Arial"/>
          <w:sz w:val="15"/>
          <w:szCs w:val="15"/>
          <w:b w:val="1"/>
          <w:bCs w:val="1"/>
          <w:color w:val="auto"/>
        </w:rPr>
        <w:t>of incorporation)</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(Commission</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b w:val="1"/>
          <w:bCs w:val="1"/>
          <w:color w:val="auto"/>
        </w:rPr>
        <w:t>(I.R.S. Employer</w:t>
      </w:r>
    </w:p>
    <w:p>
      <w:pPr>
        <w:spacing w:after="0"/>
        <w:rPr>
          <w:sz w:val="20"/>
          <w:szCs w:val="20"/>
          <w:color w:val="auto"/>
        </w:rPr>
      </w:pPr>
      <w:r>
        <w:rPr>
          <w:rFonts w:ascii="Arial" w:cs="Arial" w:eastAsia="Arial" w:hAnsi="Arial"/>
          <w:sz w:val="14"/>
          <w:szCs w:val="14"/>
          <w:b w:val="1"/>
          <w:bCs w:val="1"/>
          <w:color w:val="auto"/>
        </w:rPr>
        <w:t>Identification No.)</w:t>
      </w:r>
    </w:p>
    <w:p>
      <w:pPr>
        <w:spacing w:after="0" w:line="211" w:lineRule="exact"/>
        <w:rPr>
          <w:sz w:val="24"/>
          <w:szCs w:val="24"/>
          <w:color w:val="auto"/>
        </w:rPr>
      </w:pPr>
    </w:p>
    <w:p>
      <w:pPr>
        <w:sectPr>
          <w:pgSz w:w="12240" w:h="15840" w:orient="portrait"/>
          <w:cols w:equalWidth="0" w:num="3">
            <w:col w:w="4780" w:space="720"/>
            <w:col w:w="2960" w:space="720"/>
            <w:col w:w="2460"/>
          </w:cols>
          <w:pgMar w:left="300" w:top="239" w:right="300" w:bottom="1152" w:gutter="0" w:footer="0" w:header="0"/>
          <w:type w:val="continuous"/>
        </w:sectPr>
      </w:pP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10628 Science Center Drive, Suite 250</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San Diego, California 92121</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19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(858) 900-2660</w:t>
      </w:r>
    </w:p>
    <w:p>
      <w:pPr>
        <w:spacing w:after="0" w:line="270"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249555</wp:posOffset>
            </wp:positionV>
            <wp:extent cx="1557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ectPr>
          <w:pgSz w:w="12240" w:h="15840" w:orient="portrait"/>
          <w:cols w:equalWidth="0" w:num="1">
            <w:col w:w="11640"/>
          </w:cols>
          <w:pgMar w:left="300" w:top="239" w:right="300" w:bottom="1152"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right="500"/>
        <w:spacing w:after="0" w:line="275"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84" w:lineRule="exact"/>
        <w:rPr>
          <w:sz w:val="24"/>
          <w:szCs w:val="24"/>
          <w:color w:val="auto"/>
        </w:rPr>
      </w:pPr>
    </w:p>
    <w:p>
      <w:pPr>
        <w:ind w:left="1020" w:hanging="564"/>
        <w:spacing w:after="0"/>
        <w:tabs>
          <w:tab w:leader="none" w:pos="102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138" w:lineRule="exact"/>
        <w:rPr>
          <w:rFonts w:ascii="MS PGothic" w:cs="MS PGothic" w:eastAsia="MS PGothic" w:hAnsi="MS PGothic"/>
          <w:sz w:val="19"/>
          <w:szCs w:val="19"/>
          <w:color w:val="auto"/>
        </w:rPr>
      </w:pPr>
    </w:p>
    <w:p>
      <w:pPr>
        <w:ind w:left="1020" w:hanging="564"/>
        <w:spacing w:after="0"/>
        <w:tabs>
          <w:tab w:leader="none" w:pos="102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138" w:lineRule="exact"/>
        <w:rPr>
          <w:rFonts w:ascii="MS PGothic" w:cs="MS PGothic" w:eastAsia="MS PGothic" w:hAnsi="MS PGothic"/>
          <w:sz w:val="19"/>
          <w:szCs w:val="19"/>
          <w:color w:val="auto"/>
        </w:rPr>
      </w:pPr>
    </w:p>
    <w:p>
      <w:pPr>
        <w:ind w:left="1020" w:hanging="564"/>
        <w:spacing w:after="0"/>
        <w:tabs>
          <w:tab w:leader="none" w:pos="102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138" w:lineRule="exact"/>
        <w:rPr>
          <w:rFonts w:ascii="MS PGothic" w:cs="MS PGothic" w:eastAsia="MS PGothic" w:hAnsi="MS PGothic"/>
          <w:sz w:val="19"/>
          <w:szCs w:val="19"/>
          <w:color w:val="auto"/>
        </w:rPr>
      </w:pPr>
    </w:p>
    <w:p>
      <w:pPr>
        <w:ind w:left="1020" w:hanging="564"/>
        <w:spacing w:after="0"/>
        <w:tabs>
          <w:tab w:leader="none" w:pos="102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Securities registered pursuant to Section 12(b) of the Act:</w:t>
      </w: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4"/>
              </w:rPr>
              <w:t>Trading</w:t>
            </w:r>
          </w:p>
        </w:tc>
        <w:tc>
          <w:tcPr>
            <w:tcW w:w="3720" w:type="dxa"/>
            <w:vAlign w:val="bottom"/>
          </w:tcPr>
          <w:p>
            <w:pPr>
              <w:jc w:val="center"/>
              <w:spacing w:after="0"/>
              <w:rPr>
                <w:sz w:val="20"/>
                <w:szCs w:val="20"/>
                <w:color w:val="auto"/>
              </w:rPr>
            </w:pPr>
            <w:r>
              <w:rPr>
                <w:rFonts w:ascii="Arial" w:cs="Arial" w:eastAsia="Arial" w:hAnsi="Arial"/>
                <w:sz w:val="15"/>
                <w:szCs w:val="15"/>
                <w:b w:val="1"/>
                <w:bCs w:val="1"/>
                <w:color w:val="auto"/>
                <w:w w:val="88"/>
              </w:rPr>
              <w:t>Name of each exchange</w:t>
            </w:r>
          </w:p>
        </w:tc>
      </w:tr>
      <w:tr>
        <w:trPr>
          <w:trHeight w:val="194"/>
        </w:trPr>
        <w:tc>
          <w:tcPr>
            <w:tcW w:w="40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Title of each class</w:t>
            </w:r>
          </w:p>
        </w:tc>
        <w:tc>
          <w:tcPr>
            <w:tcW w:w="38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8"/>
              </w:rPr>
              <w:t>Symbol(s)</w:t>
            </w:r>
          </w:p>
        </w:tc>
        <w:tc>
          <w:tcPr>
            <w:tcW w:w="3720" w:type="dxa"/>
            <w:vAlign w:val="bottom"/>
          </w:tcPr>
          <w:p>
            <w:pPr>
              <w:jc w:val="center"/>
              <w:spacing w:after="0"/>
              <w:rPr>
                <w:sz w:val="20"/>
                <w:szCs w:val="20"/>
                <w:color w:val="auto"/>
              </w:rPr>
            </w:pPr>
            <w:r>
              <w:rPr>
                <w:rFonts w:ascii="Arial" w:cs="Arial" w:eastAsia="Arial" w:hAnsi="Arial"/>
                <w:sz w:val="15"/>
                <w:szCs w:val="15"/>
                <w:b w:val="1"/>
                <w:bCs w:val="1"/>
                <w:color w:val="auto"/>
                <w:w w:val="90"/>
              </w:rPr>
              <w:t>on which registered</w:t>
            </w:r>
          </w:p>
        </w:tc>
      </w:tr>
      <w:tr>
        <w:trPr>
          <w:trHeight w:val="242"/>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w w:val="89"/>
              </w:rPr>
              <w:t>Common stock, par value $0.001 per share</w:t>
            </w:r>
          </w:p>
        </w:tc>
        <w:tc>
          <w:tcPr>
            <w:tcW w:w="140" w:type="dxa"/>
            <w:vAlign w:val="bottom"/>
          </w:tcPr>
          <w:p>
            <w:pPr>
              <w:spacing w:after="0"/>
              <w:rPr>
                <w:sz w:val="21"/>
                <w:szCs w:val="21"/>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w w:val="98"/>
              </w:rPr>
              <w:t>ARCT</w:t>
            </w:r>
          </w:p>
        </w:tc>
        <w:tc>
          <w:tcPr>
            <w:tcW w:w="120" w:type="dxa"/>
            <w:vAlign w:val="bottom"/>
          </w:tcPr>
          <w:p>
            <w:pPr>
              <w:spacing w:after="0"/>
              <w:rPr>
                <w:sz w:val="21"/>
                <w:szCs w:val="21"/>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w w:val="96"/>
              </w:rPr>
              <w:t>The NASDAQ Stock Market LLC</w:t>
            </w:r>
          </w:p>
        </w:tc>
      </w:tr>
    </w:tbl>
    <w:p>
      <w:pPr>
        <w:spacing w:after="0" w:line="195" w:lineRule="exact"/>
        <w:rPr>
          <w:sz w:val="24"/>
          <w:szCs w:val="24"/>
          <w:color w:val="auto"/>
        </w:rPr>
      </w:pPr>
    </w:p>
    <w:p>
      <w:pPr>
        <w:ind w:right="320"/>
        <w:spacing w:after="0" w:line="275"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273" w:lineRule="exact"/>
        <w:rPr>
          <w:sz w:val="24"/>
          <w:szCs w:val="24"/>
          <w:color w:val="auto"/>
        </w:rPr>
      </w:pPr>
    </w:p>
    <w:p>
      <w:pPr>
        <w:ind w:right="320"/>
        <w:spacing w:after="0" w:line="245"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389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187325</wp:posOffset>
            </wp:positionV>
            <wp:extent cx="73894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ectPr>
          <w:pgSz w:w="12240" w:h="15840" w:orient="portrait"/>
          <w:cols w:equalWidth="0" w:num="1">
            <w:col w:w="11640"/>
          </w:cols>
          <w:pgMar w:left="300" w:top="239" w:right="300" w:bottom="1152" w:gutter="0" w:footer="0" w:header="0"/>
          <w:type w:val="continuous"/>
        </w:sectPr>
      </w:pPr>
    </w:p>
    <w:bookmarkStart w:id="1" w:name="page2"/>
    <w:bookmarkEnd w:id="1"/>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68260" cy="40005"/>
                    </a:xfrm>
                    <a:prstGeom prst="rect">
                      <a:avLst/>
                    </a:prstGeom>
                    <a:noFill/>
                  </pic:spPr>
                </pic:pic>
              </a:graphicData>
            </a:graphic>
          </wp:anchor>
        </w:drawing>
        <w:t>Item 8.01. Other Events.</w:t>
      </w:r>
    </w:p>
    <w:p>
      <w:pPr>
        <w:spacing w:after="0" w:line="130" w:lineRule="exact"/>
        <w:rPr>
          <w:sz w:val="20"/>
          <w:szCs w:val="20"/>
          <w:color w:val="auto"/>
        </w:rPr>
      </w:pPr>
    </w:p>
    <w:p>
      <w:pPr>
        <w:ind w:firstLine="465"/>
        <w:spacing w:after="0" w:line="255" w:lineRule="auto"/>
        <w:rPr>
          <w:sz w:val="20"/>
          <w:szCs w:val="20"/>
          <w:color w:val="auto"/>
        </w:rPr>
      </w:pPr>
      <w:r>
        <w:rPr>
          <w:rFonts w:ascii="Arial" w:cs="Arial" w:eastAsia="Arial" w:hAnsi="Arial"/>
          <w:sz w:val="19"/>
          <w:szCs w:val="19"/>
          <w:color w:val="auto"/>
        </w:rPr>
        <w:t>Arcturus Therapeutics Holdings Inc. (the “Company”) has established Friday, October 25, 2019 as the date of the Company’s 2019 Annual Meeting of Stockholders (the “2019 Annual Meeting”). The record date for the determination of stockholders of the Company entitled to receive notice of and to vote at the 2019 Annual Meeting shall be the close of business on Wednesday, September 18, 2019. Because the date of the 2019 Annual Meeting differs by more than thirty (30) days from the anniversary date of the 2018 Annual General Meeting of Stockholders (the “2018 Annual Meeting”), which was held on August 24, 2018, the Company is providing this information in accordance with Rule 14a-5(f) under the Securities Exchange Act of 1934, as amended (the “Exchange Act”).</w:t>
      </w:r>
    </w:p>
    <w:p>
      <w:pPr>
        <w:spacing w:after="0" w:line="204" w:lineRule="exact"/>
        <w:rPr>
          <w:sz w:val="20"/>
          <w:szCs w:val="20"/>
          <w:color w:val="auto"/>
        </w:rPr>
      </w:pPr>
    </w:p>
    <w:p>
      <w:pPr>
        <w:ind w:right="60" w:firstLine="465"/>
        <w:spacing w:after="0" w:line="254" w:lineRule="auto"/>
        <w:rPr>
          <w:sz w:val="20"/>
          <w:szCs w:val="20"/>
          <w:color w:val="auto"/>
        </w:rPr>
      </w:pPr>
      <w:r>
        <w:rPr>
          <w:rFonts w:ascii="Arial" w:cs="Arial" w:eastAsia="Arial" w:hAnsi="Arial"/>
          <w:sz w:val="19"/>
          <w:szCs w:val="19"/>
          <w:color w:val="auto"/>
        </w:rPr>
        <w:t>As noted above, the 2019 Annual Meeting date represents a change of more than thirty (30) days from the anniversary date of the 2018 Annual Meeting. As a result, pursuant to Rule 14a-8 under the Exchange Act, the Company has set a new deadline for the receipt of any stockholder proposals submitted pursuant to Rule 14a-8 of the Exchange Act for inclusion in the Company’s proxy materials for the 2019 Annual Meeting. Pursuant to Rule 14a-8(e)(2) under the Exchange Act and the Company’s By-laws (the “By-laws”), such proposals must be received by the Company’s Secretary on or before the close of business on September 26, 2019. Such proposals must comply with the rules of the Securities and Exchange Commission and the Company’s By-laws regarding the inclusion of stockholder proposals in the Company’s proxy materials, and may be omitted if not in compliance with applicable requirements.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2</w:t>
      </w:r>
    </w:p>
    <w:p>
      <w:pPr>
        <w:sectPr>
          <w:pgSz w:w="12240" w:h="15840" w:orient="portrait"/>
          <w:cols w:equalWidth="0" w:num="1">
            <w:col w:w="11520"/>
          </w:cols>
          <w:pgMar w:left="300" w:top="136" w:right="420" w:bottom="1440" w:gutter="0" w:footer="0" w:header="0"/>
        </w:sectPr>
      </w:pPr>
    </w:p>
    <w:bookmarkStart w:id="2" w:name="page3"/>
    <w:bookmarkEnd w:id="2"/>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SIGNATURES</w:t>
      </w:r>
    </w:p>
    <w:p>
      <w:pPr>
        <w:spacing w:after="0" w:line="244" w:lineRule="exact"/>
        <w:rPr>
          <w:sz w:val="20"/>
          <w:szCs w:val="20"/>
          <w:color w:val="auto"/>
        </w:rPr>
      </w:pPr>
    </w:p>
    <w:p>
      <w:pPr>
        <w:ind w:firstLine="465"/>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9"/>
          <w:szCs w:val="19"/>
          <w:b w:val="1"/>
          <w:bCs w:val="1"/>
          <w:color w:val="auto"/>
        </w:rPr>
        <w:t>Arcturus Therapeutics Holdings Inc.</w:t>
      </w:r>
    </w:p>
    <w:p>
      <w:pPr>
        <w:spacing w:after="0" w:line="244" w:lineRule="exact"/>
        <w:rPr>
          <w:sz w:val="20"/>
          <w:szCs w:val="20"/>
          <w:color w:val="auto"/>
        </w:rPr>
      </w:pPr>
    </w:p>
    <w:p>
      <w:pPr>
        <w:ind w:left="5940"/>
        <w:spacing w:after="0"/>
        <w:tabs>
          <w:tab w:leader="none" w:pos="63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6"/>
          <w:szCs w:val="16"/>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15240</wp:posOffset>
            </wp:positionV>
            <wp:extent cx="33235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3590" cy="8890"/>
                    </a:xfrm>
                    <a:prstGeom prst="rect">
                      <a:avLst/>
                    </a:prstGeom>
                    <a:noFill/>
                  </pic:spPr>
                </pic:pic>
              </a:graphicData>
            </a:graphic>
          </wp:anchor>
        </w:drawing>
      </w:r>
    </w:p>
    <w:p>
      <w:pPr>
        <w:spacing w:after="0" w:line="18"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Joseph E. Payne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9"/>
          <w:szCs w:val="19"/>
          <w:color w:val="auto"/>
        </w:rPr>
        <w:t>Chief Executive Officer</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Dated: September 16, 2019</w:t>
      </w:r>
    </w:p>
    <w:p>
      <w:pPr>
        <w:spacing w:after="0" w:line="153"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3</w:t>
      </w:r>
    </w:p>
    <w:sectPr>
      <w:pgSz w:w="12240" w:h="15840" w:orient="portrait"/>
      <w:cols w:equalWidth="0" w:num="1">
        <w:col w:w="11380"/>
      </w:cols>
      <w:pgMar w:left="300" w:top="136" w:right="5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2019-12-15T18:56:47Z</dcterms:created>
  <dcterms:modified xsi:type="dcterms:W3CDTF">2019-12-15T18:56:47Z</dcterms:modified>
</cp:coreProperties>
</file>