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July 2014 (Report No. 2)</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July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6143625</wp:posOffset>
            </wp:positionH>
            <wp:positionV relativeFrom="page">
              <wp:posOffset>448945</wp:posOffset>
            </wp:positionV>
            <wp:extent cx="1260475"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60475" cy="5486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88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3920" w:type="dxa"/>
            <w:vAlign w:val="bottom"/>
          </w:tcPr>
          <w:p>
            <w:pPr>
              <w:ind w:left="900"/>
              <w:spacing w:after="0"/>
              <w:rPr>
                <w:sz w:val="20"/>
                <w:szCs w:val="20"/>
                <w:color w:val="auto"/>
              </w:rPr>
            </w:pPr>
            <w:r>
              <w:rPr>
                <w:rFonts w:ascii="Arial" w:cs="Arial" w:eastAsia="Arial" w:hAnsi="Arial"/>
                <w:sz w:val="18"/>
                <w:szCs w:val="18"/>
                <w:b w:val="1"/>
                <w:bCs w:val="1"/>
                <w:color w:val="auto"/>
              </w:rPr>
              <w:t>Media Inquiries</w:t>
            </w:r>
          </w:p>
        </w:tc>
        <w:tc>
          <w:tcPr>
            <w:tcW w:w="3100" w:type="dxa"/>
            <w:vAlign w:val="bottom"/>
          </w:tcPr>
          <w:p>
            <w:pPr>
              <w:ind w:left="98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LifeSci Advisors, LLC</w:t>
            </w:r>
          </w:p>
        </w:tc>
        <w:tc>
          <w:tcPr>
            <w:tcW w:w="3920" w:type="dxa"/>
            <w:vAlign w:val="bottom"/>
          </w:tcPr>
          <w:p>
            <w:pPr>
              <w:ind w:left="900"/>
              <w:spacing w:after="0"/>
              <w:rPr>
                <w:sz w:val="20"/>
                <w:szCs w:val="20"/>
                <w:color w:val="auto"/>
              </w:rPr>
            </w:pPr>
            <w:r>
              <w:rPr>
                <w:rFonts w:ascii="Arial" w:cs="Arial" w:eastAsia="Arial" w:hAnsi="Arial"/>
                <w:sz w:val="18"/>
                <w:szCs w:val="18"/>
                <w:color w:val="auto"/>
              </w:rPr>
              <w:t>Sam Brown, Inc.</w:t>
            </w:r>
          </w:p>
        </w:tc>
        <w:tc>
          <w:tcPr>
            <w:tcW w:w="3100" w:type="dxa"/>
            <w:vAlign w:val="bottom"/>
          </w:tcPr>
          <w:p>
            <w:pPr>
              <w:ind w:left="980"/>
              <w:spacing w:after="0"/>
              <w:rPr>
                <w:sz w:val="20"/>
                <w:szCs w:val="20"/>
                <w:color w:val="auto"/>
              </w:rPr>
            </w:pPr>
            <w:r>
              <w:rPr>
                <w:rFonts w:ascii="Arial" w:cs="Arial" w:eastAsia="Arial" w:hAnsi="Arial"/>
                <w:sz w:val="18"/>
                <w:szCs w:val="18"/>
                <w:color w:val="auto"/>
                <w:w w:val="99"/>
              </w:rPr>
              <w:t>Alcobra Investor Relations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Michael Rice</w:t>
            </w:r>
          </w:p>
        </w:tc>
        <w:tc>
          <w:tcPr>
            <w:tcW w:w="3920" w:type="dxa"/>
            <w:vAlign w:val="bottom"/>
          </w:tcPr>
          <w:p>
            <w:pPr>
              <w:ind w:left="900"/>
              <w:spacing w:after="0"/>
              <w:rPr>
                <w:sz w:val="20"/>
                <w:szCs w:val="20"/>
                <w:color w:val="auto"/>
              </w:rPr>
            </w:pPr>
            <w:r>
              <w:rPr>
                <w:rFonts w:ascii="Arial" w:cs="Arial" w:eastAsia="Arial" w:hAnsi="Arial"/>
                <w:sz w:val="18"/>
                <w:szCs w:val="18"/>
                <w:color w:val="auto"/>
              </w:rPr>
              <w:t>Mike Beyer</w:t>
            </w:r>
          </w:p>
        </w:tc>
        <w:tc>
          <w:tcPr>
            <w:tcW w:w="3100" w:type="dxa"/>
            <w:vAlign w:val="bottom"/>
          </w:tcPr>
          <w:p>
            <w:pPr>
              <w:ind w:left="980"/>
              <w:spacing w:after="0"/>
              <w:rPr>
                <w:sz w:val="20"/>
                <w:szCs w:val="20"/>
                <w:color w:val="auto"/>
              </w:rPr>
            </w:pPr>
            <w:r>
              <w:rPr>
                <w:rFonts w:ascii="Arial" w:cs="Arial" w:eastAsia="Arial" w:hAnsi="Arial"/>
                <w:sz w:val="18"/>
                <w:szCs w:val="18"/>
                <w:color w:val="auto"/>
              </w:rPr>
              <w:t>Debbie Kaye</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646-597-6979</w:t>
            </w:r>
          </w:p>
        </w:tc>
        <w:tc>
          <w:tcPr>
            <w:tcW w:w="3920" w:type="dxa"/>
            <w:vAlign w:val="bottom"/>
          </w:tcPr>
          <w:p>
            <w:pPr>
              <w:ind w:left="900"/>
              <w:spacing w:after="0"/>
              <w:rPr>
                <w:sz w:val="20"/>
                <w:szCs w:val="20"/>
                <w:color w:val="auto"/>
              </w:rPr>
            </w:pPr>
            <w:r>
              <w:rPr>
                <w:rFonts w:ascii="Arial" w:cs="Arial" w:eastAsia="Arial" w:hAnsi="Arial"/>
                <w:sz w:val="18"/>
                <w:szCs w:val="18"/>
                <w:color w:val="auto"/>
              </w:rPr>
              <w:t>773-463-4211</w:t>
            </w:r>
          </w:p>
        </w:tc>
        <w:tc>
          <w:tcPr>
            <w:tcW w:w="3100" w:type="dxa"/>
            <w:vAlign w:val="bottom"/>
          </w:tcPr>
          <w:p>
            <w:pPr>
              <w:ind w:left="980"/>
              <w:spacing w:after="0"/>
              <w:rPr>
                <w:sz w:val="20"/>
                <w:szCs w:val="20"/>
                <w:color w:val="auto"/>
              </w:rPr>
            </w:pPr>
            <w:r>
              <w:rPr>
                <w:rFonts w:ascii="Arial" w:cs="Arial" w:eastAsia="Arial" w:hAnsi="Arial"/>
                <w:sz w:val="18"/>
                <w:szCs w:val="18"/>
                <w:color w:val="auto"/>
              </w:rPr>
              <w:t>+972-72 2204661</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0000FF"/>
              </w:rPr>
              <w:t>mrice@lifesciadvisors.com</w:t>
            </w:r>
          </w:p>
        </w:tc>
        <w:tc>
          <w:tcPr>
            <w:tcW w:w="3920" w:type="dxa"/>
            <w:vAlign w:val="bottom"/>
          </w:tcPr>
          <w:p>
            <w:pPr>
              <w:ind w:left="900"/>
              <w:spacing w:after="0"/>
              <w:rPr>
                <w:sz w:val="20"/>
                <w:szCs w:val="20"/>
                <w:color w:val="auto"/>
              </w:rPr>
            </w:pPr>
            <w:r>
              <w:rPr>
                <w:rFonts w:ascii="Arial" w:cs="Arial" w:eastAsia="Arial" w:hAnsi="Arial"/>
                <w:sz w:val="18"/>
                <w:szCs w:val="18"/>
                <w:color w:val="0000FF"/>
              </w:rPr>
              <w:t>mikebeyer@sambrown.com</w:t>
            </w:r>
          </w:p>
        </w:tc>
        <w:tc>
          <w:tcPr>
            <w:tcW w:w="3100" w:type="dxa"/>
            <w:vAlign w:val="bottom"/>
          </w:tcPr>
          <w:p>
            <w:pPr>
              <w:ind w:left="980"/>
              <w:spacing w:after="0"/>
              <w:rPr>
                <w:sz w:val="20"/>
                <w:szCs w:val="20"/>
                <w:color w:val="auto"/>
              </w:rPr>
            </w:pPr>
            <w:r>
              <w:rPr>
                <w:rFonts w:ascii="Arial" w:cs="Arial" w:eastAsia="Arial" w:hAnsi="Arial"/>
                <w:sz w:val="18"/>
                <w:szCs w:val="18"/>
                <w:color w:val="0000FF"/>
                <w:w w:val="88"/>
              </w:rPr>
              <w:t>debbie@alcobra-pharma.com</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Discusses New Market Research and Updates on Recent Corporate Events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 Investor Forum in New York City</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Tel Aviv, Israel – July 17, 2014 – </w:t>
      </w:r>
      <w:r>
        <w:rPr>
          <w:rFonts w:ascii="Arial" w:cs="Arial" w:eastAsia="Arial" w:hAnsi="Arial"/>
          <w:sz w:val="18"/>
          <w:szCs w:val="18"/>
          <w:color w:val="auto"/>
        </w:rPr>
        <w:t>Alcobra Ltd. (NasdaqGM: ADHD), an emerging pharmaceutical company focused on the development of new medications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help patients with cognitive disorders, including Attention Deficit Hyperactivity Disorder (ADHD) and Fragile X Syndrome, held an Investor Forum on Tuesday, July 15, 2014 in New York City.</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Dr. Craig Surman, MD, an expert in the management of adult ADHD, offered insights into the diagnosis and management of adult ADHD. Dr. Surman indicated that despite a decade of increased awareness and recognition, many adults with ADHD remain untreated or under treated. According to Dr. Surman, ADHD agents with novel effects, high tolerability, low risks, or whole-day coverage, could relieve a significant public health burden.</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Alcobra’s executive management team discussed an evidence-based overview of the commercial potential for its lead product, Metadoxine Extended Release (MDX) in ADHD based on recently completed research and analysis:</w:t>
      </w:r>
    </w:p>
    <w:p>
      <w:pPr>
        <w:spacing w:after="0" w:line="170" w:lineRule="exact"/>
        <w:rPr>
          <w:sz w:val="20"/>
          <w:szCs w:val="20"/>
          <w:color w:val="auto"/>
        </w:rPr>
      </w:pPr>
    </w:p>
    <w:p>
      <w:pPr>
        <w:ind w:left="660" w:right="3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ADHD market is worth more than $8 billion in the US. Adult ADHD accounts for half of the prescriptions and growing at an annual rate of around 10%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Physicians reacted very favorably to the product profile of MDX, and 36% of them indicate interest in MDX for their Adult ADHD patients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Alcobra projects annual sales of $2.2 billion for MDX in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also provided an update on the ongoing development program for MDX and other corporate events: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completed enrollment in its Phase III Adult ADHD trial (AL012) and expects to report data by the end of this quarter</w:t>
      </w:r>
    </w:p>
    <w:p>
      <w:pPr>
        <w:spacing w:after="0" w:line="23"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expects dosing of the first patient in its Phase IIb Fragile X Syndrome adolescents and adults trial (AL014) this month and data readout in Q4 of this year</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expects dosing of first patient in its Phase II Pediatric ADHD program (AL015) in August and data readout in Q4 of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 w:name="page4"/>
    <w:bookmarkEnd w:id="3"/>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filed an F-3 shelf registration after becoming shelf-eligible in June. Dr. Yaron Daniely, the company's CEO confirmed that the company will not raise any capital before data readout of its Phase III Adult ADHD trial.</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A webcast of the event and accompanying presentation materials are accessible on the Investor Relations section of Alcobra’s website at </w:t>
      </w:r>
      <w:r>
        <w:rPr>
          <w:rFonts w:ascii="Arial" w:cs="Arial" w:eastAsia="Arial" w:hAnsi="Arial"/>
          <w:sz w:val="18"/>
          <w:szCs w:val="18"/>
          <w:color w:val="0000FF"/>
        </w:rPr>
        <w:t>www.alcobra-pharma.com</w:t>
      </w:r>
      <w:r>
        <w:rPr>
          <w:rFonts w:ascii="Arial" w:cs="Arial" w:eastAsia="Arial" w:hAnsi="Arial"/>
          <w:sz w:val="18"/>
          <w:szCs w:val="18"/>
          <w:color w:val="000000"/>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a proprietary drug candidate, MDX (Metadoxine Extended Release (MG01CI)), to treat cognitive disorders including Attention Deficit Hyperactivity Disorder (ADHD) and Fragile X Syndrome. MDX has completed multiple Phase II studies in adults with ADHD and has completed enrollment in a Phase III study in adults with ADHD. The company expects to begin separate Phase IIb trials in pediatric ADHD and Fragile X Syndrome in 2014. The company was founded in 2008 and is headquartered in Tel Aviv, Israel.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Forward Looking Statements – 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projected annual sales of MDX, if MDX becomes an approved drug at all, timing of certain milestones in the Company’s clinical program, including timing of dosing, and reporting results of clinical trials, if such trials commence and conclude as well as the company’s intentions, plans or need to raise to raise any capital before data readout of its Phase III Adult ADHD program.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Annual Report on Form 20-F filed with the Securities and Exchange Commission ("SEC") on March 28, 2014,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-1800860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2019-12-08T07:02:11Z</dcterms:created>
  <dcterms:modified xsi:type="dcterms:W3CDTF">2019-12-08T07:02:11Z</dcterms:modified>
</cp:coreProperties>
</file>