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r>
        <w:rPr>
          <w:rFonts w:ascii="Arial" w:cs="Arial" w:eastAsia="Arial" w:hAnsi="Arial"/>
          <w:sz w:val="18"/>
          <w:szCs w:val="18"/>
          <w:color w:val="auto"/>
        </w:rPr>
        <w: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26, 2019 Arcturus Therapeutics, Inc. (“Arcturus”), a subsidiary of Arcturus Therapeutics Holdings Inc. (the “Company”), entered into an amendment (the “Amendment”) to its Development and Option Agreement, as amended (the “Development and Option Agreement”), with CureVac AG (“CureVac”), pursuant to which Arcturus and CureVac agreed to (a) modify the time period during which CureVac may select potential targets to be licensed from the Company pursuant to the terms of the Development and Option Agreement, (b) reduce the overall number of maximum targets to be reserved and licensed from fifteen (15) to ten (10) targets, (c) simplify the process for selecting and reserving targets, (d) define conditions under which targets can be pre-restricted by Arcturus in connection with its own research and development activities and (e) restore CureVac’s original obligations with respect to the funding of scientists at Arcturus.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a complete copy of which the Company intends to file with the Securities and Exchange Commission as an exhibit to its Quarterly Report on Form 10-Q for the quarter ending June 30,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r>
        <w:rPr>
          <w:rFonts w:ascii="Arial" w:cs="Arial" w:eastAsia="Arial" w:hAnsi="Arial"/>
          <w:sz w:val="18"/>
          <w:szCs w:val="18"/>
          <w:color w:val="auto"/>
        </w:rPr>
        <w: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entry into the Amendment, on July 26, 2019, Arcturus and CureVac also entered into a Termination Agreement (the “Termination Agreement”) terminating the Co-Development and Co-Commercialization Agreement (the “Co-Development Agreement”) between the Company and CureVac dated as of January 1, 2018. The Termination Agreement is effective as of July 26, 2019.</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Pursuant to the Termination Agreement, CureVac agreed to make a one-time payment to Arcturus in the amount of $4,000,000 in consideration such termination, including payments in connection with CureVac’s termination of co-development of ARCT-810 as a therapy for ornithine transcarbamylase (OTC) deficiency. The payment is required to be paid to Arcturus by July 31, 2019. The Termination Agreement includes a customary mutual release and a mutual non-disparagement clause and provides for the survival of the confidentiality provisions in the Co-Development Agreement.</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foregoing description of the Termination Agreement does not purport to be complete and is qualified in its entirety by reference to the Termination Agreement, a complete copy of which the Company intends to file with the Securities and Exchange Commission as an exhibit to its Quarterly Report on Form 10-Q for the quarter ending June 30, 2019.</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11"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Joseph E. Payne</w:t>
      </w:r>
    </w:p>
    <w:p>
      <w:pPr>
        <w:spacing w:after="0" w:line="23"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2019-11-30T16:44:30Z</dcterms:created>
  <dcterms:modified xsi:type="dcterms:W3CDTF">2019-11-30T16:44:30Z</dcterms:modified>
</cp:coreProperties>
</file>