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40" w:lineRule="exact"/>
        <w:rPr>
          <w:sz w:val="24"/>
          <w:szCs w:val="24"/>
          <w:color w:val="auto"/>
        </w:rPr>
      </w:pPr>
    </w:p>
    <w:p>
      <w:pPr>
        <w:ind w:left="3820" w:right="1580" w:hanging="3812"/>
        <w:spacing w:after="0" w:line="376" w:lineRule="auto"/>
        <w:tabs>
          <w:tab w:leader="none" w:pos="51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4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20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58"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120015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ARCTURUS THERAPEUTICS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4" w:lineRule="exact"/>
        <w:rPr>
          <w:sz w:val="24"/>
          <w:szCs w:val="24"/>
          <w:color w:val="auto"/>
        </w:rPr>
      </w:pPr>
    </w:p>
    <w:tbl>
      <w:tblPr>
        <w:tblLayout w:type="fixed"/>
        <w:tblInd w:w="1780" w:type="dxa"/>
        <w:tblCellMar>
          <w:top w:w="0" w:type="dxa"/>
          <w:left w:w="0" w:type="dxa"/>
          <w:bottom w:w="0" w:type="dxa"/>
          <w:right w:w="0" w:type="dxa"/>
        </w:tblCellMar>
      </w:tblPr>
      <w:tr>
        <w:trPr>
          <w:trHeight w:val="149"/>
        </w:trPr>
        <w:tc>
          <w:tcPr>
            <w:tcW w:w="4120" w:type="dxa"/>
            <w:vAlign w:val="bottom"/>
          </w:tcPr>
          <w:p>
            <w:pPr>
              <w:jc w:val="center"/>
              <w:ind w:right="1977"/>
              <w:spacing w:after="0"/>
              <w:rPr>
                <w:sz w:val="20"/>
                <w:szCs w:val="20"/>
                <w:color w:val="auto"/>
              </w:rPr>
            </w:pPr>
            <w:r>
              <w:rPr>
                <w:rFonts w:ascii="Arial" w:cs="Arial" w:eastAsia="Arial" w:hAnsi="Arial"/>
                <w:sz w:val="13"/>
                <w:szCs w:val="13"/>
                <w:b w:val="1"/>
                <w:bCs w:val="1"/>
                <w:color w:val="auto"/>
                <w:w w:val="91"/>
              </w:rPr>
              <w:t>Delaware</w:t>
            </w:r>
          </w:p>
        </w:tc>
        <w:tc>
          <w:tcPr>
            <w:tcW w:w="3020" w:type="dxa"/>
            <w:vAlign w:val="bottom"/>
          </w:tcPr>
          <w:p>
            <w:pPr>
              <w:jc w:val="right"/>
              <w:ind w:right="117"/>
              <w:spacing w:after="0"/>
              <w:rPr>
                <w:sz w:val="20"/>
                <w:szCs w:val="20"/>
                <w:color w:val="auto"/>
              </w:rPr>
            </w:pPr>
            <w:r>
              <w:rPr>
                <w:rFonts w:ascii="Arial" w:cs="Arial" w:eastAsia="Arial" w:hAnsi="Arial"/>
                <w:sz w:val="13"/>
                <w:szCs w:val="13"/>
                <w:b w:val="1"/>
                <w:bCs w:val="1"/>
                <w:color w:val="auto"/>
              </w:rPr>
              <w:t>32-0595345</w:t>
            </w:r>
          </w:p>
        </w:tc>
      </w:tr>
      <w:tr>
        <w:trPr>
          <w:trHeight w:val="135"/>
        </w:trPr>
        <w:tc>
          <w:tcPr>
            <w:tcW w:w="4120" w:type="dxa"/>
            <w:vAlign w:val="bottom"/>
          </w:tcPr>
          <w:p>
            <w:pPr>
              <w:jc w:val="center"/>
              <w:ind w:right="1997"/>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77"/>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20" w:type="dxa"/>
            <w:vAlign w:val="bottom"/>
          </w:tcPr>
          <w:p>
            <w:pPr>
              <w:jc w:val="center"/>
              <w:ind w:right="1977"/>
              <w:spacing w:after="0"/>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77"/>
              <w:spacing w:after="0"/>
              <w:rPr>
                <w:sz w:val="20"/>
                <w:szCs w:val="20"/>
                <w:color w:val="auto"/>
              </w:rPr>
            </w:pPr>
            <w:r>
              <w:rPr>
                <w:rFonts w:ascii="Arial" w:cs="Arial" w:eastAsia="Arial" w:hAnsi="Arial"/>
                <w:sz w:val="13"/>
                <w:szCs w:val="13"/>
                <w:b w:val="1"/>
                <w:bCs w:val="1"/>
                <w:color w:val="auto"/>
                <w:w w:val="89"/>
              </w:rPr>
              <w:t>Identification No.)</w:t>
            </w:r>
          </w:p>
        </w:tc>
      </w:tr>
      <w:tr>
        <w:trPr>
          <w:trHeight w:val="241"/>
        </w:trPr>
        <w:tc>
          <w:tcPr>
            <w:tcW w:w="4120" w:type="dxa"/>
            <w:vAlign w:val="bottom"/>
          </w:tcPr>
          <w:p>
            <w:pPr>
              <w:jc w:val="center"/>
              <w:ind w:right="1977"/>
              <w:spacing w:after="0"/>
              <w:rPr>
                <w:sz w:val="20"/>
                <w:szCs w:val="20"/>
                <w:color w:val="auto"/>
              </w:rPr>
            </w:pPr>
            <w:r>
              <w:rPr>
                <w:rFonts w:ascii="Arial" w:cs="Arial" w:eastAsia="Arial" w:hAnsi="Arial"/>
                <w:sz w:val="13"/>
                <w:szCs w:val="13"/>
                <w:b w:val="1"/>
                <w:bCs w:val="1"/>
                <w:color w:val="auto"/>
                <w:w w:val="87"/>
              </w:rPr>
              <w:t>10628 Science Center Drive, Suite 250</w:t>
            </w:r>
          </w:p>
        </w:tc>
        <w:tc>
          <w:tcPr>
            <w:tcW w:w="3020" w:type="dxa"/>
            <w:vAlign w:val="bottom"/>
          </w:tcPr>
          <w:p>
            <w:pPr>
              <w:spacing w:after="0"/>
              <w:rPr>
                <w:sz w:val="20"/>
                <w:szCs w:val="20"/>
                <w:color w:val="auto"/>
              </w:rPr>
            </w:pPr>
          </w:p>
        </w:tc>
      </w:tr>
      <w:tr>
        <w:trPr>
          <w:trHeight w:val="135"/>
        </w:trPr>
        <w:tc>
          <w:tcPr>
            <w:tcW w:w="4120" w:type="dxa"/>
            <w:vAlign w:val="bottom"/>
          </w:tcPr>
          <w:p>
            <w:pPr>
              <w:jc w:val="center"/>
              <w:ind w:right="1977"/>
              <w:spacing w:after="0" w:line="135" w:lineRule="exact"/>
              <w:rPr>
                <w:sz w:val="20"/>
                <w:szCs w:val="20"/>
                <w:color w:val="auto"/>
              </w:rPr>
            </w:pPr>
            <w:r>
              <w:rPr>
                <w:rFonts w:ascii="Arial" w:cs="Arial" w:eastAsia="Arial" w:hAnsi="Arial"/>
                <w:sz w:val="13"/>
                <w:szCs w:val="13"/>
                <w:b w:val="1"/>
                <w:bCs w:val="1"/>
                <w:color w:val="auto"/>
                <w:w w:val="88"/>
              </w:rPr>
              <w:t>San Diego, California</w:t>
            </w:r>
          </w:p>
        </w:tc>
        <w:tc>
          <w:tcPr>
            <w:tcW w:w="302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auto"/>
              </w:rPr>
              <w:t>92121</w:t>
            </w:r>
          </w:p>
        </w:tc>
      </w:tr>
      <w:tr>
        <w:trPr>
          <w:trHeight w:val="164"/>
        </w:trPr>
        <w:tc>
          <w:tcPr>
            <w:tcW w:w="4120" w:type="dxa"/>
            <w:vAlign w:val="bottom"/>
          </w:tcPr>
          <w:p>
            <w:pPr>
              <w:jc w:val="center"/>
              <w:ind w:right="197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77"/>
              <w:spacing w:after="0"/>
              <w:rPr>
                <w:sz w:val="20"/>
                <w:szCs w:val="20"/>
                <w:color w:val="auto"/>
              </w:rPr>
            </w:pPr>
            <w:r>
              <w:rPr>
                <w:rFonts w:ascii="Arial" w:cs="Arial" w:eastAsia="Arial" w:hAnsi="Arial"/>
                <w:sz w:val="13"/>
                <w:szCs w:val="13"/>
                <w:b w:val="1"/>
                <w:bCs w:val="1"/>
                <w:color w:val="auto"/>
                <w:w w:val="90"/>
              </w:rPr>
              <w:t>(Zip Code)</w:t>
            </w:r>
          </w:p>
        </w:tc>
      </w:tr>
    </w:tbl>
    <w:p>
      <w:pPr>
        <w:spacing w:after="0" w:line="1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900-2660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120015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1"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$0.001 per share</w:t>
            </w:r>
          </w:p>
        </w:tc>
        <w:tc>
          <w:tcPr>
            <w:tcW w:w="120" w:type="dxa"/>
            <w:vAlign w:val="bottom"/>
          </w:tcPr>
          <w:p>
            <w:pPr>
              <w:spacing w:after="0"/>
              <w:rPr>
                <w:sz w:val="17"/>
                <w:szCs w:val="17"/>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ARCT</w:t>
            </w:r>
          </w:p>
        </w:tc>
        <w:tc>
          <w:tcPr>
            <w:tcW w:w="100" w:type="dxa"/>
            <w:vAlign w:val="bottom"/>
          </w:tcPr>
          <w:p>
            <w:pPr>
              <w:spacing w:after="0"/>
              <w:rPr>
                <w:sz w:val="17"/>
                <w:szCs w:val="17"/>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c>
          <w:tcPr>
            <w:tcW w:w="0" w:type="dxa"/>
            <w:vAlign w:val="bottom"/>
          </w:tcPr>
          <w:p>
            <w:pPr>
              <w:spacing w:after="0"/>
              <w:rPr>
                <w:sz w:val="1"/>
                <w:szCs w:val="1"/>
                <w:color w:val="auto"/>
              </w:rPr>
            </w:pPr>
          </w:p>
        </w:tc>
      </w:tr>
    </w:tbl>
    <w:p>
      <w:pPr>
        <w:spacing w:after="0" w:line="216"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96"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84" w:lineRule="exact"/>
        <w:rPr>
          <w:sz w:val="24"/>
          <w:szCs w:val="24"/>
          <w:color w:val="auto"/>
        </w:rPr>
      </w:pPr>
    </w:p>
    <w:p>
      <w:pPr>
        <w:ind w:right="100" w:firstLine="599"/>
        <w:spacing w:after="0" w:line="22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39"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27"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0" w:lineRule="exact"/>
        <w:rPr>
          <w:sz w:val="24"/>
          <w:szCs w:val="24"/>
          <w:color w:val="auto"/>
        </w:rPr>
      </w:pPr>
    </w:p>
    <w:p>
      <w:pPr>
        <w:ind w:left="600" w:right="2040"/>
        <w:spacing w:after="0" w:line="30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r>
        <w:rPr>
          <w:rFonts w:ascii="Arial" w:cs="Arial" w:eastAsia="Arial" w:hAnsi="Arial"/>
          <w:sz w:val="16"/>
          <w:szCs w:val="16"/>
          <w:color w:val="auto"/>
        </w:rPr>
        <w:t xml:space="preserve"> As of May 5, 2021, the registrant had 26,320,274 shares of 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222885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8"/>
            <w:vMerge w:val="restart"/>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FINANCIAL INFORMATION</w:t>
              </w:r>
            </w:hyperlink>
          </w:p>
        </w:tc>
        <w:tc>
          <w:tcPr>
            <w:tcW w:w="7300" w:type="dxa"/>
            <w:vAlign w:val="bottom"/>
            <w:gridSpan w:val="11"/>
            <w:vMerge w:val="restart"/>
          </w:tcPr>
          <w:p>
            <w:pPr>
              <w:spacing w:after="0"/>
              <w:rPr>
                <w:sz w:val="14"/>
                <w:szCs w:val="1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90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8"/>
            <w:vMerge w:val="continue"/>
          </w:tcPr>
          <w:p>
            <w:pPr>
              <w:spacing w:after="0"/>
              <w:rPr>
                <w:sz w:val="15"/>
                <w:szCs w:val="15"/>
                <w:color w:val="auto"/>
              </w:rPr>
            </w:pPr>
          </w:p>
        </w:tc>
        <w:tc>
          <w:tcPr>
            <w:tcW w:w="7300" w:type="dxa"/>
            <w:vAlign w:val="bottom"/>
            <w:gridSpan w:val="11"/>
            <w:vMerge w:val="continue"/>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9"/>
              </w:rPr>
              <w:t>Financial Statements (unaudited)</w:t>
            </w:r>
          </w:p>
        </w:tc>
        <w:tc>
          <w:tcPr>
            <w:tcW w:w="718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5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2021 and December 31, 20</w:t>
              </w:r>
            </w:hyperlink>
            <w:r>
              <w:rPr>
                <w:rFonts w:ascii="Arial" w:cs="Arial" w:eastAsia="Arial" w:hAnsi="Arial"/>
                <w:sz w:val="18"/>
                <w:szCs w:val="18"/>
                <w:color w:val="000000"/>
              </w:rPr>
              <w:t>20</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and Comprehensive Loss for the three months ended March 31, 2021 and 2020</w:t>
              </w:r>
            </w:hyperlink>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1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Changes in Stockholders’ Equity for the three months ended March 31, 2021 and 2020</w:t>
              </w:r>
            </w:hyperlink>
          </w:p>
        </w:tc>
        <w:tc>
          <w:tcPr>
            <w:tcW w:w="4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56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months ended March 31, 2021 and 2020</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3580" w:type="dxa"/>
            <w:vAlign w:val="bottom"/>
            <w:tcBorders>
              <w:top w:val="single" w:sz="8" w:color="0000EE"/>
            </w:tcBorders>
            <w:gridSpan w:val="5"/>
          </w:tcPr>
          <w:p>
            <w:pPr>
              <w:spacing w:after="0"/>
              <w:rPr>
                <w:sz w:val="18"/>
                <w:szCs w:val="18"/>
                <w:color w:val="auto"/>
              </w:rPr>
            </w:pPr>
          </w:p>
        </w:tc>
        <w:tc>
          <w:tcPr>
            <w:tcW w:w="19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310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520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778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56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88"/>
              </w:rPr>
              <w:t>Legal Proceedings</w:t>
            </w:r>
          </w:p>
        </w:tc>
        <w:tc>
          <w:tcPr>
            <w:tcW w:w="540" w:type="dxa"/>
            <w:vAlign w:val="bottom"/>
            <w:tcBorders>
              <w:top w:val="single" w:sz="8" w:color="0000EE"/>
            </w:tcBorders>
            <w:gridSpan w:val="3"/>
          </w:tcPr>
          <w:p>
            <w:pPr>
              <w:spacing w:after="0"/>
              <w:rPr>
                <w:sz w:val="18"/>
                <w:szCs w:val="18"/>
                <w:color w:val="auto"/>
              </w:rPr>
            </w:pPr>
          </w:p>
        </w:tc>
        <w:tc>
          <w:tcPr>
            <w:tcW w:w="768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6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Defaults Upon Senior Securities</w:t>
            </w:r>
          </w:p>
        </w:tc>
        <w:tc>
          <w:tcPr>
            <w:tcW w:w="522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rPr>
              <w:t>Mine Safety Disclosures</w:t>
            </w:r>
          </w:p>
        </w:tc>
        <w:tc>
          <w:tcPr>
            <w:tcW w:w="724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9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2"/>
              </w:rPr>
              <w:t>Other Information</w:t>
            </w:r>
          </w:p>
        </w:tc>
        <w:tc>
          <w:tcPr>
            <w:tcW w:w="440" w:type="dxa"/>
            <w:vAlign w:val="bottom"/>
            <w:tcBorders>
              <w:top w:val="single" w:sz="8" w:color="0000EE"/>
            </w:tcBorders>
            <w:gridSpan w:val="2"/>
          </w:tcPr>
          <w:p>
            <w:pPr>
              <w:spacing w:after="0"/>
              <w:rPr>
                <w:sz w:val="18"/>
                <w:szCs w:val="18"/>
                <w:color w:val="auto"/>
              </w:rPr>
            </w:pPr>
          </w:p>
        </w:tc>
        <w:tc>
          <w:tcPr>
            <w:tcW w:w="78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56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2" w:lineRule="exact"/>
        <w:rPr>
          <w:sz w:val="20"/>
          <w:szCs w:val="20"/>
          <w:color w:val="auto"/>
        </w:rPr>
      </w:pPr>
    </w:p>
    <w:p>
      <w:pPr>
        <w:ind w:right="80" w:firstLine="611"/>
        <w:spacing w:after="0" w:line="270" w:lineRule="auto"/>
        <w:rPr>
          <w:sz w:val="20"/>
          <w:szCs w:val="20"/>
          <w:color w:val="auto"/>
        </w:rPr>
      </w:pPr>
      <w:r>
        <w:rPr>
          <w:rFonts w:ascii="Arial" w:cs="Arial" w:eastAsia="Arial" w:hAnsi="Arial"/>
          <w:sz w:val="17"/>
          <w:szCs w:val="17"/>
          <w:color w:val="auto"/>
        </w:rPr>
        <w:t>This Quarterly Report on Form 10-Q, or this quarterly report, including the section entitled “Management’s Discussion and Analysis of Financial Condition and Results of Operations,” and the documents incorporated by reference herein may contain “forward-looking statements” within the meaning of the federal securities laws made pursuant to the safe harbor provisions of the Private Securities Litigation Reform Act of 1995. Our actual results could differ materially from those anticipated in these forward-looking statements as a result of various factors, including those set forth below under Part II, Item 1A, “Risk Factors” in this quarterly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spacing w:after="0" w:line="32" w:lineRule="exact"/>
        <w:rPr>
          <w:sz w:val="20"/>
          <w:szCs w:val="20"/>
          <w:color w:val="auto"/>
        </w:rPr>
      </w:pPr>
    </w:p>
    <w:p>
      <w:pPr>
        <w:ind w:left="1200" w:right="280" w:hanging="585"/>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8" w:lineRule="exact"/>
        <w:rPr>
          <w:rFonts w:ascii="Arial" w:cs="Arial" w:eastAsia="Arial" w:hAnsi="Arial"/>
          <w:sz w:val="18"/>
          <w:szCs w:val="18"/>
          <w:color w:val="auto"/>
        </w:rPr>
      </w:pPr>
    </w:p>
    <w:p>
      <w:pPr>
        <w:ind w:left="1200" w:right="780" w:hanging="585"/>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8"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90"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90"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90" w:lineRule="exact"/>
        <w:rPr>
          <w:rFonts w:ascii="Arial" w:cs="Arial" w:eastAsia="Arial" w:hAnsi="Arial"/>
          <w:sz w:val="18"/>
          <w:szCs w:val="18"/>
          <w:color w:val="auto"/>
        </w:rPr>
      </w:pPr>
    </w:p>
    <w:p>
      <w:pPr>
        <w:ind w:left="1200" w:right="660" w:hanging="585"/>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8"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90"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joint ventures and other third parties;</w:t>
      </w:r>
    </w:p>
    <w:p>
      <w:pPr>
        <w:spacing w:after="0" w:line="90"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avoid, settle or be victorious at costly litigation with shareholders, former executives or others, should these situations arise;</w:t>
      </w:r>
    </w:p>
    <w:p>
      <w:pPr>
        <w:spacing w:after="0" w:line="153" w:lineRule="exact"/>
        <w:rPr>
          <w:rFonts w:ascii="Arial" w:cs="Arial" w:eastAsia="Arial" w:hAnsi="Arial"/>
          <w:sz w:val="16"/>
          <w:szCs w:val="16"/>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90"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90" w:lineRule="exact"/>
        <w:rPr>
          <w:rFonts w:ascii="Arial" w:cs="Arial" w:eastAsia="Arial" w:hAnsi="Arial"/>
          <w:sz w:val="18"/>
          <w:szCs w:val="18"/>
          <w:color w:val="auto"/>
        </w:rPr>
      </w:pPr>
    </w:p>
    <w:p>
      <w:pPr>
        <w:ind w:left="1200" w:right="360" w:hanging="585"/>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8"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90"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90"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0"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w:t>
      </w:r>
    </w:p>
    <w:p>
      <w:pPr>
        <w:spacing w:after="0" w:line="90"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90"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 and</w:t>
      </w:r>
    </w:p>
    <w:p>
      <w:pPr>
        <w:spacing w:after="0" w:line="90" w:lineRule="exact"/>
        <w:rPr>
          <w:rFonts w:ascii="Arial" w:cs="Arial" w:eastAsia="Arial" w:hAnsi="Arial"/>
          <w:sz w:val="18"/>
          <w:szCs w:val="18"/>
          <w:color w:val="auto"/>
        </w:rPr>
      </w:pPr>
    </w:p>
    <w:p>
      <w:pPr>
        <w:ind w:left="1200" w:hanging="585"/>
        <w:spacing w:after="0"/>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w:t>
      </w:r>
    </w:p>
    <w:p>
      <w:pPr>
        <w:spacing w:after="0" w:line="237"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the same in light of additional research, preclinical and clinical trial results. The forward-looking statements contained in this quarterly report are subject to risks and uncertainties, including those discussed in our other filings with the United States Securities and Exchange Commission, or the SEC. Readers are cautioned not to place undue reliance on these forward-looking statements, which speak only as of the date hereof. Although we believe that the expectations reflected in the forward-looking statements are reasonable, we cannot guarantee future results, levels of activity, performance, or achievements. Except as required by law, we assume no obligation to update or revise these forward-looking statements for any reason, even if new information becomes available in the future.</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par value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466,839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462,895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469,996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467,789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260"/>
              <w:spacing w:after="0"/>
              <w:rPr>
                <w:sz w:val="20"/>
                <w:szCs w:val="20"/>
                <w:color w:val="auto"/>
              </w:rPr>
            </w:pPr>
            <w:r>
              <w:rPr>
                <w:rFonts w:ascii="Arial" w:cs="Arial" w:eastAsia="Arial" w:hAnsi="Arial"/>
                <w:sz w:val="18"/>
                <w:szCs w:val="18"/>
                <w:color w:val="auto"/>
              </w:rPr>
              <w:t>Operating lease right-of-use asset, net</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Equity-method investment</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Non-current restricted cash</w:t>
            </w:r>
          </w:p>
        </w:tc>
        <w:tc>
          <w:tcPr>
            <w:tcW w:w="5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5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481,468</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476,456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7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29,800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5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17,936</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53,333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 of current portion</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58,147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5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128,861</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79,903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60" w:type="dxa"/>
            <w:vAlign w:val="bottom"/>
          </w:tcPr>
          <w:p>
            <w:pPr>
              <w:ind w:left="260"/>
              <w:spacing w:after="0"/>
              <w:rPr>
                <w:sz w:val="20"/>
                <w:szCs w:val="20"/>
                <w:color w:val="auto"/>
              </w:rPr>
            </w:pPr>
            <w:r>
              <w:rPr>
                <w:rFonts w:ascii="Arial" w:cs="Arial" w:eastAsia="Arial" w:hAnsi="Arial"/>
                <w:sz w:val="18"/>
                <w:szCs w:val="18"/>
                <w:color w:val="auto"/>
              </w:rPr>
              <w:t>Common stock: $0.001 par value; 60,000 shares authorized; 26,319 issued and</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380"/>
              <w:spacing w:after="0"/>
              <w:rPr>
                <w:sz w:val="20"/>
                <w:szCs w:val="20"/>
                <w:color w:val="auto"/>
              </w:rPr>
            </w:pPr>
            <w:r>
              <w:rPr>
                <w:rFonts w:ascii="Arial" w:cs="Arial" w:eastAsia="Arial" w:hAnsi="Arial"/>
                <w:sz w:val="18"/>
                <w:szCs w:val="18"/>
                <w:color w:val="auto"/>
                <w:w w:val="96"/>
              </w:rPr>
              <w:t>outstanding at March 31, 2021 and 26,192 issued and outstanding at December 31, 2020</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552,743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(200,162)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(143,816)</w:t>
            </w:r>
          </w:p>
        </w:tc>
        <w:tc>
          <w:tcPr>
            <w:tcW w:w="0" w:type="dxa"/>
            <w:vAlign w:val="bottom"/>
          </w:tcPr>
          <w:p>
            <w:pPr>
              <w:spacing w:after="0"/>
              <w:rPr>
                <w:sz w:val="1"/>
                <w:szCs w:val="1"/>
                <w:color w:val="auto"/>
              </w:rPr>
            </w:pPr>
          </w:p>
        </w:tc>
      </w:tr>
      <w:tr>
        <w:trPr>
          <w:trHeight w:val="223"/>
        </w:trPr>
        <w:tc>
          <w:tcPr>
            <w:tcW w:w="7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stockholders’ equity</w:t>
            </w:r>
          </w:p>
        </w:tc>
        <w:tc>
          <w:tcPr>
            <w:tcW w:w="5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352,607</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396,553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ind w:left="340" w:right="1620"/>
        <w:spacing w:after="0" w:line="269" w:lineRule="auto"/>
        <w:rPr>
          <w:sz w:val="20"/>
          <w:szCs w:val="20"/>
          <w:color w:val="auto"/>
        </w:rPr>
      </w:pPr>
      <w:r>
        <w:rPr>
          <w:rFonts w:ascii="Arial" w:cs="Arial" w:eastAsia="Arial" w:hAnsi="Arial"/>
          <w:sz w:val="18"/>
          <w:szCs w:val="18"/>
          <w:b w:val="1"/>
          <w:bCs w:val="1"/>
          <w:color w:val="auto"/>
        </w:rPr>
        <w:t>ARCTURUS THERAPEUTICS HOLDINGS INC. AND ITS SUBSIDIARIES CONDENSED CONSOLIDATED STATEMENTS OF OPERATIONS AND COMPREHENSIVE LOSS (unaudited)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15"/>
        </w:trPr>
        <w:tc>
          <w:tcPr>
            <w:tcW w:w="76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156"/>
        </w:trPr>
        <w:tc>
          <w:tcPr>
            <w:tcW w:w="768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2,127</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2,646</w:t>
            </w:r>
          </w:p>
        </w:tc>
        <w:tc>
          <w:tcPr>
            <w:tcW w:w="26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9"/>
        </w:trPr>
        <w:tc>
          <w:tcPr>
            <w:tcW w:w="7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 net</w:t>
            </w: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50,050</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7,917</w:t>
            </w:r>
          </w:p>
        </w:tc>
        <w:tc>
          <w:tcPr>
            <w:tcW w:w="260" w:type="dxa"/>
            <w:vAlign w:val="bottom"/>
            <w:shd w:val="clear" w:color="auto" w:fill="CFF0FC"/>
          </w:tcPr>
          <w:p>
            <w:pPr>
              <w:spacing w:after="0"/>
              <w:rPr>
                <w:sz w:val="19"/>
                <w:szCs w:val="19"/>
                <w:color w:val="auto"/>
              </w:rPr>
            </w:pPr>
          </w:p>
        </w:tc>
      </w:tr>
      <w:tr>
        <w:trPr>
          <w:trHeight w:val="229"/>
        </w:trPr>
        <w:tc>
          <w:tcPr>
            <w:tcW w:w="76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9,743</w:t>
            </w:r>
          </w:p>
        </w:tc>
        <w:tc>
          <w:tcPr>
            <w:tcW w:w="2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w:t>
            </w:r>
          </w:p>
        </w:tc>
        <w:tc>
          <w:tcPr>
            <w:tcW w:w="260" w:type="dxa"/>
            <w:vAlign w:val="bottom"/>
            <w:tcBorders>
              <w:bottom w:val="single" w:sz="8" w:color="CFF0FC"/>
            </w:tcBorders>
          </w:tcPr>
          <w:p>
            <w:pPr>
              <w:spacing w:after="0"/>
              <w:rPr>
                <w:sz w:val="19"/>
                <w:szCs w:val="19"/>
                <w:color w:val="auto"/>
              </w:rPr>
            </w:pPr>
          </w:p>
        </w:tc>
      </w:tr>
      <w:tr>
        <w:trPr>
          <w:trHeight w:val="223"/>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59,793</w:t>
            </w:r>
          </w:p>
        </w:tc>
        <w:tc>
          <w:tcPr>
            <w:tcW w:w="2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12,108</w:t>
            </w:r>
          </w:p>
        </w:tc>
        <w:tc>
          <w:tcPr>
            <w:tcW w:w="260" w:type="dxa"/>
            <w:vAlign w:val="bottom"/>
            <w:shd w:val="clear" w:color="auto" w:fill="CFF0FC"/>
          </w:tcPr>
          <w:p>
            <w:pPr>
              <w:spacing w:after="0"/>
              <w:rPr>
                <w:sz w:val="19"/>
                <w:szCs w:val="19"/>
                <w:color w:val="auto"/>
              </w:rPr>
            </w:pP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Loss from operations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(57,666)</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(9,462)</w:t>
            </w:r>
          </w:p>
        </w:tc>
        <w:tc>
          <w:tcPr>
            <w:tcW w:w="26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Gain (loss) from equity-method investment</w:t>
            </w: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(163)</w:t>
            </w: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Gain from foreign currency</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Finance expense, net</w:t>
            </w:r>
          </w:p>
        </w:tc>
        <w:tc>
          <w:tcPr>
            <w:tcW w:w="9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(358)</w:t>
            </w:r>
          </w:p>
        </w:tc>
        <w:tc>
          <w:tcPr>
            <w:tcW w:w="5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(152)</w:t>
            </w:r>
          </w:p>
        </w:tc>
      </w:tr>
      <w:tr>
        <w:trPr>
          <w:trHeight w:val="263"/>
        </w:trPr>
        <w:tc>
          <w:tcPr>
            <w:tcW w:w="76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loss</w:t>
            </w:r>
          </w:p>
        </w:tc>
        <w:tc>
          <w:tcPr>
            <w:tcW w:w="920" w:type="dxa"/>
            <w:vAlign w:val="bottom"/>
            <w:tcBorders>
              <w:top w:val="single" w:sz="8" w:color="auto"/>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(56,346)</w:t>
            </w:r>
          </w:p>
        </w:tc>
        <w:tc>
          <w:tcPr>
            <w:tcW w:w="26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(9,777)</w:t>
            </w:r>
          </w:p>
        </w:tc>
        <w:tc>
          <w:tcPr>
            <w:tcW w:w="260" w:type="dxa"/>
            <w:vAlign w:val="bottom"/>
            <w:tcBorders>
              <w:bottom w:val="single" w:sz="8" w:color="CFF0FC"/>
            </w:tcBorders>
          </w:tcPr>
          <w:p>
            <w:pPr>
              <w:spacing w:after="0"/>
              <w:rPr>
                <w:sz w:val="22"/>
                <w:szCs w:val="22"/>
                <w:color w:val="auto"/>
              </w:rPr>
            </w:pPr>
          </w:p>
        </w:tc>
      </w:tr>
      <w:tr>
        <w:trPr>
          <w:trHeight w:val="21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(0.67)</w:t>
            </w:r>
          </w:p>
        </w:tc>
        <w:tc>
          <w:tcPr>
            <w:tcW w:w="260" w:type="dxa"/>
            <w:vAlign w:val="bottom"/>
            <w:shd w:val="clear" w:color="auto" w:fill="CFF0FC"/>
          </w:tcPr>
          <w:p>
            <w:pPr>
              <w:spacing w:after="0"/>
              <w:rPr>
                <w:sz w:val="18"/>
                <w:szCs w:val="18"/>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26,243</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14,521</w:t>
            </w:r>
          </w:p>
        </w:tc>
        <w:tc>
          <w:tcPr>
            <w:tcW w:w="26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29"/>
        </w:trPr>
        <w:tc>
          <w:tcPr>
            <w:tcW w:w="76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w w:val="95"/>
              </w:rPr>
              <w:t>(56,346)</w:t>
            </w: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(9,777)</w:t>
            </w:r>
          </w:p>
        </w:tc>
      </w:tr>
      <w:tr>
        <w:trPr>
          <w:trHeight w:val="223"/>
        </w:trPr>
        <w:tc>
          <w:tcPr>
            <w:tcW w:w="76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Comprehensive loss</w:t>
            </w:r>
          </w:p>
        </w:tc>
        <w:tc>
          <w:tcPr>
            <w:tcW w:w="920" w:type="dxa"/>
            <w:vAlign w:val="bottom"/>
            <w:tcBorders>
              <w:top w:val="single" w:sz="8" w:color="auto"/>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(56,346</w:t>
            </w:r>
          </w:p>
        </w:tc>
        <w:tc>
          <w:tcPr>
            <w:tcW w:w="260" w:type="dxa"/>
            <w:vAlign w:val="bottom"/>
            <w:tcBorders>
              <w:top w:val="single" w:sz="8" w:color="CFF0FC"/>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(9,777</w:t>
            </w:r>
          </w:p>
        </w:tc>
        <w:tc>
          <w:tcPr>
            <w:tcW w:w="260" w:type="dxa"/>
            <w:vAlign w:val="bottom"/>
            <w:tcBorders>
              <w:top w:val="single" w:sz="8" w:color="CFF0FC"/>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r>
      <w:tr>
        <w:trPr>
          <w:trHeight w:val="20"/>
        </w:trPr>
        <w:tc>
          <w:tcPr>
            <w:tcW w:w="7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thousands</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Three Months Ended March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0"/>
              </w:rPr>
              <w:t>Additional</w:t>
            </w: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r>
      <w:tr>
        <w:trPr>
          <w:trHeight w:val="229"/>
        </w:trPr>
        <w:tc>
          <w:tcPr>
            <w:tcW w:w="4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6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Paid-In</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4"/>
          </w:tcPr>
          <w:p>
            <w:pPr>
              <w:ind w:left="2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r>
      <w:tr>
        <w:trPr>
          <w:trHeight w:val="234"/>
        </w:trPr>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Equity</w:t>
            </w:r>
          </w:p>
        </w:tc>
      </w:tr>
      <w:tr>
        <w:trPr>
          <w:trHeight w:val="223"/>
        </w:trPr>
        <w:tc>
          <w:tcPr>
            <w:tcW w:w="48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BALANCE - December 31, 2020</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26,192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540,343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(143,816)</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396,553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8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81"/>
              <w:spacing w:after="0"/>
              <w:rPr>
                <w:sz w:val="20"/>
                <w:szCs w:val="20"/>
                <w:color w:val="auto"/>
              </w:rPr>
            </w:pPr>
            <w:r>
              <w:rPr>
                <w:rFonts w:ascii="Arial" w:cs="Arial" w:eastAsia="Arial" w:hAnsi="Arial"/>
                <w:sz w:val="18"/>
                <w:szCs w:val="18"/>
                <w:color w:val="auto"/>
              </w:rPr>
              <w:t>(56,346)</w:t>
            </w:r>
          </w:p>
        </w:tc>
        <w:tc>
          <w:tcPr>
            <w:tcW w:w="2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(56,346)</w:t>
            </w:r>
          </w:p>
        </w:tc>
      </w:tr>
      <w:tr>
        <w:trPr>
          <w:trHeight w:val="215"/>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Issuance of common stock related to acquired in-process</w:t>
            </w: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20"/>
                <w:szCs w:val="20"/>
                <w:color w:val="auto"/>
              </w:rPr>
            </w:pPr>
          </w:p>
        </w:tc>
      </w:tr>
      <w:tr>
        <w:trPr>
          <w:trHeight w:val="229"/>
        </w:trPr>
        <w:tc>
          <w:tcPr>
            <w:tcW w:w="484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6,987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6,987</w:t>
            </w:r>
          </w:p>
        </w:tc>
        <w:tc>
          <w:tcPr>
            <w:tcW w:w="120" w:type="dxa"/>
            <w:vAlign w:val="bottom"/>
          </w:tcPr>
          <w:p>
            <w:pPr>
              <w:spacing w:after="0"/>
              <w:rPr>
                <w:sz w:val="19"/>
                <w:szCs w:val="19"/>
                <w:color w:val="auto"/>
              </w:rPr>
            </w:pPr>
          </w:p>
        </w:tc>
      </w:tr>
      <w:tr>
        <w:trPr>
          <w:trHeight w:val="23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FF0FC"/>
          </w:tcPr>
          <w:p>
            <w:pPr>
              <w:spacing w:after="0"/>
              <w:rPr>
                <w:sz w:val="19"/>
                <w:szCs w:val="19"/>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BALANCE – March 31, 2021</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26,319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552,743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(200,162</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352,607</w:t>
            </w:r>
          </w:p>
        </w:tc>
        <w:tc>
          <w:tcPr>
            <w:tcW w:w="12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7200" w:type="dxa"/>
            <w:vAlign w:val="bottom"/>
            <w:tcBorders>
              <w:bottom w:val="single" w:sz="8" w:color="auto"/>
            </w:tcBorders>
            <w:gridSpan w:val="9"/>
          </w:tcPr>
          <w:p>
            <w:pPr>
              <w:ind w:left="4120"/>
              <w:spacing w:after="0"/>
              <w:rPr>
                <w:sz w:val="20"/>
                <w:szCs w:val="20"/>
                <w:color w:val="auto"/>
              </w:rPr>
            </w:pPr>
            <w:r>
              <w:rPr>
                <w:rFonts w:ascii="Arial" w:cs="Arial" w:eastAsia="Arial" w:hAnsi="Arial"/>
                <w:sz w:val="18"/>
                <w:szCs w:val="18"/>
                <w:b w:val="1"/>
                <w:bCs w:val="1"/>
                <w:color w:val="auto"/>
                <w:w w:val="98"/>
              </w:rPr>
              <w:t>Three Months Ended March 31, 2020</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7"/>
              </w:rPr>
              <w:t>Additional</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r>
      <w:tr>
        <w:trPr>
          <w:trHeight w:val="229"/>
        </w:trPr>
        <w:tc>
          <w:tcPr>
            <w:tcW w:w="4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6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Paid-In</w:t>
            </w:r>
          </w:p>
        </w:tc>
        <w:tc>
          <w:tcPr>
            <w:tcW w:w="200" w:type="dxa"/>
            <w:vAlign w:val="bottom"/>
          </w:tcPr>
          <w:p>
            <w:pPr>
              <w:spacing w:after="0"/>
              <w:rPr>
                <w:sz w:val="19"/>
                <w:szCs w:val="19"/>
                <w:color w:val="auto"/>
              </w:rPr>
            </w:pPr>
          </w:p>
        </w:tc>
        <w:tc>
          <w:tcPr>
            <w:tcW w:w="1320" w:type="dxa"/>
            <w:vAlign w:val="bottom"/>
            <w:gridSpan w:val="5"/>
          </w:tcPr>
          <w:p>
            <w:pPr>
              <w:ind w:left="2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r>
      <w:tr>
        <w:trPr>
          <w:trHeight w:val="234"/>
        </w:trPr>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441"/>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Equity</w:t>
            </w: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December 31, 2019</w:t>
            </w: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15,138</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97,445</w:t>
            </w: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(71,668)</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25,792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8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101"/>
              <w:spacing w:after="0"/>
              <w:rPr>
                <w:sz w:val="20"/>
                <w:szCs w:val="20"/>
                <w:color w:val="auto"/>
              </w:rPr>
            </w:pPr>
            <w:r>
              <w:rPr>
                <w:rFonts w:ascii="Arial" w:cs="Arial" w:eastAsia="Arial" w:hAnsi="Arial"/>
                <w:sz w:val="18"/>
                <w:szCs w:val="18"/>
                <w:color w:val="auto"/>
              </w:rPr>
              <w:t>(9,777)</w:t>
            </w:r>
          </w:p>
        </w:tc>
        <w:tc>
          <w:tcPr>
            <w:tcW w:w="2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(9,777)</w:t>
            </w:r>
          </w:p>
        </w:tc>
      </w:tr>
      <w:tr>
        <w:trPr>
          <w:trHeight w:val="23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FF0FC"/>
          </w:tcPr>
          <w:p>
            <w:pPr>
              <w:spacing w:after="0"/>
              <w:rPr>
                <w:sz w:val="19"/>
                <w:szCs w:val="19"/>
                <w:color w:val="auto"/>
              </w:rPr>
            </w:pPr>
          </w:p>
        </w:tc>
      </w:tr>
      <w:tr>
        <w:trPr>
          <w:trHeight w:val="229"/>
        </w:trPr>
        <w:tc>
          <w:tcPr>
            <w:tcW w:w="4840" w:type="dxa"/>
            <w:vAlign w:val="bottom"/>
            <w:gridSpan w:val="2"/>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March 31, 2020</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15,157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98,412</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(81,445)</w:t>
            </w:r>
          </w:p>
        </w:tc>
        <w:tc>
          <w:tcPr>
            <w:tcW w:w="2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16,982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left="340" w:right="2620"/>
        <w:spacing w:after="0" w:line="254" w:lineRule="auto"/>
        <w:rPr>
          <w:sz w:val="20"/>
          <w:szCs w:val="20"/>
          <w:color w:val="auto"/>
        </w:rPr>
      </w:pPr>
      <w:r>
        <w:rPr>
          <w:rFonts w:ascii="Arial" w:cs="Arial" w:eastAsia="Arial" w:hAnsi="Arial"/>
          <w:sz w:val="18"/>
          <w:szCs w:val="18"/>
          <w:b w:val="1"/>
          <w:bCs w:val="1"/>
          <w:color w:val="auto"/>
        </w:rPr>
        <w:t>ARCTURUS THERAPEUTICS HOLDINGS INC. AND ITS SUBSIDIARIES CONDENSED CONSOLIDATED STATEMENTS OF CASH FLOWS (unaudited)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01"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Three Months Ended March 31,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60" w:type="dxa"/>
            <w:vAlign w:val="bottom"/>
            <w:tcBorders>
              <w:bottom w:val="single" w:sz="8" w:color="CFF0FC"/>
            </w:tcBorders>
          </w:tcPr>
          <w:p>
            <w:pPr>
              <w:spacing w:after="0"/>
              <w:rPr>
                <w:sz w:val="15"/>
                <w:szCs w:val="15"/>
                <w:color w:val="auto"/>
              </w:rPr>
            </w:pPr>
          </w:p>
        </w:tc>
        <w:tc>
          <w:tcPr>
            <w:tcW w:w="400" w:type="dxa"/>
            <w:vAlign w:val="bottom"/>
            <w:tcBorders>
              <w:bottom w:val="single" w:sz="8" w:color="CFF0FC"/>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CFF0FC"/>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r>
      <w:tr>
        <w:trPr>
          <w:trHeight w:val="223"/>
        </w:trPr>
        <w:tc>
          <w:tcPr>
            <w:tcW w:w="7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46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(56,346)</w:t>
            </w:r>
          </w:p>
        </w:tc>
        <w:tc>
          <w:tcPr>
            <w:tcW w:w="920" w:type="dxa"/>
            <w:vAlign w:val="bottom"/>
          </w:tcPr>
          <w:p>
            <w:pPr>
              <w:jc w:val="right"/>
              <w:ind w:right="735"/>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(9,777)</w:t>
            </w:r>
          </w:p>
        </w:tc>
      </w:tr>
      <w:tr>
        <w:trPr>
          <w:trHeight w:val="230"/>
        </w:trPr>
        <w:tc>
          <w:tcPr>
            <w:tcW w:w="74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Adjustments to reconcile net loss to net cash used in operating activities:</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4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r>
      <w:tr>
        <w:trPr>
          <w:trHeight w:val="230"/>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6,987</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FF0FC"/>
          </w:tcPr>
          <w:p>
            <w:pPr>
              <w:spacing w:after="0"/>
              <w:rPr>
                <w:sz w:val="19"/>
                <w:szCs w:val="19"/>
                <w:color w:val="auto"/>
              </w:rPr>
            </w:pPr>
          </w:p>
        </w:tc>
      </w:tr>
      <w:tr>
        <w:trPr>
          <w:trHeight w:val="229"/>
        </w:trPr>
        <w:tc>
          <w:tcPr>
            <w:tcW w:w="7460" w:type="dxa"/>
            <w:vAlign w:val="bottom"/>
          </w:tcPr>
          <w:p>
            <w:pPr>
              <w:ind w:left="260"/>
              <w:spacing w:after="0"/>
              <w:rPr>
                <w:sz w:val="20"/>
                <w:szCs w:val="20"/>
                <w:color w:val="auto"/>
              </w:rPr>
            </w:pPr>
            <w:r>
              <w:rPr>
                <w:rFonts w:ascii="Arial" w:cs="Arial" w:eastAsia="Arial" w:hAnsi="Arial"/>
                <w:sz w:val="18"/>
                <w:szCs w:val="18"/>
                <w:color w:val="auto"/>
              </w:rPr>
              <w:t>Acquired in-process research and development expense</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Loss from equity-method investment</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(1,248)</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FF0FC"/>
          </w:tcPr>
          <w:p>
            <w:pPr>
              <w:spacing w:after="0"/>
              <w:rPr>
                <w:sz w:val="19"/>
                <w:szCs w:val="19"/>
                <w:color w:val="auto"/>
              </w:rPr>
            </w:pP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Foreign currency transaction gain</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(440)</w:t>
            </w:r>
          </w:p>
        </w:tc>
        <w:tc>
          <w:tcPr>
            <w:tcW w:w="9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non-cash expenses</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FF0FC"/>
          </w:tcPr>
          <w:p>
            <w:pPr>
              <w:spacing w:after="0"/>
              <w:rPr>
                <w:sz w:val="19"/>
                <w:szCs w:val="19"/>
                <w:color w:val="auto"/>
              </w:rPr>
            </w:pPr>
          </w:p>
        </w:tc>
      </w:tr>
      <w:tr>
        <w:trPr>
          <w:trHeight w:val="230"/>
        </w:trPr>
        <w:tc>
          <w:tcPr>
            <w:tcW w:w="7460" w:type="dxa"/>
            <w:vAlign w:val="bottom"/>
          </w:tcPr>
          <w:p>
            <w:pPr>
              <w:spacing w:after="0"/>
              <w:rPr>
                <w:sz w:val="20"/>
                <w:szCs w:val="20"/>
                <w:color w:val="auto"/>
              </w:rPr>
            </w:pPr>
            <w:r>
              <w:rPr>
                <w:rFonts w:ascii="Arial" w:cs="Arial" w:eastAsia="Arial" w:hAnsi="Arial"/>
                <w:sz w:val="18"/>
                <w:szCs w:val="18"/>
                <w:b w:val="1"/>
                <w:bCs w:val="1"/>
                <w:i w:val="1"/>
                <w:iCs w:val="1"/>
                <w:color w:val="auto"/>
              </w:rPr>
              <w:t>Changes in operating assets and liabilities</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(172)</w:t>
            </w:r>
          </w:p>
        </w:tc>
      </w:tr>
      <w:tr>
        <w:trPr>
          <w:trHeight w:val="229"/>
        </w:trPr>
        <w:tc>
          <w:tcPr>
            <w:tcW w:w="7460" w:type="dxa"/>
            <w:vAlign w:val="bottom"/>
          </w:tcPr>
          <w:p>
            <w:pPr>
              <w:ind w:left="260"/>
              <w:spacing w:after="0"/>
              <w:rPr>
                <w:sz w:val="20"/>
                <w:szCs w:val="20"/>
                <w:color w:val="auto"/>
              </w:rPr>
            </w:pPr>
            <w:r>
              <w:rPr>
                <w:rFonts w:ascii="Arial" w:cs="Arial" w:eastAsia="Arial" w:hAnsi="Arial"/>
                <w:sz w:val="18"/>
                <w:szCs w:val="18"/>
                <w:color w:val="auto"/>
              </w:rPr>
              <w:t>Prepaid expense and other assets</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1,619</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(1,179)</w:t>
            </w:r>
          </w:p>
        </w:tc>
      </w:tr>
      <w:tr>
        <w:trPr>
          <w:trHeight w:val="230"/>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(5,415)</w:t>
            </w:r>
          </w:p>
        </w:tc>
        <w:tc>
          <w:tcPr>
            <w:tcW w:w="9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(2,276)</w:t>
            </w:r>
          </w:p>
        </w:tc>
      </w:tr>
      <w:tr>
        <w:trPr>
          <w:trHeight w:val="229"/>
        </w:trPr>
        <w:tc>
          <w:tcPr>
            <w:tcW w:w="746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7,143</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1,746</w:t>
            </w:r>
          </w:p>
        </w:tc>
        <w:tc>
          <w:tcPr>
            <w:tcW w:w="120" w:type="dxa"/>
            <w:vAlign w:val="bottom"/>
          </w:tcPr>
          <w:p>
            <w:pPr>
              <w:spacing w:after="0"/>
              <w:rPr>
                <w:sz w:val="19"/>
                <w:szCs w:val="19"/>
                <w:color w:val="auto"/>
              </w:rPr>
            </w:pPr>
          </w:p>
        </w:tc>
      </w:tr>
      <w:tr>
        <w:trPr>
          <w:trHeight w:val="229"/>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(1,371)</w:t>
            </w:r>
          </w:p>
        </w:tc>
        <w:tc>
          <w:tcPr>
            <w:tcW w:w="9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(1,668)</w:t>
            </w:r>
          </w:p>
        </w:tc>
      </w:tr>
      <w:tr>
        <w:trPr>
          <w:trHeight w:val="223"/>
        </w:trPr>
        <w:tc>
          <w:tcPr>
            <w:tcW w:w="7460" w:type="dxa"/>
            <w:vAlign w:val="bottom"/>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4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(42,950)</w:t>
            </w:r>
          </w:p>
        </w:tc>
        <w:tc>
          <w:tcPr>
            <w:tcW w:w="2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(11,858)</w:t>
            </w:r>
          </w:p>
        </w:tc>
        <w:tc>
          <w:tcPr>
            <w:tcW w:w="120" w:type="dxa"/>
            <w:vAlign w:val="bottom"/>
          </w:tcPr>
          <w:p>
            <w:pPr>
              <w:spacing w:after="0"/>
              <w:rPr>
                <w:sz w:val="19"/>
                <w:szCs w:val="19"/>
                <w:color w:val="auto"/>
              </w:rPr>
            </w:pPr>
          </w:p>
        </w:tc>
      </w:tr>
      <w:tr>
        <w:trPr>
          <w:trHeight w:val="229"/>
        </w:trPr>
        <w:tc>
          <w:tcPr>
            <w:tcW w:w="7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Acquisition of property and equipment</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9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r>
      <w:tr>
        <w:trPr>
          <w:trHeight w:val="223"/>
        </w:trPr>
        <w:tc>
          <w:tcPr>
            <w:tcW w:w="74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used in investing activities</w:t>
            </w:r>
          </w:p>
        </w:tc>
        <w:tc>
          <w:tcPr>
            <w:tcW w:w="4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4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debt</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46,599</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4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2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FF0FC"/>
            </w:tcBorders>
          </w:tcPr>
          <w:p>
            <w:pPr>
              <w:spacing w:after="0"/>
              <w:rPr>
                <w:sz w:val="19"/>
                <w:szCs w:val="19"/>
                <w:color w:val="auto"/>
              </w:rPr>
            </w:pPr>
          </w:p>
        </w:tc>
      </w:tr>
      <w:tr>
        <w:trPr>
          <w:trHeight w:val="223"/>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4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47,012</w:t>
            </w:r>
          </w:p>
        </w:tc>
        <w:tc>
          <w:tcPr>
            <w:tcW w:w="2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FF0FC"/>
          </w:tcPr>
          <w:p>
            <w:pPr>
              <w:spacing w:after="0"/>
              <w:rPr>
                <w:sz w:val="19"/>
                <w:szCs w:val="19"/>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3,944</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(11,882)</w:t>
            </w:r>
          </w:p>
        </w:tc>
        <w:tc>
          <w:tcPr>
            <w:tcW w:w="120" w:type="dxa"/>
            <w:vAlign w:val="bottom"/>
          </w:tcPr>
          <w:p>
            <w:pPr>
              <w:spacing w:after="0"/>
              <w:rPr>
                <w:sz w:val="19"/>
                <w:szCs w:val="19"/>
                <w:color w:val="auto"/>
              </w:rPr>
            </w:pPr>
          </w:p>
        </w:tc>
      </w:tr>
      <w:tr>
        <w:trPr>
          <w:trHeight w:val="230"/>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4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463,002</w:t>
            </w:r>
          </w:p>
        </w:tc>
        <w:tc>
          <w:tcPr>
            <w:tcW w:w="2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71,460</w:t>
            </w:r>
          </w:p>
        </w:tc>
        <w:tc>
          <w:tcPr>
            <w:tcW w:w="120" w:type="dxa"/>
            <w:vAlign w:val="bottom"/>
            <w:shd w:val="clear" w:color="auto" w:fill="CFF0FC"/>
          </w:tcPr>
          <w:p>
            <w:pPr>
              <w:spacing w:after="0"/>
              <w:rPr>
                <w:sz w:val="19"/>
                <w:szCs w:val="19"/>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Cash, cash equivalents and restricted cash at end of the period</w:t>
            </w:r>
          </w:p>
        </w:tc>
        <w:tc>
          <w:tcPr>
            <w:tcW w:w="400" w:type="dxa"/>
            <w:vAlign w:val="bottom"/>
          </w:tcPr>
          <w:p>
            <w:pPr>
              <w:spacing w:after="0"/>
              <w:rPr>
                <w:sz w:val="19"/>
                <w:szCs w:val="19"/>
                <w:color w:val="auto"/>
              </w:rPr>
            </w:pPr>
          </w:p>
        </w:tc>
        <w:tc>
          <w:tcPr>
            <w:tcW w:w="880" w:type="dxa"/>
            <w:vAlign w:val="bottom"/>
            <w:tcBorders>
              <w:bottom w:val="single" w:sz="8" w:color="auto"/>
            </w:tcBorders>
          </w:tcPr>
          <w:p>
            <w:pPr>
              <w:jc w:val="right"/>
              <w:ind w:right="72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466,946</w:t>
            </w:r>
          </w:p>
        </w:tc>
        <w:tc>
          <w:tcPr>
            <w:tcW w:w="280" w:type="dxa"/>
            <w:vAlign w:val="bottom"/>
          </w:tcPr>
          <w:p>
            <w:pPr>
              <w:spacing w:after="0"/>
              <w:rPr>
                <w:sz w:val="19"/>
                <w:szCs w:val="19"/>
                <w:color w:val="auto"/>
              </w:rPr>
            </w:pPr>
          </w:p>
        </w:tc>
        <w:tc>
          <w:tcPr>
            <w:tcW w:w="920" w:type="dxa"/>
            <w:vAlign w:val="bottom"/>
            <w:tcBorders>
              <w:bottom w:val="single" w:sz="8" w:color="auto"/>
            </w:tcBorders>
          </w:tcPr>
          <w:p>
            <w:pPr>
              <w:jc w:val="right"/>
              <w:ind w:right="73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59,578</w:t>
            </w:r>
          </w:p>
        </w:tc>
        <w:tc>
          <w:tcPr>
            <w:tcW w:w="120" w:type="dxa"/>
            <w:vAlign w:val="bottom"/>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4"/>
        </w:trPr>
        <w:tc>
          <w:tcPr>
            <w:tcW w:w="7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2"/>
        </w:trPr>
        <w:tc>
          <w:tcPr>
            <w:tcW w:w="746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56"/>
        </w:trPr>
        <w:tc>
          <w:tcPr>
            <w:tcW w:w="7460" w:type="dxa"/>
            <w:vAlign w:val="bottom"/>
            <w:tcBorders>
              <w:bottom w:val="single" w:sz="8" w:color="CFF0FC"/>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128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19"/>
                <w:szCs w:val="19"/>
                <w:color w:val="auto"/>
              </w:rPr>
            </w:pPr>
          </w:p>
        </w:tc>
        <w:tc>
          <w:tcPr>
            <w:tcW w:w="920" w:type="dxa"/>
            <w:vAlign w:val="bottom"/>
          </w:tcPr>
          <w:p>
            <w:pPr>
              <w:jc w:val="right"/>
              <w:ind w:right="73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r>
      <w:tr>
        <w:trPr>
          <w:trHeight w:val="229"/>
        </w:trPr>
        <w:tc>
          <w:tcPr>
            <w:tcW w:w="7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activities</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Right-of-use asset obtained in exchange for lease liabilities</w:t>
            </w:r>
          </w:p>
        </w:tc>
        <w:tc>
          <w:tcPr>
            <w:tcW w:w="128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1,828</w:t>
            </w:r>
          </w:p>
        </w:tc>
        <w:tc>
          <w:tcPr>
            <w:tcW w:w="280" w:type="dxa"/>
            <w:vAlign w:val="bottom"/>
          </w:tcPr>
          <w:p>
            <w:pPr>
              <w:spacing w:after="0"/>
              <w:rPr>
                <w:sz w:val="19"/>
                <w:szCs w:val="19"/>
                <w:color w:val="auto"/>
              </w:rPr>
            </w:pPr>
          </w:p>
        </w:tc>
        <w:tc>
          <w:tcPr>
            <w:tcW w:w="920" w:type="dxa"/>
            <w:vAlign w:val="bottom"/>
          </w:tcPr>
          <w:p>
            <w:pPr>
              <w:jc w:val="right"/>
              <w:ind w:right="73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r>
      <w:tr>
        <w:trPr>
          <w:trHeight w:val="230"/>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in-process research and development through issuance of common stock</w:t>
            </w:r>
          </w:p>
        </w:tc>
        <w:tc>
          <w:tcPr>
            <w:tcW w:w="1280" w:type="dxa"/>
            <w:vAlign w:val="bottom"/>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5"/>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Purchase of property and equipment in accounts payable</w:t>
            </w:r>
          </w:p>
        </w:tc>
        <w:tc>
          <w:tcPr>
            <w:tcW w:w="128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Pr>
          <w:p>
            <w:pPr>
              <w:spacing w:after="0"/>
              <w:rPr>
                <w:sz w:val="20"/>
                <w:szCs w:val="20"/>
                <w:color w:val="auto"/>
              </w:rPr>
            </w:pPr>
          </w:p>
        </w:tc>
        <w:tc>
          <w:tcPr>
            <w:tcW w:w="920" w:type="dxa"/>
            <w:vAlign w:val="bottom"/>
          </w:tcPr>
          <w:p>
            <w:pPr>
              <w:jc w:val="right"/>
              <w:ind w:right="73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left="340" w:right="2620"/>
        <w:spacing w:after="0" w:line="266" w:lineRule="auto"/>
        <w:rPr>
          <w:sz w:val="20"/>
          <w:szCs w:val="20"/>
          <w:color w:val="auto"/>
        </w:rPr>
      </w:pPr>
      <w:r>
        <w:rPr>
          <w:rFonts w:ascii="Arial" w:cs="Arial" w:eastAsia="Arial" w:hAnsi="Arial"/>
          <w:sz w:val="18"/>
          <w:szCs w:val="18"/>
          <w:b w:val="1"/>
          <w:bCs w:val="1"/>
          <w:color w:val="auto"/>
        </w:rPr>
        <w:t>ARCTURUS THERAPEUTICS HOLDINGS INC. AND ITS SUBSIDIARIES NOTES TO CONDENSED CONSOLIDATED FINANCIAL STATEMENTS (Unaudited)</w:t>
      </w:r>
    </w:p>
    <w:p>
      <w:pPr>
        <w:spacing w:after="0" w:line="176" w:lineRule="exact"/>
        <w:rPr>
          <w:sz w:val="20"/>
          <w:szCs w:val="20"/>
          <w:color w:val="auto"/>
        </w:rPr>
      </w:pPr>
    </w:p>
    <w:p>
      <w:pPr>
        <w:ind w:right="3400"/>
        <w:spacing w:after="0" w:line="377" w:lineRule="auto"/>
        <w:rPr>
          <w:sz w:val="20"/>
          <w:szCs w:val="20"/>
          <w:color w:val="auto"/>
        </w:rPr>
      </w:pPr>
      <w:r>
        <w:rPr>
          <w:rFonts w:ascii="Arial" w:cs="Arial" w:eastAsia="Arial" w:hAnsi="Arial"/>
          <w:sz w:val="18"/>
          <w:szCs w:val="18"/>
          <w:b w:val="1"/>
          <w:bCs w:val="1"/>
          <w:color w:val="auto"/>
        </w:rPr>
        <w:t>Note 1. Description of Business, Basis of Presentation and Summary of Significant Accounting Policies Description of Business</w:t>
      </w:r>
    </w:p>
    <w:p>
      <w:pPr>
        <w:spacing w:after="0" w:line="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Arcturus Therapeutics Holdings Inc. (the “Company”) is a global clinical-stage messenger RNA medicines company focused on development of infectious disease vaccines and significant opportunities within liver and respiratory rare diseases. The Company became a clinical stage company during 2020 when it announced that its Investigational New Drug (“IND”) application for ornithine transcarbamylase (“OTC”) deficiency was deemed allowed to proceed by the U.S. Food and Drug Administration (“FDA”), and its Clinical Trial Application (“CTA”) candidate LUNAR-COV19 was approved to proceed by the Singapore Health Sciences Authority.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accompanying condensed consolidated financial statements include the accounts of Arcturus Therapeutics Holdings Inc.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w:t>
      </w:r>
    </w:p>
    <w:p>
      <w:pPr>
        <w:spacing w:after="0" w:line="84" w:lineRule="exact"/>
        <w:rPr>
          <w:sz w:val="20"/>
          <w:szCs w:val="20"/>
          <w:color w:val="auto"/>
        </w:rPr>
      </w:pPr>
    </w:p>
    <w:p>
      <w:pPr>
        <w:jc w:val="both"/>
        <w:ind w:right="360" w:firstLine="510"/>
        <w:spacing w:after="0" w:line="263" w:lineRule="auto"/>
        <w:rPr>
          <w:sz w:val="20"/>
          <w:szCs w:val="20"/>
          <w:color w:val="auto"/>
        </w:rPr>
      </w:pPr>
      <w:r>
        <w:rPr>
          <w:rFonts w:ascii="Arial" w:cs="Arial" w:eastAsia="Arial" w:hAnsi="Arial"/>
          <w:sz w:val="18"/>
          <w:szCs w:val="18"/>
          <w:color w:val="auto"/>
        </w:rPr>
        <w:t>Interim financial results are not necessarily indicative of results anticipated for the full year. These condensed consolidated financial statements should be read in conjunction with the audited financial statements and footnotes included in the Company’s Annual Report on Form 10-K for the year ended December 31, 2020.</w:t>
      </w:r>
    </w:p>
    <w:p>
      <w:pPr>
        <w:spacing w:after="0" w:line="76"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These condensed consolidated financial statements are prepared in accordance with GAAP, which requires management to make estimates and assumptions regarding the valuation of debt instruments, the equity-method investment, share-based compensation, accruals for liabilities, income taxes, revenue and deferred revenue, leases,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9" w:lineRule="exact"/>
        <w:rPr>
          <w:sz w:val="20"/>
          <w:szCs w:val="20"/>
          <w:color w:val="auto"/>
        </w:rPr>
      </w:pPr>
    </w:p>
    <w:p>
      <w:pPr>
        <w:ind w:right="100" w:firstLine="822"/>
        <w:spacing w:after="0" w:line="277" w:lineRule="auto"/>
        <w:rPr>
          <w:sz w:val="20"/>
          <w:szCs w:val="20"/>
          <w:color w:val="auto"/>
        </w:rPr>
      </w:pPr>
      <w:r>
        <w:rPr>
          <w:rFonts w:ascii="Arial" w:cs="Arial" w:eastAsia="Arial" w:hAnsi="Arial"/>
          <w:sz w:val="18"/>
          <w:szCs w:val="18"/>
          <w:color w:val="auto"/>
        </w:rPr>
        <w:t>The Company has incurred significant operating losses since its inception. As of March 31, 2021 and December 31, 2020, the Company had an accumulated deficit of $200.2 million and $143.8 million, respectively.</w:t>
      </w:r>
    </w:p>
    <w:p>
      <w:pPr>
        <w:spacing w:after="0" w:line="62"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The Company’s activities since inception have consisted principally of research and development activities, general and administrative activities, and raising capital. The Company’s activities are subject to significant risks and uncertainties, including failing to secure additional funding before the Company achieves sustainable revenues and profit from operations. From the Company’s inception through the three months ended March 31, 2021, the Company has funded its operations principally with the sale of capital stock, revenues earned through collaboration agreements, and proceeds from long-term debt. During the first quarter of 2021, the Company elected to borrow and the Economic Development Board of the Republic of Singapore (the “EDB”) agreed to make a term loan of S$62.1 million (approximately USD$46.6 million) to support the manufacture of the LUNAR-COV19 vaccine candidate. Additionally, through underwritten public offerings during fiscal year 2020, the Company raised net proceeds of $423.8 million, after deducting underwriting discounts, commissions, and offering expenses.</w:t>
      </w:r>
    </w:p>
    <w:p>
      <w:pPr>
        <w:spacing w:after="0" w:line="70"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condensed consolidated financial statements were available to be issued. There can be no assurance that the Company will be successful in securing additional funding, that the Company’s projections of its future working capital needs will prove accurate, or that any additional funding would be sufficient to continue operations in future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is the research and development of medical applications for the Company’s nucleic acid-focused technology.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20" w:firstLine="510"/>
        <w:spacing w:after="0" w:line="286" w:lineRule="auto"/>
        <w:rPr>
          <w:sz w:val="20"/>
          <w:szCs w:val="20"/>
          <w:color w:val="auto"/>
        </w:rPr>
      </w:pPr>
      <w:r>
        <w:rPr>
          <w:rFonts w:ascii="Arial" w:cs="Arial" w:eastAsia="Arial" w:hAnsi="Arial"/>
          <w:sz w:val="17"/>
          <w:szCs w:val="17"/>
          <w:color w:val="auto"/>
        </w:rPr>
        <w:t>The Company determines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5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The terms of the Company’s collaborative research and development agreements include license fees, upfront payments, milestone payments, and reimbursement for research and development activities, option exercise fees, and royalties on sales of commercialized products. Arrangements that include upfront payments are recorded as deferred revenue upon receipt or when due and may require deferral of revenue recognition to a future period until the Company performs obligations under these arrangements.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spacing w:after="0" w:line="60"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collaborative partner and is the unit of account in Topic 606. A contract’s transaction price is allocated to each distinct performance obligation based on relative standalone selling price and recognized as revenue when, or as, the performance obligation is satisfied.</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Collaboration Revenue”</w:t>
      </w:r>
      <w:r>
        <w:rPr>
          <w:rFonts w:ascii="Arial" w:cs="Arial" w:eastAsia="Arial" w:hAnsi="Arial"/>
          <w:sz w:val="18"/>
          <w:szCs w:val="18"/>
          <w:color w:val="auto"/>
        </w:rPr>
        <w:t xml:space="preserve"> for specific details surrounding the Company’s collaboration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9, Commitments and Contingences”</w:t>
      </w:r>
      <w:r>
        <w:rPr>
          <w:rFonts w:ascii="Arial" w:cs="Arial" w:eastAsia="Arial" w:hAnsi="Arial"/>
          <w:sz w:val="18"/>
          <w:szCs w:val="18"/>
          <w:color w:val="auto"/>
        </w:rPr>
        <w:t xml:space="preserve"> for specific details surrounding the Company’s leases.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Net</w:t>
      </w:r>
    </w:p>
    <w:p>
      <w:pPr>
        <w:spacing w:after="0" w:line="12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All research and development costs are expensed as incurred. Research and development costs consist primarily of salaries, employee benefits, costs associated with preclinical studies and clinical trials (including amounts paid to clinical research organizations and other professional services), in process research and development expenses and license agreement expenses, net of any grants and prelaunch inventory. Payments made prior to the receipt of goods or services to be used in research and development are capitalized until the goods or services are received.</w:t>
      </w:r>
    </w:p>
    <w:p>
      <w:pPr>
        <w:spacing w:after="0" w:line="63"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The Company records accruals for estimated research and development costs, comprising payments for work performed by third party contractors, laboratories, participating clinical trial sites, and others. Some of these contractors bill monthly based on actual services performed, while others bill periodically based upon achieving certain contractual milestones. For the latter, the Company accrues the expenses as goods or services are used or rendered. Clinical trial site costs related to patient enrollment are accrued as patients enter and progress through the trial.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Pre-Launch Inventory</w:t>
      </w:r>
    </w:p>
    <w:p>
      <w:pPr>
        <w:spacing w:after="0" w:line="12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Prior to obtaining initial regulatory approval for an investigational product candidate, the Company expenses costs relating to production of inventory as research and development expense in its condensed consolidated statements of operations, in the period incurred. When the Company believes regulatory approval and subsequent commercialization of an investigational product candidate is probable, and the Company also expects future economic benefit from the sales of the investigational product candidate to be realized, it will then capitalize the costs of production as inventory</w:t>
      </w:r>
      <w:r>
        <w:rPr>
          <w:rFonts w:ascii="Arial" w:cs="Arial" w:eastAsia="Arial" w:hAnsi="Arial"/>
          <w:sz w:val="19"/>
          <w:szCs w:val="19"/>
          <w:color w:val="auto"/>
        </w:rPr>
        <w: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Statement of Cash Flows</w:t>
      </w:r>
    </w:p>
    <w:p>
      <w:pPr>
        <w:spacing w:after="0" w:line="121"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condensed consolidated balance sheet to the total of the same such amounts shown in the condensed consolidated statement of cash flows: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200" w:type="dxa"/>
            <w:vAlign w:val="bottom"/>
          </w:tcPr>
          <w:p>
            <w:pPr>
              <w:jc w:val="right"/>
              <w:ind w:right="115"/>
              <w:spacing w:after="0"/>
              <w:rPr>
                <w:sz w:val="20"/>
                <w:szCs w:val="20"/>
                <w:color w:val="auto"/>
              </w:rPr>
            </w:pPr>
            <w:r>
              <w:rPr>
                <w:rFonts w:ascii="Arial" w:cs="Arial" w:eastAsia="Arial" w:hAnsi="Arial"/>
                <w:sz w:val="14"/>
                <w:szCs w:val="14"/>
                <w:b w:val="1"/>
                <w:bCs w:val="1"/>
                <w:color w:val="auto"/>
                <w:w w:val="98"/>
              </w:rPr>
              <w:t>March 31, 2021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2020</w:t>
            </w: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466,839</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59,471</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restricted cash</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FF0FC"/>
            </w:tcBorders>
          </w:tcPr>
          <w:p>
            <w:pPr>
              <w:spacing w:after="0"/>
              <w:rPr>
                <w:sz w:val="19"/>
                <w:szCs w:val="19"/>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shown in the statement of cash flows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466,946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59,578</w:t>
            </w:r>
          </w:p>
        </w:tc>
        <w:tc>
          <w:tcPr>
            <w:tcW w:w="80" w:type="dxa"/>
            <w:vAlign w:val="bottom"/>
            <w:shd w:val="clear" w:color="auto" w:fill="CFF0FC"/>
          </w:tcPr>
          <w:p>
            <w:pPr>
              <w:spacing w:after="0"/>
              <w:rPr>
                <w:sz w:val="20"/>
                <w:szCs w:val="20"/>
                <w:color w:val="auto"/>
              </w:rPr>
            </w:pP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common stock outstanding for the period, without consideration for common stock equivalents. Diluted net loss per share is calculated by dividing the net loss by the weighted-average number of shares of common stock and dilutive common stock equivalents outstanding for the period determined using the treasury-stock method. Dilutive shares of common stock are comprised of stock options.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dividends were declared or paid during the reported periods.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Collaboration Revenue</w:t>
      </w:r>
    </w:p>
    <w:p>
      <w:pPr>
        <w:spacing w:after="0" w:line="121"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 xml:space="preserve">The Company has entered into license agreements and collaborative research and development arrangements with pharmaceutical and biotechnology companies. Under these arrangements, the Company is entitled to receive license fees, upfront payments, milestone payments if and when certain research and development milestones or technology transfer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w:t>
      </w:r>
    </w:p>
    <w:p>
      <w:pPr>
        <w:spacing w:after="0" w:line="58" w:lineRule="exact"/>
        <w:rPr>
          <w:sz w:val="20"/>
          <w:szCs w:val="20"/>
          <w:color w:val="auto"/>
        </w:rPr>
      </w:pPr>
    </w:p>
    <w:p>
      <w:pPr>
        <w:ind w:right="200" w:firstLine="510"/>
        <w:spacing w:after="0" w:line="342" w:lineRule="auto"/>
        <w:rPr>
          <w:sz w:val="20"/>
          <w:szCs w:val="20"/>
          <w:color w:val="auto"/>
        </w:rPr>
      </w:pPr>
      <w:r>
        <w:rPr>
          <w:rFonts w:ascii="Arial" w:cs="Arial" w:eastAsia="Arial" w:hAnsi="Arial"/>
          <w:sz w:val="16"/>
          <w:szCs w:val="16"/>
          <w:color w:val="auto"/>
        </w:rPr>
        <w:t>The following table presents changes during the three months ended March 31, 2021 in the balances of contract assets, including receivables from collaborative partners, and contract liabilities, including deferred revenue, as compared to what was disclosed in the Company’s Annual Report.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Contract Assets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2020</w:t>
            </w:r>
          </w:p>
        </w:tc>
        <w:tc>
          <w:tcPr>
            <w:tcW w:w="3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Additions for revenue recognized from billings</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Deductions for cash collections</w:t>
            </w:r>
          </w:p>
        </w:tc>
        <w:tc>
          <w:tcPr>
            <w:tcW w:w="3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BALANCE – March 31, 2021</w:t>
            </w:r>
          </w:p>
        </w:tc>
        <w:tc>
          <w:tcPr>
            <w:tcW w:w="3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8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Contract Liabilities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2020</w:t>
            </w:r>
          </w:p>
        </w:tc>
        <w:tc>
          <w:tcPr>
            <w:tcW w:w="3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30,620</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Additions for advanced billings</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6"/>
              </w:rPr>
              <w:t>Deductions for promised services provided in current period</w:t>
            </w:r>
          </w:p>
        </w:tc>
        <w:tc>
          <w:tcPr>
            <w:tcW w:w="3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(2,127)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BALANCE – March 31, 2021</w:t>
            </w:r>
          </w:p>
        </w:tc>
        <w:tc>
          <w:tcPr>
            <w:tcW w:w="3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29,249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100" w:type="dxa"/>
            <w:vAlign w:val="bottom"/>
            <w:vMerge w:val="restart"/>
          </w:tcPr>
          <w:p>
            <w:pPr>
              <w:jc w:val="right"/>
              <w:ind w:right="2650"/>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color w:val="auto"/>
        </w:rPr>
        <w:t>The following table summarizes the Company’s collaboration revenues for the periods indicated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Ended March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20"/>
                <w:szCs w:val="20"/>
                <w:color w:val="auto"/>
              </w:rPr>
            </w:pPr>
          </w:p>
        </w:tc>
        <w:tc>
          <w:tcPr>
            <w:tcW w:w="1300" w:type="dxa"/>
            <w:vAlign w:val="bottom"/>
          </w:tcPr>
          <w:p>
            <w:pPr>
              <w:jc w:val="right"/>
              <w:ind w:right="61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r>
      <w:tr>
        <w:trPr>
          <w:trHeight w:val="223"/>
        </w:trPr>
        <w:tc>
          <w:tcPr>
            <w:tcW w:w="6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Collaboration Partner – Janssen</w:t>
            </w:r>
          </w:p>
        </w:tc>
        <w:tc>
          <w:tcPr>
            <w:tcW w:w="1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2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7"/>
        </w:trPr>
        <w:tc>
          <w:tcPr>
            <w:tcW w:w="6200" w:type="dxa"/>
            <w:vAlign w:val="bottom"/>
            <w:gridSpan w:val="2"/>
          </w:tcPr>
          <w:p>
            <w:pPr>
              <w:spacing w:after="0"/>
              <w:rPr>
                <w:sz w:val="20"/>
                <w:szCs w:val="20"/>
                <w:color w:val="auto"/>
              </w:rPr>
            </w:pPr>
            <w:r>
              <w:rPr>
                <w:rFonts w:ascii="Arial" w:cs="Arial" w:eastAsia="Arial" w:hAnsi="Arial"/>
                <w:sz w:val="18"/>
                <w:szCs w:val="18"/>
                <w:color w:val="auto"/>
              </w:rPr>
              <w:t>Collaboration Partner – Ultragenyx</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925</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20"/>
                <w:szCs w:val="20"/>
                <w:color w:val="auto"/>
              </w:rPr>
            </w:pPr>
          </w:p>
        </w:tc>
      </w:tr>
      <w:tr>
        <w:trPr>
          <w:trHeight w:val="249"/>
        </w:trPr>
        <w:tc>
          <w:tcPr>
            <w:tcW w:w="6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Collaboration Partner – CureVac</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FF0FC"/>
          </w:tcPr>
          <w:p>
            <w:pPr>
              <w:spacing w:after="0"/>
              <w:rPr>
                <w:sz w:val="21"/>
                <w:szCs w:val="21"/>
                <w:color w:val="auto"/>
              </w:rPr>
            </w:pPr>
          </w:p>
        </w:tc>
      </w:tr>
      <w:tr>
        <w:trPr>
          <w:trHeight w:val="237"/>
        </w:trPr>
        <w:tc>
          <w:tcPr>
            <w:tcW w:w="6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Collaboration Partner – Takeda and other</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Borders>
              <w:bottom w:val="single" w:sz="8" w:color="CFF0FC"/>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FF0FC"/>
            </w:tcBorders>
          </w:tcPr>
          <w:p>
            <w:pPr>
              <w:spacing w:after="0"/>
              <w:rPr>
                <w:sz w:val="20"/>
                <w:szCs w:val="20"/>
                <w:color w:val="auto"/>
              </w:rPr>
            </w:pPr>
          </w:p>
        </w:tc>
      </w:tr>
      <w:tr>
        <w:trPr>
          <w:trHeight w:val="229"/>
        </w:trPr>
        <w:tc>
          <w:tcPr>
            <w:tcW w:w="62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collaboration revenue</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2,127</w:t>
            </w:r>
          </w:p>
        </w:tc>
        <w:tc>
          <w:tcPr>
            <w:tcW w:w="2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paragraphs provide information regarding the nature and purpose of the Company’s most significant collaboration arrangements.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Janssen</w:t>
      </w:r>
    </w:p>
    <w:p>
      <w:pPr>
        <w:spacing w:after="0" w:line="117"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 xml:space="preserve">In October 2017, the Company entered into a research collaboration and license agreement with Janssen (the “2017 Agreement”) to collaborate on developing candidates for treating HBV with RNA therapeutics. The 2017 Agreement allocated discovery, development, funding obligations, and ownership of related intellectual property among the Company and Janssen Pharmaceuticals, Inc. (“Janssen”). The Company received an upfront payment of $7.7 million and may receive preclinical, development and sales milestone payments of up to $56.5 million, as well as royalty payments on any future licensed product sales. The next potential milestone to be achieved relates to demonstrating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efficacy and safety. Janssen began reimbursing the Company for research costs during the first quarter of 2019 upon the completion of the first of three research periods. Janssen will pay royalties as a low to mid-single digit percentage of net sales of licensed products, subject to reduction on a country-by-country and licensed-product-by-licensed-product basis and subject to certain events, such as expiration of program patents. In addition, the 2017 Agreement includes an exclusivity period.</w:t>
      </w:r>
    </w:p>
    <w:p>
      <w:pPr>
        <w:spacing w:after="0" w:line="5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evaluating the 2017 Agreement in accordance with Accounting Standards Codification (“ASC”) Topic 606, the Company concluded that the contract counterparty, Janssen, is a customer. The Company identified the following promised goods/services as of the inception of the 2017 Agreement: (i) research services, (ii) license to use Arcturus technology and (iii) participation in a joint research committee. The Company concluded that the promised goods/services are incapable of being distinct and consequently do not have any value on a standalone basis. Accordingly, they are determined to represent a single performance obligation. The Company concluded that Janssen’s options to select additional collaboration targets and to license rights to selected targets are not priced at a discount and therefore do not represent performance obligations for which the transaction price would be allocated.</w:t>
      </w:r>
    </w:p>
    <w:p>
      <w:pPr>
        <w:spacing w:after="0" w:line="83"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As of March 31, 2021, the remaining transaction price consisting of upfront consideration received and budgeted reimbursable out-of-pocket costs, is expected to be recognized using an input method over the remaining research period of 18 months. None of the development and commercialization milestones were included in the transaction price as they are outside the control of the Company and contingent upon success in future clinical trials and the collaborator’s efforts. Any consideration related to sales-based royalties will be recognized when the related sales occur, provided that the reported sales are reliably measurable, and the Company has no remaining promised goods/services, as such sales were determined to relate predominantly to the license granted to Janssen and therefore have also been excluded from the transaction price.</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deferred revenue as of each of March 31, 2021 and December 31, 2020 for Janssen was $5.9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Ultragenyx</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In October 2015 the Company entered into a research collaboration and license agreement with Ultragenyx (the “Ultragenyx Agreement”), whereby Arcturus granted to Ultragenyx a co-exclusive license to certain Arcturus technology, which is in effect only during the reserve target exclusivity term as discussed in the following paragraphs. This collaboration agreement was amended in 2017, 2018 and during the second quarter of 2019. During the initial phase of the collaboration, the Company will design and optimize therapeutics for certain rare disease targets. Ultragenyx has the option under the Ultragenyx Agreement to add additional rare disease targets during the collaborative development period. Additionally, during the collaborative development period, the Company will participate with Ultragenyx in a joint steering committee. The Ultragenyx Agreement also includes an initial exclusivity period with an option to extend such period.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right="100" w:firstLine="510"/>
        <w:spacing w:after="0" w:line="254" w:lineRule="auto"/>
        <w:rPr>
          <w:sz w:val="20"/>
          <w:szCs w:val="20"/>
          <w:color w:val="auto"/>
        </w:rPr>
      </w:pPr>
      <w:r>
        <w:rPr>
          <w:rFonts w:ascii="Arial" w:cs="Arial" w:eastAsia="Arial" w:hAnsi="Arial"/>
          <w:sz w:val="18"/>
          <w:szCs w:val="18"/>
          <w:color w:val="auto"/>
        </w:rPr>
        <w:t>As part of the Ultragenyx Agreement and related amendments, Ultragenyx has paid $27.9 million in upfront fees, exclusivity extension fees and additional consideration. Ultragenyx also reimburses the Company for all internal and external development costs incurred. Pursuant to the Ultragenyx Agreement, Ultragenyx is required to make additional payments upon exercise of the Ultragenyx expansion option or exclusivity extension (if any) and if Ultragenyx achieves certain, clinical, regulatory and sales milestones, then the Company is eligible to receive royalty payments. For each development target for which Ultragenyx exercises its option, Ultragenyx will pay the Company a one-time option exercise fee that increases based upon the number of development targets selected by Ultragenyx and ranges from $0.5 million to $1.5 million. During the fourth quarter of 2020, Ultragenyx exercised its option to move forward with Preclinical Candidate Designation for its development target, Glycogen Storage Disease III, and paid an option fee to the Company of $0.5 million.</w:t>
      </w:r>
    </w:p>
    <w:p>
      <w:pPr>
        <w:spacing w:after="0" w:line="84" w:lineRule="exact"/>
        <w:rPr>
          <w:sz w:val="20"/>
          <w:szCs w:val="20"/>
          <w:color w:val="auto"/>
        </w:rPr>
      </w:pPr>
    </w:p>
    <w:p>
      <w:pPr>
        <w:ind w:right="240" w:firstLine="510"/>
        <w:spacing w:after="0" w:line="286" w:lineRule="auto"/>
        <w:rPr>
          <w:sz w:val="20"/>
          <w:szCs w:val="20"/>
          <w:color w:val="auto"/>
        </w:rPr>
      </w:pPr>
      <w:r>
        <w:rPr>
          <w:rFonts w:ascii="Arial" w:cs="Arial" w:eastAsia="Arial" w:hAnsi="Arial"/>
          <w:sz w:val="17"/>
          <w:szCs w:val="17"/>
          <w:color w:val="auto"/>
        </w:rPr>
        <w:t>The current potential development, regulatory and commercial milestone payments for the existing development targets as of March 31, 2021 are $138.0 million. Ultragenyx will pay royalties as a single-digit percentage of net sales on a product-by-product and country-by-country basis during the applicable royalty term. As of March 31, 2021, Ultragenyx has not yet reached the clinical phase of the contract.</w:t>
      </w:r>
    </w:p>
    <w:p>
      <w:pPr>
        <w:spacing w:after="0" w:line="5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On June 18, 2019, Arcturus and Ultragenyx amended the collaboration agreement for a third time (“Amendment 3”). As part of Amendment 3, the total number of targets was increased from 10 to 12, and reserve targets will be exclusively reserved for Ultragenyx with no fees for four years after execution of the amendment. An equity component was also added as part of Amendment 3 wherein Ultragenyx purchased 2.4 million shares of common stock at a premium price. Along with the equity purchase, Ultragenyx received an option to purchase 0.6 million additional shares of common stock at $16.0 per share. In May 2020, the option was exercised.</w:t>
      </w:r>
    </w:p>
    <w:p>
      <w:pPr>
        <w:spacing w:after="0" w:line="80"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consideration received from Ultragenyx as a result of Amendment 3 was equal to $30.0 million and was comprised of a $24.0 million common stock purchase and a $6.0 million upfront payment. Specifically for Amendment 3, management determined the transaction price to be $14.4 million. See further discussion below regarding determining the transaction price. Management determined the fair value of the premium received by using the opening stock price subsequent to execution of Amendment 3 and applying a lack of marketability discount, as the shares received by Ultragenyx were initially restricted for up to two years. These restrictions have since expired.</w:t>
      </w:r>
    </w:p>
    <w:p>
      <w:pPr>
        <w:spacing w:after="0" w:line="80"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evaluating the Ultragenyx Agreement in accordance with ASC Topic 606, the Company concluded that the contract counterparty, Ultragenyx, is a customer. The Company has identified the following promised goods/services as part of the initial agreement and subsequent amendments: (i) research services, (ii) license to use Arcturus technology, (iii) exclusivity and (iv) participation in a joint steering committee. The Company concluded that the promised goods/services are incapable of being distinct and consequently do not have any value on a standalone basis. Accordingly, they are determined to represent a single performance obligation. The Company concluded that Ultragenyx’s options to extend exclusivity and select additional collaboration targets and to license rights to selected targets are not priced at a discount and therefore do not represent performance obligations for which the transaction price would be allocated.</w:t>
      </w:r>
    </w:p>
    <w:p>
      <w:pPr>
        <w:spacing w:after="0" w:line="8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As of March 31, 2021, the transaction price included the upfront consideration received, option payments, exclusivity extension payments and additional consideration received pursuant to Amendment 3.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the consideration is outside the control of the Company and contingent upon success in future clinical trials, approval from the FDA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Ultragenyx and therefore have also been excluded from the transaction price.</w:t>
      </w:r>
    </w:p>
    <w:p>
      <w:pPr>
        <w:spacing w:after="0" w:line="70"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Amendment 3 was deemed a contract modification and accounted for as part of the original Ultragenyx Agreement and the Company recorded a cumulative catch-up adjustment of $1.1 million on the modification date. The transaction price is recognized to revenue on a straight-line basis using an input method over the 4-year reserve target exclusivity period. The reserve target exclusivity period represents the timing over which promised goods/services will be provided. Total deferred revenue at March 31, 2021 and December 31, 2020 from Ultragenyx was $8.3 million and $9.2 million,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CureVac</w:t>
      </w:r>
    </w:p>
    <w:p>
      <w:pPr>
        <w:spacing w:after="0" w:line="117"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In January 2018, the Company entered into a Development and Option Agreement (the “Development and Option Agreement”) with CureVac AG (“CureVac”). Under the terms of the Development and Option Agreement, the parties agreed to conduct joint preclinical development programs once CureVac makes a payment to pull down a target on the basis of which CureVac is granted options for taking a license on pre-agreed license terms to develop and commercialize certain products incorporating the Company’s patents and know-how related to LUNAR delivery technology (the “Arcturus Delivery Technology”), and CureVac patents and know-how related to mRNA technology. Subject to certain restrictions, the parties will have an undivided one-half interest in the patents and know-how developed jointly by the parties during the course of the Development and Option Agreement. Pursuant to the terms of the Development and Option Agreement, CureVac will have a number of target options to co-develop from a reserved target list to enter into licenses under the Arcturus Delivery Technology with respect to the development, manufacture and commercialization of licensed products (which can include products identified for development by the Company, unless the Company is permitted by the terms of the Development and Option Agreement to place such products on a restricted list). A separate notice and fee will be required for each license agreement. If the target to which the license agreement relates is chosen by the parties for co-development under the Co-Development Agreement (as defined below and discussed in the following paragraph) the license agreement will terminate, as such programs will be covered under the Co-Development Agreement discussed below, and therefore CureVac will be given a credit for any exercise fees, milestone payments already paid and all other payments made in relation to the license agreement towards future such payments incurred with respect to future licenses under the Arcturus Delivery Technology.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 w:name="page13"/>
    <w:bookmarkEnd w:id="12"/>
    <w:p>
      <w:pPr>
        <w:ind w:firstLine="510"/>
        <w:spacing w:after="0" w:line="253" w:lineRule="auto"/>
        <w:rPr>
          <w:sz w:val="20"/>
          <w:szCs w:val="20"/>
          <w:color w:val="auto"/>
        </w:rPr>
      </w:pPr>
      <w:r>
        <w:rPr>
          <w:rFonts w:ascii="Arial" w:cs="Arial" w:eastAsia="Arial" w:hAnsi="Arial"/>
          <w:sz w:val="18"/>
          <w:szCs w:val="18"/>
          <w:color w:val="auto"/>
        </w:rPr>
        <w:t>Prior to expiration of the initial term of eight years (which was subsequently amended, as discussed below), the Development and Option Agreement also includes an option to extend the term on an annual basis for up to three years, subject to payment by CureVac to Arcturus of a non-refundable annual extension fee. The Development and Option Agreement includes potential milestone payments from CureVac to the Company for selected targets. The current potential milestone payments for the remaining targets as of March 31, 2021 are $14.0 million for rare disease targets and $23.0 million for non-rare disease targets. CureVac will pay royalties as a percentage of net sales on a product-by-product and country-by-country basis during the applicable royalty term in the low single-digit range. As of March 31, 2021, CureVac has not yet reached the clinical phase of the contract. Pursuant to a May 2018 amendment to the Development and Option Agreement (and as amended and restated on September 28, 2018), the Company increased the number of targets available to CureVac under the Development and Option Agreement and agreed upon the license forms to be executed upon selection of the targets by CureVac.</w:t>
      </w:r>
    </w:p>
    <w:p>
      <w:pPr>
        <w:spacing w:after="0" w:line="88"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Concurrently with the Development and Option Agreement, the Company entered into a Co-Development and Co-Commercialization Agreement (the “Co-Development Agreement”) which the Company considered a combined contract with the Development and Option Agreement for purposes of revenue recognition. However, on February 11, 2019, the Company announced the termination of the obligations of CureVac for the preclinical development of ARCT-810, effective as of August 4, 2019, and the re-assumption by the Company of the worldwide rights thereto. As a result, Arcturus reassumed 100% global rights for clinical development candidate ARCT-810, a mRNA drug to treat OTC deficiency.</w:t>
      </w:r>
    </w:p>
    <w:p>
      <w:pPr>
        <w:spacing w:after="0" w:line="6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On July 26, 2019, the Company entered into an amendment (“CureVac Amendment”) to its Development and Option Agreement with CureVac (as amended, the “Development and Option Agreement”), pursuant to which the Company and CureVac agreed to shorten the time period during which CureVac may select potential targets to be licensed from the Company from eight years to four years, and to reduce the overall number of maximum targets that may be reserved and licensed.</w:t>
      </w:r>
    </w:p>
    <w:p>
      <w:pPr>
        <w:spacing w:after="0" w:line="79" w:lineRule="exact"/>
        <w:rPr>
          <w:sz w:val="20"/>
          <w:szCs w:val="20"/>
          <w:color w:val="auto"/>
        </w:rPr>
      </w:pPr>
    </w:p>
    <w:p>
      <w:pPr>
        <w:jc w:val="both"/>
        <w:ind w:right="240" w:firstLine="510"/>
        <w:spacing w:after="0" w:line="286" w:lineRule="auto"/>
        <w:rPr>
          <w:sz w:val="20"/>
          <w:szCs w:val="20"/>
          <w:color w:val="auto"/>
        </w:rPr>
      </w:pPr>
      <w:r>
        <w:rPr>
          <w:rFonts w:ascii="Arial" w:cs="Arial" w:eastAsia="Arial" w:hAnsi="Arial"/>
          <w:sz w:val="17"/>
          <w:szCs w:val="17"/>
          <w:color w:val="auto"/>
        </w:rPr>
        <w:t>In connection with the July 2019 CureVac Amendment, the Company and CureVac also entered into a Termination Agreement (the “Termination Agreement”) terminating the January 1, 2018 Co-Development Agreement between the Company and CureVac. Pursuant to the Termination Agreement, CureVac agreed to make a one-time payment to Arcturus in the amount of $4.0 million, which was made in July 2019.</w:t>
      </w:r>
    </w:p>
    <w:p>
      <w:pPr>
        <w:spacing w:after="0" w:line="5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In evaluating the CureVac Development and Option Agreement and Co-Development Agreement in accordance with ASC Topic 606, the Company concluded that the contract counterparty, CureVac, is a customer. The Company has identified the following promised goods/services as part of the initial agreement with CureVac and subsequent amendments: (i) research services, (ii) license to use Arcturus technology, (iii) exclusivity and (iv) participation in a joint steering committee. The Company concluded that the promised goods/services are incapable of being distinct and consequently do not have any value on a standalone basis. Accordingly, they are determined to represent a single performance obligation. The Company concluded that CureVac’s options to extend the research term and options to select additional collaboration targets and to license rights to selected targets are not priced at a discount and therefore do not represent performance obligations for which the transaction price would be allocated.</w:t>
      </w:r>
    </w:p>
    <w:p>
      <w:pPr>
        <w:spacing w:after="0" w:line="58" w:lineRule="exact"/>
        <w:rPr>
          <w:sz w:val="20"/>
          <w:szCs w:val="20"/>
          <w:color w:val="auto"/>
        </w:rPr>
      </w:pPr>
    </w:p>
    <w:p>
      <w:pPr>
        <w:ind w:right="180" w:firstLine="510"/>
        <w:spacing w:after="0" w:line="271" w:lineRule="auto"/>
        <w:rPr>
          <w:sz w:val="20"/>
          <w:szCs w:val="20"/>
          <w:color w:val="auto"/>
        </w:rPr>
      </w:pPr>
      <w:r>
        <w:rPr>
          <w:rFonts w:ascii="Arial" w:cs="Arial" w:eastAsia="Arial" w:hAnsi="Arial"/>
          <w:sz w:val="17"/>
          <w:szCs w:val="17"/>
          <w:color w:val="auto"/>
        </w:rPr>
        <w:t>As of March 31, 2021, the transaction price included the upfront consideration received.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CureVac and therefore have also been excluded from the transaction price. For the three months ended March 31, 2021, no adjustments were made to the transaction price.</w:t>
      </w:r>
    </w:p>
    <w:p>
      <w:pPr>
        <w:spacing w:after="0" w:line="70"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The upfront consideration of $5.0 million was recorded as deferred revenue in the Company’s balance sheet upon receipt and is currently being recognized as revenue on a straight-line basis using an input method over the remaining 28 month contractual term as of March 31, 2021. As a result of Amendment 3, the Company recorded a cumulative catch up adjustment of $0.4 million on the modification date, July 26, 2019. Total deferred revenue as of March 31, 2021 and December 31, 2020 for CureVac was $2.1 million and $2.3 million,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Collaboration Revenue</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remaining revenue from smaller collaboration agreements and material transaction agreements primarily relates to the agreement with Millennium Pharmaceuticals, Inc., a wholly owned subsidiary of Takeda Pharmaceutical Company Limited (“Takeda”). Total deferred revenue as of March 31, 2021 and December 31, 2020 for Takeda was $0.3 million and $0.4 million, respectively. The current agreement was entered into on March 18, 2019 and is expected to be completed during fiscal year 2021.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Israeli Ministry of Health</w:t>
      </w:r>
    </w:p>
    <w:p>
      <w:pPr>
        <w:spacing w:after="0" w:line="11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On August 17, 2020, the Company entered into an agreement with the Israeli Ministry of Health (“MOH”) to supply the Company’s COVID-19 vaccine candidate to Israel (the “Israel Supply Agreement”) subject to certain conditions, including applicable regulatory approvals. In October 2020, and in association with the Israel Supply Agreement, the Company received a non-refundable payment of $12.5 million from the MOH which is included in deferred revenue as of March 31, 2021. This payment of $12.5 million is associated with a specified clinical trial milestone and serves as an initial reserve payment for a specified number of doses of the LUNAR-COV19 vaccine candidate pursuant to the Israel Supply Agreement. As a result of the making of this payment, the MOH became bound to purchase an initial quantity of 500,000 reserved vaccine doses, as set forth in and subject to the terms and conditions of the Israel Supply Agreement.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establishes a fair value hierarchy based on the inputs used to measure fair value.</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62" w:lineRule="exact"/>
        <w:rPr>
          <w:sz w:val="20"/>
          <w:szCs w:val="20"/>
          <w:color w:val="auto"/>
        </w:rPr>
      </w:pPr>
    </w:p>
    <w:p>
      <w:pPr>
        <w:ind w:right="80" w:firstLine="510"/>
        <w:spacing w:after="0" w:line="271" w:lineRule="auto"/>
        <w:rPr>
          <w:sz w:val="20"/>
          <w:szCs w:val="20"/>
          <w:color w:val="auto"/>
        </w:rPr>
      </w:pPr>
      <w:r>
        <w:rPr>
          <w:rFonts w:ascii="Arial" w:cs="Arial" w:eastAsia="Arial" w:hAnsi="Arial"/>
          <w:sz w:val="18"/>
          <w:szCs w:val="18"/>
          <w:color w:val="auto"/>
        </w:rPr>
        <w:t>The carrying value of cash, restricted cash, accounts receivable, accounts payable, and accrued liabilities approximate their respective fair values due to their relative short maturities. The carrying amounts of long-term debt for the amount drawn on the Company’s debt facility approximates fair value as the interest rate is variable and reflects current market rates.</w:t>
      </w:r>
    </w:p>
    <w:p>
      <w:pPr>
        <w:spacing w:after="0" w:line="68"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As of March 31, 2021 and December 31, 2020, all assets measured at fair value on a recurring basis consisted of cash equivalents and money market funds, which were classified within Level 1 of the fair value hierarchy. The fair value of these financial instruments was measured based on quoted prices.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Details</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balances as of March 31, 2021 and December 31, 2020 consisted of the following:</w:t>
      </w:r>
    </w:p>
    <w:p>
      <w:pPr>
        <w:spacing w:after="0" w:line="21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March 31, 2021</w:t>
            </w:r>
          </w:p>
        </w:tc>
        <w:tc>
          <w:tcPr>
            <w:tcW w:w="14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December 31, 2020</w:t>
            </w: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equipment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5,895</w:t>
            </w:r>
          </w:p>
        </w:tc>
        <w:tc>
          <w:tcPr>
            <w:tcW w:w="2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Computers and software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and furniture</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FF0FC"/>
          </w:tcPr>
          <w:p>
            <w:pPr>
              <w:spacing w:after="0"/>
              <w:rPr>
                <w:sz w:val="19"/>
                <w:szCs w:val="19"/>
                <w:color w:val="auto"/>
              </w:rPr>
            </w:pPr>
          </w:p>
        </w:tc>
      </w:tr>
      <w:tr>
        <w:trPr>
          <w:trHeight w:val="230"/>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FF0FC"/>
            </w:tcBorders>
          </w:tcPr>
          <w:p>
            <w:pPr>
              <w:spacing w:after="0"/>
              <w:rPr>
                <w:sz w:val="19"/>
                <w:szCs w:val="19"/>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6,797</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6,441</w:t>
            </w:r>
          </w:p>
        </w:tc>
        <w:tc>
          <w:tcPr>
            <w:tcW w:w="8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(3,370)</w:t>
            </w:r>
          </w:p>
        </w:tc>
        <w:tc>
          <w:tcPr>
            <w:tcW w:w="4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(3,063)</w:t>
            </w:r>
          </w:p>
        </w:tc>
      </w:tr>
      <w:tr>
        <w:trPr>
          <w:trHeight w:val="223"/>
        </w:trPr>
        <w:tc>
          <w:tcPr>
            <w:tcW w:w="4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and amortization expense was $0.3 million and $0.2 million for the three months ended March 31, 2021 and 2020, respectively.</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as of March 31, 2021 and December 31,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gridSpan w:val="2"/>
          </w:tcPr>
          <w:p>
            <w:pPr>
              <w:ind w:left="170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2020</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3,834</w:t>
            </w: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2,097</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Cystic Fibrosis Foundation Liability (Note 9)</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5,913</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6,585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w w:val="95"/>
              </w:rPr>
              <w:t>Singapore Economic Development Board liability</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Current portion of operating lease liability</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1,443</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long-term debt</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Clinical accruals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7,217</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w w:val="89"/>
              </w:rPr>
              <w:t>Other accrued research and development expenses</w:t>
            </w:r>
          </w:p>
        </w:tc>
        <w:tc>
          <w:tcPr>
            <w:tcW w:w="1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8,268</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ind w:left="170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29,800</w:t>
            </w:r>
          </w:p>
        </w:tc>
        <w:tc>
          <w:tcPr>
            <w:tcW w:w="180" w:type="dxa"/>
            <w:vAlign w:val="bottom"/>
          </w:tcPr>
          <w:p>
            <w:pPr>
              <w:spacing w:after="0"/>
              <w:rPr>
                <w:sz w:val="19"/>
                <w:szCs w:val="19"/>
                <w:color w:val="auto"/>
              </w:rPr>
            </w:pPr>
          </w:p>
        </w:tc>
        <w:tc>
          <w:tcPr>
            <w:tcW w:w="4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0" w:type="dxa"/>
            <w:vAlign w:val="bottom"/>
            <w:vMerge w:val="restart"/>
          </w:tcPr>
          <w:p>
            <w:pPr>
              <w:jc w:val="right"/>
              <w:ind w:right="83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Manufacturing Supply Agreement</w:t>
      </w:r>
    </w:p>
    <w:p>
      <w:pPr>
        <w:spacing w:after="0" w:line="2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On November 7, 2020, the Company’s wholly-owned subsidiary, Arcturus Therapeutics, Inc., entered into a Manufacturing Support Agreement (the “Support Agreement”) with the Economic Development Board of the Republic of Singapore (the “EDB”). Pursuant to the Support Agreement, the EDB agreed to make a term loan of S$62.1 million to the Company, subject to the satisfaction of customary deliveries, to support the manufacture of the LUNAR-COV19 vaccine candidate (the “Singapore Loan”). The Singapore Loan and the related side letter includes certain loan covenants requiring (i) unused funds as of June 30, 2021 to be subsequently returned within thirty days, subject to the agreed upon extension of the reconciliation date, (ii) the Company to provide a quarterly reconciliation report within forty-five days of each financial quarter end, (iii) an external audit to be completed by September 26, 2021, (iv) the Company to deliver 10 grams of LUNAR-COV19 vaccine candidate suitable for use in a phase 3 trial in two shipments with a partial shipment by June 30, 2021 and a remaining shipment by September 30, 2021, (v) the Company to provide EDB with a right of first refusal on GMP manufacturing slots of the LUNAR-COV19 vaccine candidate up to an agreed-upon maximum amount, (vi) and the obligation to repay the Singapore Loan will be secured by an interest in the raw materials and manufacturing equipment purchased by the Company with the funds from the Singapore Loan in form and substance satisfactory to the EDB in its sole discretion. The Company elected to borrow the full amount available under the Support Agreement of S$62.1 million on January 29, 2021.</w:t>
      </w:r>
    </w:p>
    <w:p>
      <w:pPr>
        <w:spacing w:after="0" w:line="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Singapore Loan accrues interest at a rate of 4.5% per anum calculated on a daily basis. Subject to certain exceptions, the Singapore Loan is intended to be a limited recourse loan that will be repaid solely through a royalty payment of 10% of net sales proceeds of the LUNAR-COV19 vaccine candidate, up to the amount of the outstanding principal and interest under the Singapore Loan. However, all unpaid principal and interest under the Singapore Loan will be due and payable five years after draw date, if net sales of the LUNAR-COV19 vaccine exceed a certain minimum threshold during this five year period or the Company obtains clearance to sell the vaccine in specified jurisdictions. Unpaid principal and interest under the Singapore Loan will also become due and payable upon an event of default under the Support Agreement. The first vaccine sales, including the amount of net sales, shall be reported to EDB within 10 days of delivery and quarterly reports of aggregate vaccine sales, including net sales proceeds shall be provided within 30 days after quarter end.</w:t>
      </w:r>
    </w:p>
    <w:p>
      <w:pPr>
        <w:spacing w:after="0" w:line="8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Singapore Loan is forgivable if the Company has not obtained regulatory approval by the final repayment date and net sales of LUNAR-COV19 are less than $100 million. If, any portion of the Singapore Loan is required to be forgiven pursuant to the terms of the Support Agreement, the EDB has the right to take ownership of certain raw materials and equipment that were purchased by the Company with proceeds of the Singapore Loan (the “Specified Assets”). The Company entered into a security agreement (the “Security Agreement”) for the benefit of the EDB to provide that repayment of the Singapore Loan and related obligations are secured by a lien on the Specified Assets.</w:t>
      </w:r>
    </w:p>
    <w:p>
      <w:pPr>
        <w:spacing w:after="0" w:line="68"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In connection with the entry into the Support Agreement, the Company entered into a consent agreement with Western Alliance Bank (the “Bank”) and an amendment to the Loan and Security Agreement, dated as of October 12, 2018, between Western Alliance Bank and the Company (the “Loan”), to exclude the Specified Assets from Western Alliance Bank’s lien on certain assets of the Company.</w:t>
      </w:r>
    </w:p>
    <w:p>
      <w:pPr>
        <w:spacing w:after="0" w:line="76"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The Singapore Loan was initially recorded as long-term debt at $46.6 million, the amount of cash proceeds at the time the Company received the funding. As of March 31, 2021, the debt balance was adjusted to reflect the current exchange rate resulting in a decreased debt balance of $46.2 million and a foreign currency transaction gain of $0.4 million. For the three months ended March 31, 2021, the Company recorded interest expense and a corresponding liability of $0.4 million. As of March 31, 2021, the Company was in compliance with all covenants under the Singapore Loan.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with Western Alliance Bank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October 12, 2018, Arcturus Therapeutics, Inc. entered into the Loan with the Bank, whereby it received $10.0 million.</w:t>
      </w:r>
    </w:p>
    <w:p>
      <w:pPr>
        <w:spacing w:after="0" w:line="117"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The Loan is collateralized by all of the assets of Arcturus Therapeutics, Inc., excluding intellectual property, which is subject to a negative pledge. The Loan contains customary conditions of borrowing, events of default and covenants, including covenants that restrict Arcturus Therapeutics, Inc.’s ability to dispose of assets, merge with or acquire other entities, incur indebtedness and make distributions to holders of its capital stock. In addition, Arcturus Therapeutics, Inc. is required to maintain at least 100% of its consolidated, unrestricted cash, or $15.0 million, whichever is lower, with the Bank.</w:t>
      </w:r>
    </w:p>
    <w:p>
      <w:pPr>
        <w:spacing w:after="0" w:line="49" w:lineRule="exact"/>
        <w:rPr>
          <w:sz w:val="20"/>
          <w:szCs w:val="20"/>
          <w:color w:val="auto"/>
        </w:rPr>
      </w:pPr>
    </w:p>
    <w:p>
      <w:pPr>
        <w:ind w:right="720" w:firstLine="510"/>
        <w:spacing w:after="0" w:line="277" w:lineRule="auto"/>
        <w:rPr>
          <w:sz w:val="20"/>
          <w:szCs w:val="20"/>
          <w:color w:val="auto"/>
        </w:rPr>
      </w:pPr>
      <w:r>
        <w:rPr>
          <w:rFonts w:ascii="Arial" w:cs="Arial" w:eastAsia="Arial" w:hAnsi="Arial"/>
          <w:sz w:val="18"/>
          <w:szCs w:val="18"/>
          <w:color w:val="auto"/>
        </w:rPr>
        <w:t>On October 30, 2019, Arcturus Therapeutics, Inc. and the Bank entered into a Third Amendment (the “Third Amendment”) to the Loan (as amended, the “Loan Agreement”).</w:t>
      </w:r>
    </w:p>
    <w:p>
      <w:pPr>
        <w:spacing w:after="0" w:line="6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Pursuant to the amendment, the Bank agreed to make a term loan to Arcturus Therapeutics, Inc. on October 30, 2019, in the amount of $15.0 million (the “Term Loan”). The resulting net increase in the indebtedness of Arcturus Therapeutics, Inc. was $5.0 million. The Term Loan bears interest at a floating rate ranging from 1.25% to 2.75% above the prime rate. The amendment further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ind w:right="580"/>
        <w:spacing w:after="0" w:line="277" w:lineRule="auto"/>
        <w:rPr>
          <w:sz w:val="20"/>
          <w:szCs w:val="20"/>
          <w:color w:val="auto"/>
        </w:rPr>
      </w:pPr>
      <w:r>
        <w:rPr>
          <w:rFonts w:ascii="Arial" w:cs="Arial" w:eastAsia="Arial" w:hAnsi="Arial"/>
          <w:sz w:val="18"/>
          <w:szCs w:val="18"/>
          <w:color w:val="auto"/>
        </w:rPr>
        <w:t>provides that the Term Loan has a maturity date of October 30, 2023. Arcturus Therapeutics, Inc. will make monthly payments of interest only until October 1, 2021.</w:t>
      </w:r>
    </w:p>
    <w:p>
      <w:pPr>
        <w:spacing w:after="0" w:line="62"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Arcturus Therapeutics, Inc. paid a loan origination fee of $54,000 which was recorded as a debt discount along with the remaining loan origination fee from the Loan and is being accreted over the term of the Term Loan. In addition, Arcturus Therapeutics, Inc. is required to pay a fee of $525,000 upon certain change of control events.</w:t>
      </w:r>
    </w:p>
    <w:p>
      <w:pPr>
        <w:spacing w:after="0" w:line="76"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The Term Loan may be prepaid in full at any time, subject to a prepayment fee ranging from 0.50% to 2.00% of the prepaid principal amount depending upon the date of the prepayment.</w:t>
      </w:r>
    </w:p>
    <w:p>
      <w:pPr>
        <w:spacing w:after="0" w:line="6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Upon maturity or prepayment (as previously discussed), Arcturus Therapeutics, Inc. will be required to pay a 2% fee as a result of the FDA’s approval to proceed with the Company’s LUNAR-OTC program based on its IND submission. Such fee is accreted to the long-term debt balance using the effective interest method over the term of the Loan Agreement.</w:t>
      </w:r>
    </w:p>
    <w:p>
      <w:pPr>
        <w:spacing w:after="0" w:line="76"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Should an event of default occur, including the occurrence of a material adverse effect, the Company could be liable for immediate repayment of all obligations under the Loan Agreement. As of March 31, 2021, the Company was in compliance with all covenants under the Loan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Principal payments, including the final payment due at repayment, on the long-term debt are as follows as of March 31, 2020:</w:t>
      </w:r>
    </w:p>
    <w:p>
      <w:pPr>
        <w:spacing w:after="0" w:line="361"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7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2021</w:t>
            </w:r>
          </w:p>
        </w:tc>
        <w:tc>
          <w:tcPr>
            <w:tcW w:w="720" w:type="dxa"/>
            <w:vAlign w:val="bottom"/>
            <w:gridSpan w:val="2"/>
            <w:shd w:val="clear" w:color="auto" w:fill="CFF0FC"/>
          </w:tcPr>
          <w:p>
            <w:pPr>
              <w:jc w:val="right"/>
              <w:ind w:right="589"/>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1,250,000</w:t>
            </w:r>
          </w:p>
        </w:tc>
        <w:tc>
          <w:tcPr>
            <w:tcW w:w="120" w:type="dxa"/>
            <w:vAlign w:val="bottom"/>
            <w:shd w:val="clear" w:color="auto" w:fill="CFF0FC"/>
          </w:tcPr>
          <w:p>
            <w:pPr>
              <w:spacing w:after="0"/>
              <w:rPr>
                <w:sz w:val="19"/>
                <w:szCs w:val="19"/>
                <w:color w:val="auto"/>
              </w:rPr>
            </w:pPr>
          </w:p>
        </w:tc>
      </w:tr>
      <w:tr>
        <w:trPr>
          <w:trHeight w:val="229"/>
        </w:trPr>
        <w:tc>
          <w:tcPr>
            <w:tcW w:w="7820" w:type="dxa"/>
            <w:vAlign w:val="bottom"/>
          </w:tcPr>
          <w:p>
            <w:pPr>
              <w:ind w:left="12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7,500,000</w:t>
            </w:r>
          </w:p>
        </w:tc>
        <w:tc>
          <w:tcPr>
            <w:tcW w:w="120" w:type="dxa"/>
            <w:vAlign w:val="bottom"/>
          </w:tcPr>
          <w:p>
            <w:pPr>
              <w:spacing w:after="0"/>
              <w:rPr>
                <w:sz w:val="19"/>
                <w:szCs w:val="19"/>
                <w:color w:val="auto"/>
              </w:rPr>
            </w:pPr>
          </w:p>
        </w:tc>
      </w:tr>
      <w:tr>
        <w:trPr>
          <w:trHeight w:val="230"/>
        </w:trPr>
        <w:tc>
          <w:tcPr>
            <w:tcW w:w="7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6,550,000</w:t>
            </w:r>
          </w:p>
        </w:tc>
        <w:tc>
          <w:tcPr>
            <w:tcW w:w="120" w:type="dxa"/>
            <w:vAlign w:val="bottom"/>
            <w:shd w:val="clear" w:color="auto" w:fill="CFF0FC"/>
          </w:tcPr>
          <w:p>
            <w:pPr>
              <w:spacing w:after="0"/>
              <w:rPr>
                <w:sz w:val="19"/>
                <w:szCs w:val="19"/>
                <w:color w:val="auto"/>
              </w:rPr>
            </w:pPr>
          </w:p>
        </w:tc>
      </w:tr>
      <w:tr>
        <w:trPr>
          <w:trHeight w:val="223"/>
        </w:trPr>
        <w:tc>
          <w:tcPr>
            <w:tcW w:w="7820" w:type="dxa"/>
            <w:vAlign w:val="bottom"/>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8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15,300,000</w:t>
            </w:r>
          </w:p>
        </w:tc>
        <w:tc>
          <w:tcPr>
            <w:tcW w:w="12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recognized interest expense related to its long-term debt of $0.2 million and $0.3 million during the quarters ended March 31, 2021 and 2020, respectively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Alexion Pharmaceuticals License Agreement</w:t>
      </w:r>
    </w:p>
    <w:p>
      <w:pPr>
        <w:spacing w:after="0" w:line="121"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On February 17, 2021, the Company entered into an exclusive license agreement with Alexion Pharmaceuticals, Inc. (“</w:t>
      </w:r>
      <w:r>
        <w:rPr>
          <w:rFonts w:ascii="Arial" w:cs="Arial" w:eastAsia="Arial" w:hAnsi="Arial"/>
          <w:sz w:val="17"/>
          <w:szCs w:val="17"/>
          <w:u w:val="single" w:color="auto"/>
          <w:color w:val="auto"/>
        </w:rPr>
        <w:t>Alexion</w:t>
      </w:r>
      <w:r>
        <w:rPr>
          <w:rFonts w:ascii="Arial" w:cs="Arial" w:eastAsia="Arial" w:hAnsi="Arial"/>
          <w:sz w:val="17"/>
          <w:szCs w:val="17"/>
          <w:color w:val="auto"/>
        </w:rPr>
        <w:t>”) pursuant to which Alexion granted to the Company an exclusive, worldwide license to exploit certain specified Alexion patent applications. In accordance with the terms of the license agreement, and in exchange for the license, the Company issued 74,713 shares of its common stock to Alexion on February 19, 2021 valued at approximately $5.0 million. The number of shares issued under the agreement was calculated by dividing (i) five million dollars ($5.0 million) by (ii) the volume-weighted average price per share of the Company’s common stock on the Nasdaq Global Market for the thirty (30) trading days immediately preceding the Effective Date (rounded to the nearest whole share). The Company recorded the transaction as an asset purchase as management concluded that all of the value received was related to a single identifiable asset. Further, the Company concluded that there was no alternative future use for the asset and recorded a charge at the closing of the transaction for the full $5.0 million value assigned to the shares issued in connection with the license agreement. This non-cash charge was recorded as acquired in-process research and development expense in the statements of operations and comprehensive loss for the quarter ended March 31, 2021.</w:t>
      </w:r>
    </w:p>
    <w:p>
      <w:pPr>
        <w:spacing w:after="0" w:line="31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Dilutive securities that were not included in the calculation of diluted net loss per share for the three months ended March 31, 2021 and 2020 as they were anti-dilutive totaled 1,320,390 and 316,957, respectively.</w:t>
      </w:r>
    </w:p>
    <w:p>
      <w:pPr>
        <w:spacing w:after="0" w:line="62" w:lineRule="exact"/>
        <w:rPr>
          <w:sz w:val="20"/>
          <w:szCs w:val="20"/>
          <w:color w:val="auto"/>
        </w:rPr>
      </w:pPr>
    </w:p>
    <w:p>
      <w:pPr>
        <w:ind w:right="460" w:firstLine="510"/>
        <w:spacing w:after="0" w:line="308" w:lineRule="auto"/>
        <w:rPr>
          <w:sz w:val="20"/>
          <w:szCs w:val="20"/>
          <w:color w:val="auto"/>
        </w:rPr>
      </w:pPr>
      <w:r>
        <w:rPr>
          <w:rFonts w:ascii="Arial" w:cs="Arial" w:eastAsia="Arial" w:hAnsi="Arial"/>
          <w:sz w:val="17"/>
          <w:szCs w:val="17"/>
          <w:color w:val="auto"/>
        </w:rPr>
        <w:t>For the three months ended March 31, 2020, the calculation of the weighted-average number of shares outstanding excludes 622,667 unvested restricted shares of common stock. There were no unvested restricted shares for the three months ended March 31, 2021.</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7. Share-Based Compensation</w:t>
      </w:r>
    </w:p>
    <w:p>
      <w:pPr>
        <w:spacing w:after="0" w:line="121"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In June 2020, the stockholders of the Company approved an increase to the number of shares authorized for use in making awards under the 2019 Omnibus Equity Incentive Plan (the “2019 Plan”) by 2,400,000 shares to 5,000,000. Accordingly, as of March 31, 2021, a total of 968,095 shares remain available for future issuance under the 2019 Plan, subject to the terms of the 2019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In June 2020, the stockholders of the Company approved the 2020 Employee Stock Purchase Plan (“2020 Plan”) which provides for 600,000 shares of Company common stock reserved for future issuance. The first accumulation period under the 2020 Plan commenced on August 17, 2020.</w:t>
      </w:r>
    </w:p>
    <w:p>
      <w:pPr>
        <w:spacing w:after="0" w:line="16"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Under the 2020 Plan, eligible employees may purchase shares of the Company’s common stock at a discount annually, subject to a maximum of $25,000 per year. The discounted purchase price is equal to the lower of 85% of (i) the market value per share of the common stock on the first day of the accumulation period or (ii) the market value per share of common stock on the purchase date. Share-based compensation expense recognized under the ESPP was $0.1 million for the three months ended March 31, 2021.</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Share-based compensation expense included in the Company’s condensed consolidated statements of operations and comprehensive loss for the three months ended March 31, 2021 and 2020 were:</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Ended March 31,</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40" w:type="dxa"/>
            <w:vAlign w:val="bottom"/>
            <w:tcBorders>
              <w:bottom w:val="single" w:sz="8" w:color="CFF0FC"/>
            </w:tcBorders>
            <w:vMerge w:val="continue"/>
          </w:tcPr>
          <w:p>
            <w:pPr>
              <w:spacing w:after="0"/>
              <w:rPr>
                <w:sz w:val="13"/>
                <w:szCs w:val="13"/>
                <w:color w:val="auto"/>
              </w:rPr>
            </w:pPr>
          </w:p>
        </w:tc>
        <w:tc>
          <w:tcPr>
            <w:tcW w:w="24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3,246</w:t>
            </w:r>
          </w:p>
        </w:tc>
        <w:tc>
          <w:tcPr>
            <w:tcW w:w="4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3,741</w:t>
            </w:r>
          </w:p>
        </w:tc>
        <w:tc>
          <w:tcPr>
            <w:tcW w:w="4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6,987</w:t>
            </w:r>
          </w:p>
        </w:tc>
        <w:tc>
          <w:tcPr>
            <w:tcW w:w="4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2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21" w:lineRule="exact"/>
        <w:rPr>
          <w:sz w:val="20"/>
          <w:szCs w:val="20"/>
          <w:color w:val="auto"/>
        </w:rPr>
      </w:pPr>
    </w:p>
    <w:p>
      <w:pPr>
        <w:jc w:val="both"/>
        <w:ind w:right="180" w:firstLine="510"/>
        <w:spacing w:after="0" w:line="286" w:lineRule="auto"/>
        <w:rPr>
          <w:sz w:val="20"/>
          <w:szCs w:val="20"/>
          <w:color w:val="auto"/>
        </w:rPr>
      </w:pPr>
      <w:r>
        <w:rPr>
          <w:rFonts w:ascii="Arial" w:cs="Arial" w:eastAsia="Arial" w:hAnsi="Arial"/>
          <w:sz w:val="17"/>
          <w:szCs w:val="17"/>
          <w:color w:val="auto"/>
        </w:rPr>
        <w:t>The Company is subject to taxation in the United States and various states. The Company computes its quarterly income tax provision by using a forecasted annual effective tax rate and adjusts for any discrete items arising during the quarter. The primary difference between the effective tax rate and the federal statutory tax rate relates to the valuation allowances on the Company’s net operating losses.</w:t>
      </w:r>
    </w:p>
    <w:p>
      <w:pPr>
        <w:spacing w:after="0" w:line="5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For the three months ended March 31, 2021, the Company recorded no income tax expense. No tax benefit was provided for losses incurred in United States because those losses are offset by a full valuation allowance.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COVID-19 Vaccine Development</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On March 4, 2020, the Company was awarded a grant (“Grant 1”) from the Singapore EDB to support the co-development of a potential COVID-19 vaccine with the Duke-NUS Medical School. The Grant provides for up to S$14.0 million (approximately US$10.0 million using the exchange rate at the time the grant contract was entered into) in grants to support the development of the vaccine. The Company entered into an amendment to the Grant on September 24, 2020 to update certain delivery and milestone timelines. The Grant has been paid in full by the EDB as a result of the achievement of certain milestones related to the progress of the development of the vaccine, as set forth in the award agreement. The funds received have been recognized as contra research and development expense in proportion to the percentage covered by the EDB of the overall budget. The Company is liable for certain expenses during the program and is also subject to certain conditions including the completion of an external audit within 183 days of the conclusion of the claim period on February 20, 2021, or August 22, 2021, and delivery of 10 grams of LUNAR-COV19 vaccine candidate suitable for use in a phase 3 trial in two shipments with a partial shipment by June 30, 2021 and a remaining shipment by September 30, 2021. Additionally, the Company is required to pay an agreed upon royalty rate to Duke-NUS on future net sales of the LUNAR-COV19 vaccine candidate in markets or jurisdictions outside of Singapore. For the three months ended March 31, 2021 and 2020, the Company recognized $1.3 million and $0.5 million, respectively, of contra expense for Grant 1. At March 31, 2021, no amount remained in accrued expenses.</w:t>
      </w:r>
    </w:p>
    <w:p>
      <w:pPr>
        <w:spacing w:after="0" w:line="71"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On October 2, 2020, the Company was awarded another grant (“Grant 2”) from the Singapore EDB to support the further development of a potential COVID-19 vaccine. The grant provides for up to S$9.3 million (approximately US$6.7 million) to support the development of the vaccine candidate for costs incurred in Singapore subject to certain conditions including (i) completing an external audit within 183 days from March 31, 2021, or September 30, 2021, (ii) delivering 10 grams of LUNAR-COV19 vaccine candidate suitable for use in a phase 3 trial in two shipments with a partial shipment by June 30, 2021 and a remaining shipment by September 30, 2021 and (iii) creating an entity in Singapore which was completed during the fourth quarter of 2020. The grant will be paid in two installments upon the achievement of certain milestones related to the progress of the development of the vaccine candidate. The Company received the first installment of $3.6 million in the fourth quarter of 2020. The funds received are recognized as contra research and development expense as costs are incurred. For the three months ended March 31, 2021, the Company recognized $0.5 million, the remaining amount of the first installment, as contra expense for Grant 2. The Company is currently in the process of negotiating amendments to Grant 1 and Grant 2 with the Singapore EDB.</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i w:val="1"/>
          <w:iCs w:val="1"/>
          <w:color w:val="auto"/>
        </w:rPr>
        <w:t>Cystic Fibrosis Foundation Agreement</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On August 1, 2019, the Company amended its Development Program Letter Agreement, dated May 16, 2017 and as amended July 13, 2018, with the Cystic Fibrosis Foundation (“CFF”). Pursuant to the amendment, (i) CFF increased the amount it will award to advance LUNAR-CF to $15.0 million from approximately $3.2 million, (ii) the Company will provide $5.0 million in matching funds for remaining budgeted costs and (iii) the related disbursement schedule from CFF to Arcturus was modified such that (a) $4.0 million was disbursed upon execution of the CFF Amendment, (b) $2.0 million will be disbursed within 30 days of the first day of each of January, April, July and October 2020 upon Arcturus invoicing CFF to meet project goals, and (c) the last payment of $3.0 million less the prior award previously paid out, equaling approximately $2.3 million, will be disbursed upon Arcturus Therapeutics, Inc. invoicing CFF to meet good manufacturing practices and opening an Investigational New Drug (“IND”) application. The funds received from CFF will be recognized as contra research and development expense in proportion to the percentage covered by CFF of the overall budget. For the three months ended March 31, 2021 and 2020, the Company recognized $0.6 million and $2.0 million, respectively, of contra expense with $6.0 million remaining in accrued expenses.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In October 2017, the Company entered into a non-cancellable operating lease agreement for office space adjacent to its previously occupied headquarters. The commencement of the lease began in March 2018 and the lease extends for approximately 84 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$74,000. The lease may be extended for one five-year period at the then current market rate with annual escalations; however, the Company deemed the extension option not reasonably certain to be exercised and therefore excluded the option from the lease terms. The Company entered into an irrevocable standby letter of credit with the landlord for a security deposit of $96,000 upon executing the lease which is included (along with additional funds required to secure the letter of credit) in the balance of non-current restricted cash.</w:t>
      </w:r>
    </w:p>
    <w:p>
      <w:pPr>
        <w:spacing w:after="0" w:line="73" w:lineRule="exact"/>
        <w:rPr>
          <w:sz w:val="20"/>
          <w:szCs w:val="20"/>
          <w:color w:val="auto"/>
        </w:rPr>
      </w:pPr>
    </w:p>
    <w:p>
      <w:pPr>
        <w:ind w:right="220" w:firstLine="510"/>
        <w:spacing w:after="0" w:line="286" w:lineRule="auto"/>
        <w:rPr>
          <w:sz w:val="20"/>
          <w:szCs w:val="20"/>
          <w:color w:val="auto"/>
        </w:rPr>
      </w:pPr>
      <w:r>
        <w:rPr>
          <w:rFonts w:ascii="Arial" w:cs="Arial" w:eastAsia="Arial" w:hAnsi="Arial"/>
          <w:sz w:val="17"/>
          <w:szCs w:val="17"/>
          <w:color w:val="auto"/>
        </w:rPr>
        <w:t>In February 2020, the Company entered into a non-cancellable operating lease agreement for office space near its current headquarters. The lease extended for 13 months from the commencement date and included a right to extend the lease for one twelve-month period. In February 2021, the Company opted to extend the lease through March 2025 to coincide with the lease term of the Company’s headquarters.</w:t>
      </w:r>
    </w:p>
    <w:p>
      <w:pPr>
        <w:spacing w:after="0" w:line="5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In February 2021, the Company entered into a third non-cancellable operating lease agreement for office space near its current headquarters. The lease extends for 12 months from the commencement date with monthly base rent of approximately $11,000.</w:t>
      </w:r>
    </w:p>
    <w:p>
      <w:pPr>
        <w:spacing w:after="0" w:line="62"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Operating lease right-of-use asset and liability on the condensed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As of March 31, 2021, the payments of the operating lease liability were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7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Remaining Lease Payments</w:t>
            </w:r>
          </w:p>
        </w:tc>
      </w:tr>
      <w:tr>
        <w:trPr>
          <w:trHeight w:val="223"/>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 (remaining)</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774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1,987</w:t>
            </w:r>
          </w:p>
        </w:tc>
        <w:tc>
          <w:tcPr>
            <w:tcW w:w="180" w:type="dxa"/>
            <w:vAlign w:val="bottom"/>
          </w:tcPr>
          <w:p>
            <w:pPr>
              <w:spacing w:after="0"/>
              <w:rPr>
                <w:sz w:val="19"/>
                <w:szCs w:val="19"/>
                <w:color w:val="auto"/>
              </w:rPr>
            </w:pP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w:t>
            </w:r>
          </w:p>
        </w:tc>
        <w:tc>
          <w:tcPr>
            <w:tcW w:w="180" w:type="dxa"/>
            <w:vAlign w:val="bottom"/>
            <w:shd w:val="clear" w:color="auto" w:fill="CFF0FC"/>
          </w:tcPr>
          <w:p>
            <w:pPr>
              <w:spacing w:after="0"/>
              <w:rPr>
                <w:sz w:val="19"/>
                <w:szCs w:val="19"/>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2,250</w:t>
            </w:r>
          </w:p>
        </w:tc>
        <w:tc>
          <w:tcPr>
            <w:tcW w:w="180" w:type="dxa"/>
            <w:vAlign w:val="bottom"/>
          </w:tcPr>
          <w:p>
            <w:pPr>
              <w:spacing w:after="0"/>
              <w:rPr>
                <w:sz w:val="19"/>
                <w:szCs w:val="19"/>
                <w:color w:val="auto"/>
              </w:rPr>
            </w:pP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shd w:val="clear" w:color="auto" w:fill="CFF0FC"/>
          </w:tcPr>
          <w:p>
            <w:pPr>
              <w:spacing w:after="0"/>
              <w:rPr>
                <w:sz w:val="19"/>
                <w:szCs w:val="19"/>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180" w:type="dxa"/>
            <w:vAlign w:val="bottom"/>
            <w:shd w:val="clear" w:color="auto" w:fill="CFF0FC"/>
          </w:tcPr>
          <w:p>
            <w:pPr>
              <w:spacing w:after="0"/>
              <w:rPr>
                <w:sz w:val="19"/>
                <w:szCs w:val="19"/>
                <w:color w:val="auto"/>
              </w:rPr>
            </w:pPr>
          </w:p>
        </w:tc>
      </w:tr>
      <w:tr>
        <w:trPr>
          <w:trHeight w:val="223"/>
        </w:trPr>
        <w:tc>
          <w:tcPr>
            <w:tcW w:w="7740" w:type="dxa"/>
            <w:vAlign w:val="bottom"/>
          </w:tcPr>
          <w:p>
            <w:pPr>
              <w:ind w:left="120"/>
              <w:spacing w:after="0"/>
              <w:rPr>
                <w:sz w:val="20"/>
                <w:szCs w:val="20"/>
                <w:color w:val="auto"/>
              </w:rPr>
            </w:pPr>
            <w:r>
              <w:rPr>
                <w:rFonts w:ascii="Arial" w:cs="Arial" w:eastAsia="Arial" w:hAnsi="Arial"/>
                <w:sz w:val="18"/>
                <w:szCs w:val="18"/>
                <w:color w:val="auto"/>
              </w:rPr>
              <w:t>Total remaining lease payments</w:t>
            </w: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8,477</w:t>
            </w:r>
          </w:p>
        </w:tc>
        <w:tc>
          <w:tcPr>
            <w:tcW w:w="180" w:type="dxa"/>
            <w:vAlign w:val="bottom"/>
          </w:tcPr>
          <w:p>
            <w:pPr>
              <w:spacing w:after="0"/>
              <w:rPr>
                <w:sz w:val="19"/>
                <w:szCs w:val="19"/>
                <w:color w:val="auto"/>
              </w:rPr>
            </w:pP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(1,324)</w:t>
            </w:r>
          </w:p>
        </w:tc>
      </w:tr>
      <w:tr>
        <w:trPr>
          <w:trHeight w:val="223"/>
        </w:trPr>
        <w:tc>
          <w:tcPr>
            <w:tcW w:w="7740" w:type="dxa"/>
            <w:vAlign w:val="bottom"/>
          </w:tcPr>
          <w:p>
            <w:pPr>
              <w:ind w:left="1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7,153</w:t>
            </w:r>
          </w:p>
        </w:tc>
        <w:tc>
          <w:tcPr>
            <w:tcW w:w="180" w:type="dxa"/>
            <w:vAlign w:val="bottom"/>
          </w:tcPr>
          <w:p>
            <w:pPr>
              <w:spacing w:after="0"/>
              <w:rPr>
                <w:sz w:val="19"/>
                <w:szCs w:val="19"/>
                <w:color w:val="auto"/>
              </w:rPr>
            </w:pP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w:t>
            </w:r>
          </w:p>
        </w:tc>
        <w:tc>
          <w:tcPr>
            <w:tcW w:w="16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 years</w:t>
            </w: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60" w:type="dxa"/>
            <w:vAlign w:val="bottom"/>
          </w:tcPr>
          <w:p>
            <w:pPr>
              <w:spacing w:after="0"/>
              <w:rPr>
                <w:sz w:val="20"/>
                <w:szCs w:val="20"/>
                <w:color w:val="auto"/>
              </w:rPr>
            </w:pPr>
          </w:p>
        </w:tc>
        <w:tc>
          <w:tcPr>
            <w:tcW w:w="220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bl>
    <w:p>
      <w:pPr>
        <w:spacing w:after="0" w:line="201"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Operating lease costs consist of the fixed lease payments included in operating lease liability and are recorded on a straight-line basis over the lease terms. Operating lease costs were $0.4 million and $0.4 million for the three months ended March 31, 2021 and 2020, respectively.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Ultragenyx</w:t>
      </w:r>
    </w:p>
    <w:p>
      <w:pPr>
        <w:spacing w:after="0" w:line="11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On June 17, 2019, Arcturus and Ultragenyx executed Amendment 3 to the Ultragenyx Agreement. Pursuant to the amended Ultragenyx Agreement, the Company also granted Ultragenyx a two-year option to purchase up to 600,000 additional shares of common stock at a price of $16.00 per share. Ultragenyx exercised the option in May 2020, and as a result, owns 8.4% of the outstanding common stock of the Company as of March 31, 2021. For both quarters ended March 31, 2021 and 2020, the Company recognized revenue of $0.9 million related to the Ultragenyx Agreement. As of March 31, 2021 and 2020, the Company holds accounts receivable balances of negligible amounts related to the Ultragenyx Agreement.</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Equity-Method Investment</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June 2018, the Company completed the sale of its intangible asset related to the ADAIR technology. Pursuant to the asset purchase agreement for ADAIR, the Company received a 30% ownership interest in the common stock of Vallon Pharmaceuticals, Inc. (“Vallon”) in consideration for the sale of the ADAIR technology. The Company has no requirement to invest further in Vallon. Vallon completed an initial public offering and began trading on The Nasdaq Stock Market under the ticker “VLON” in February 2021. Immediately after this offering, Arcturus owned 843,750 shares of Vallon, or approximately 12%. Based on the Company’s ownership and the Vallon board of directors seat held by an executive of the Company, the Company has the ability to exercise significant influence over the operating and financial policies of Vallon; therefore, the Company accounts for this investment as an equity-method investment. The Company accounts for its share of the earnings or losses of the investee with a reporting lag of three months, as the financial statements of the investee are not completed on a basis that is sufficient for the Company to apply the equity method on a current basis. The offering was at a share price of $8.00, greater than the initial investment which resulted in the Company recording a gain in its equity-method investment. The gain has been offset by losses incurred by Vallon through December 31, 2020. For the three months ended March 31, 2021, the gain recorded by the Company was $1.2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12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April 2021, the Company’s wholly-owned subsidiary, Arcturus Therapeutics, Inc., and Axcelead, Inc., a company existing under the laws of Japan (“Axcelead”), formed a joint venture entity, named Arcalis, Inc. (“JV Entity”), which operates as a corporation under the laws of Japan. Axcelead is an integrated drug discovery solutions provider to the pharmaceutical industry in Japan, having succeeded to a portion of the drug discovery research department of Takeda Pharmaceutical Company Limited in July 1, 2017. The goal of the joint venture entity is to be a contract development and manufacturing organization focused on mRNA manufacturing that would provide manufacturing services to the Company and also to third parties. The joint venture includes a shareholders agreement setting forth initial funding of the JV Entity and rights of the shareholders, including certain approval rights of Arcturus Therapeutics, Inc. As part of the joint venture Arcturus Therapeutics, Inc. entered into a License and Technology Transfer Agreement with the JV Entity, pursuant to which Arcturus Therapeutics, Inc. grants to JV Entity a nonexclusive license to certain intellectual property for use at the JV Entity’s facilities, and obligates Arcturus Therapeutics, Inc. to conduct certain technology transfer activities.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firstLine="510"/>
        <w:spacing w:after="0" w:line="218" w:lineRule="exact"/>
        <w:rPr>
          <w:sz w:val="20"/>
          <w:szCs w:val="20"/>
          <w:color w:val="auto"/>
        </w:rPr>
      </w:pPr>
      <w:r>
        <w:rPr>
          <w:rFonts w:ascii="Arial" w:cs="Arial" w:eastAsia="Arial" w:hAnsi="Arial"/>
          <w:sz w:val="16"/>
          <w:szCs w:val="16"/>
          <w:i w:val="1"/>
          <w:iCs w:val="1"/>
          <w:color w:val="auto"/>
        </w:rPr>
        <w:t>The following is a discussion of the financial condition and results of operations of Arcturus Therapeutics Holdings Inc. for the three-month period ended March 31, 2021. Unless otherwise specified herein, references to the “Company,” “Arcturus,” “we,” “our” and “us” mean Arcturus Therapeutics Holdings Inc. and its consolidated subsidiaries.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for the year ended December 31, 2020 (the “2020 Annual Report”), which was filed with the U.S. Securities and Exchange Commission (the “Commission”) on March 1, 2021. Unless otherwise defined herein, capitalized words and expressions used herein shall have the same meanings ascribed to them in the 2020 Annual Report.</w:t>
      </w:r>
    </w:p>
    <w:p>
      <w:pPr>
        <w:spacing w:after="0" w:line="96"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i w:val="1"/>
          <w:iCs w:val="1"/>
          <w:color w:val="auto"/>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spacing w:after="0" w:line="76"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i w:val="1"/>
          <w:iCs w:val="1"/>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Arcturus is a global clinical-stage messenger RNA medicines company focused on the development of infectious disease vaccines and significant opportunities within liver and respiratory rare diseases. In addition to our mRNA platform, our proprietary lipid nanoparticle delivery system, LUNAR, has the potential to enable multiple nucleic acid medicines, and our proprietary STARR technology has the potential to provide longer-lasting RNA and sustained protein expression.</w:t>
      </w:r>
    </w:p>
    <w:p>
      <w:pPr>
        <w:spacing w:after="0" w:line="79"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Our key proprietary technology has the potential to address the major hurdles in RNA development, namely the effective and safe delivery of RNA therapeutics to disease-relevant target tissues. We believe that the versatility of our platform to target multiple tissues, its compatibility with various nucleic acid therapeutics, and our expertise in developing scalable manufacturing processes put us in a good position to deliver on the next generation of nucleic medicines.</w:t>
      </w:r>
    </w:p>
    <w:p>
      <w:pPr>
        <w:spacing w:after="0" w:line="79"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In August 2020, we announced the dosing of all subjects in the first cohort of the Phase 1 clinical study of our LUNAR-COV19 vaccine candidate (ARCT-021). The study was conducted with CTI Clinical Trial and Consulting Services, a global CRO, and in collaboration with Duke-NUS Medical School in Singapore. In December 2020, we announced that we received approval from the Singapore HSA to proceed with a Phase 2 clinical study of ARCT-021. In January 2021, we announced that we received FDA allowance to proceed with a Phase 2 study of ARCT-021 in the United States. In March 2021, we completed enrollment of the Phase 2 study, with 580 subjects randomized and dosed. We have completed two interim analyses of the Phase 2 safety data, which have been reviewed by the Data and Safety Monitoring Board and support continuation of the Phase 2 trial without amendment. In addition, interim immunogenicity data demonstrate &gt;90% seroconversion for IgG antibodies binding the full-length spike protein following a single 5µg dose. These favorable safety and single-dose immunogenicity data support the rationale to initiate a Phase 3 efficacy study and we are in discussions with multiple regulatory authorities.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November 2020, we completed our ARCT-810 Phase 1, dose escalation study in healthy subjects, at doses up to 0.4 mg/kg.</w:t>
      </w:r>
    </w:p>
    <w:p>
      <w:pPr>
        <w:spacing w:after="0" w:line="11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Our activities since inception have consisted principally of performing research and development activities, general and administrative activities and raising capital to fund those efforts. Our activities are subject to significant risks and uncertainties, including failing to secure additional funding before we achieve sustainable revenues and profit from operations. As of March 31, 2021, we had an accumulated deficit of $200.2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2020. Our historical results of operations and the year-to-year comparisons of our results of operations that follow are not necessarily indicative of future results.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We enter into arrangements with pharmaceutical and biotechnology partners and government agencies that may contain upfront payments, license fees for research and development arrangements, research and development funding, milestone payments, option exercise and exclusivity fees and royalties on future sales. The following table summarizes our total revenues for the periods indicated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8"/>
              </w:rPr>
              <w:t>2020 to 2021</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2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2,127</w:t>
            </w: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2,646</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Collaboration revenue decreased by $0.5 million during the three months ended March 31, 2021 as compared to the three months ended March 31, 2020. The decrease in collaboration revenue primarily relates to decreased revenue from our collaboration with Takeda.</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expenses consist of research and development and general and administrative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3"/>
          </w:tcPr>
          <w:p>
            <w:pPr>
              <w:ind w:left="920"/>
              <w:spacing w:after="0"/>
              <w:rPr>
                <w:sz w:val="20"/>
                <w:szCs w:val="20"/>
                <w:color w:val="auto"/>
              </w:rPr>
            </w:pPr>
            <w:r>
              <w:rPr>
                <w:rFonts w:ascii="Arial" w:cs="Arial" w:eastAsia="Arial" w:hAnsi="Arial"/>
                <w:sz w:val="14"/>
                <w:szCs w:val="14"/>
                <w:b w:val="1"/>
                <w:bCs w:val="1"/>
                <w:color w:val="auto"/>
                <w:w w:val="96"/>
              </w:rPr>
              <w:t>2020 to 2021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3"/>
          </w:tcPr>
          <w:p>
            <w:pPr>
              <w:ind w:left="160"/>
              <w:spacing w:after="0" w:line="155" w:lineRule="exact"/>
              <w:rPr>
                <w:sz w:val="20"/>
                <w:szCs w:val="20"/>
                <w:color w:val="auto"/>
              </w:rPr>
            </w:pPr>
            <w:r>
              <w:rPr>
                <w:rFonts w:ascii="Arial" w:cs="Arial" w:eastAsia="Arial" w:hAnsi="Arial"/>
                <w:sz w:val="14"/>
                <w:szCs w:val="14"/>
                <w:b w:val="1"/>
                <w:bCs w:val="1"/>
                <w:color w:val="auto"/>
              </w:rPr>
              <w:t>$ change</w:t>
            </w:r>
          </w:p>
        </w:tc>
        <w:tc>
          <w:tcPr>
            <w:tcW w:w="1120" w:type="dxa"/>
            <w:vAlign w:val="bottom"/>
            <w:tcBorders>
              <w:top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23"/>
        </w:trPr>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50,050</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7,917</w:t>
            </w:r>
          </w:p>
        </w:tc>
        <w:tc>
          <w:tcPr>
            <w:tcW w:w="24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42,133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9,743</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59,793</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47,685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Greater than 100%</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total research and development expenses by category: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8"/>
              </w:rPr>
              <w:t>2020 to 2021</w:t>
            </w:r>
          </w:p>
        </w:tc>
        <w:tc>
          <w:tcPr>
            <w:tcW w:w="10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48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48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 change</w:t>
            </w:r>
          </w:p>
        </w:tc>
        <w:tc>
          <w:tcPr>
            <w:tcW w:w="1060" w:type="dxa"/>
            <w:vAlign w:val="bottom"/>
          </w:tcPr>
          <w:p>
            <w:pPr>
              <w:jc w:val="right"/>
              <w:ind w:right="328"/>
              <w:spacing w:after="0" w:line="155" w:lineRule="exact"/>
              <w:rPr>
                <w:sz w:val="20"/>
                <w:szCs w:val="20"/>
                <w:color w:val="auto"/>
              </w:rPr>
            </w:pPr>
            <w:r>
              <w:rPr>
                <w:rFonts w:ascii="Arial" w:cs="Arial" w:eastAsia="Arial" w:hAnsi="Arial"/>
                <w:sz w:val="14"/>
                <w:szCs w:val="14"/>
                <w:b w:val="1"/>
                <w:bCs w:val="1"/>
                <w:color w:val="auto"/>
                <w:w w:val="97"/>
              </w:rPr>
              <w:t>% change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External pipeline development expenses:</w:t>
            </w:r>
          </w:p>
        </w:tc>
        <w:tc>
          <w:tcPr>
            <w:tcW w:w="12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260"/>
              <w:spacing w:after="0"/>
              <w:rPr>
                <w:sz w:val="20"/>
                <w:szCs w:val="20"/>
                <w:color w:val="auto"/>
              </w:rPr>
            </w:pPr>
            <w:r>
              <w:rPr>
                <w:rFonts w:ascii="Arial" w:cs="Arial" w:eastAsia="Arial" w:hAnsi="Arial"/>
                <w:sz w:val="14"/>
                <w:szCs w:val="14"/>
                <w:color w:val="auto"/>
              </w:rPr>
              <w:t>LUNAR-OTC</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3,086</w:t>
            </w:r>
          </w:p>
        </w:tc>
        <w:tc>
          <w:tcPr>
            <w:tcW w:w="54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3,692</w:t>
            </w:r>
          </w:p>
        </w:tc>
        <w:tc>
          <w:tcPr>
            <w:tcW w:w="48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(606)</w:t>
            </w:r>
          </w:p>
        </w:tc>
        <w:tc>
          <w:tcPr>
            <w:tcW w:w="32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LUNAR-CF, net</w:t>
            </w: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1,404</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1,068</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260"/>
              <w:spacing w:after="0"/>
              <w:rPr>
                <w:sz w:val="20"/>
                <w:szCs w:val="20"/>
                <w:color w:val="auto"/>
              </w:rPr>
            </w:pPr>
            <w:r>
              <w:rPr>
                <w:rFonts w:ascii="Arial" w:cs="Arial" w:eastAsia="Arial" w:hAnsi="Arial"/>
                <w:sz w:val="14"/>
                <w:szCs w:val="14"/>
                <w:color w:val="auto"/>
              </w:rPr>
              <w:t>LUNAR-COVID, net</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29,312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29,181</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Discovery technologies</w:t>
            </w: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463</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(18)</w:t>
            </w: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2"/>
        </w:trPr>
        <w:tc>
          <w:tcPr>
            <w:tcW w:w="4860" w:type="dxa"/>
            <w:vAlign w:val="bottom"/>
            <w:gridSpan w:val="2"/>
          </w:tcPr>
          <w:p>
            <w:pPr>
              <w:spacing w:after="0"/>
              <w:rPr>
                <w:sz w:val="20"/>
                <w:szCs w:val="20"/>
                <w:color w:val="auto"/>
              </w:rPr>
            </w:pPr>
            <w:r>
              <w:rPr>
                <w:rFonts w:ascii="Arial" w:cs="Arial" w:eastAsia="Arial" w:hAnsi="Arial"/>
                <w:sz w:val="14"/>
                <w:szCs w:val="14"/>
                <w:color w:val="auto"/>
              </w:rPr>
              <w:t>External platform development expenses:</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Partnered discovery technologies</w:t>
            </w:r>
          </w:p>
        </w:tc>
        <w:tc>
          <w:tcPr>
            <w:tcW w:w="3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7,845</w:t>
            </w:r>
          </w:p>
        </w:tc>
        <w:tc>
          <w:tcPr>
            <w:tcW w:w="2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371</w:t>
            </w:r>
          </w:p>
        </w:tc>
        <w:tc>
          <w:tcPr>
            <w:tcW w:w="24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7,474</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60" w:type="dxa"/>
            <w:vAlign w:val="bottom"/>
            <w:tcBorders>
              <w:bottom w:val="single" w:sz="8" w:color="CFF0FC"/>
            </w:tcBorders>
            <w:gridSpan w:val="2"/>
          </w:tcPr>
          <w:p>
            <w:pPr>
              <w:spacing w:after="0" w:line="155" w:lineRule="exact"/>
              <w:rPr>
                <w:sz w:val="20"/>
                <w:szCs w:val="20"/>
                <w:color w:val="auto"/>
              </w:rPr>
            </w:pPr>
            <w:r>
              <w:rPr>
                <w:rFonts w:ascii="Arial" w:cs="Arial" w:eastAsia="Arial" w:hAnsi="Arial"/>
                <w:sz w:val="14"/>
                <w:szCs w:val="14"/>
                <w:color w:val="auto"/>
              </w:rPr>
              <w:t>Total development expenses</w:t>
            </w: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42,110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5,011</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37,099</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6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Personnel related expenses</w:t>
            </w:r>
          </w:p>
        </w:tc>
        <w:tc>
          <w:tcPr>
            <w:tcW w:w="300" w:type="dxa"/>
            <w:vAlign w:val="bottom"/>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6,909</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2,203</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4,706</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Facilities and equipment expenses</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24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2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37"/>
        </w:trPr>
        <w:tc>
          <w:tcPr>
            <w:tcW w:w="4860" w:type="dxa"/>
            <w:vAlign w:val="bottom"/>
            <w:gridSpan w:val="2"/>
            <w:shd w:val="clear" w:color="auto" w:fill="CFF0FC"/>
          </w:tcPr>
          <w:p>
            <w:pPr>
              <w:spacing w:after="0" w:line="137" w:lineRule="exact"/>
              <w:rPr>
                <w:sz w:val="20"/>
                <w:szCs w:val="20"/>
                <w:color w:val="auto"/>
              </w:rPr>
            </w:pPr>
            <w:r>
              <w:rPr>
                <w:rFonts w:ascii="Arial" w:cs="Arial" w:eastAsia="Arial" w:hAnsi="Arial"/>
                <w:sz w:val="14"/>
                <w:szCs w:val="14"/>
                <w:color w:val="auto"/>
              </w:rPr>
              <w:t>Total research and development</w:t>
            </w:r>
          </w:p>
        </w:tc>
        <w:tc>
          <w:tcPr>
            <w:tcW w:w="3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86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expenses, net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50,050</w:t>
            </w:r>
          </w:p>
        </w:tc>
        <w:tc>
          <w:tcPr>
            <w:tcW w:w="540" w:type="dxa"/>
            <w:vAlign w:val="bottom"/>
            <w:gridSpan w:val="2"/>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7,917</w:t>
            </w:r>
          </w:p>
        </w:tc>
        <w:tc>
          <w:tcPr>
            <w:tcW w:w="480" w:type="dxa"/>
            <w:vAlign w:val="bottom"/>
            <w:gridSpan w:val="2"/>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42,133</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Greater than 100%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11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Our research and development expenses consist primarily of external manufacturing costs, in-vivo research studies performed by contract research organizations, clinical and regulatory consultants, personnel related expenses and laboratory supplies related to conducting research and development activities. Costs to acquire and manufacture pre-launch inventory, mRNA supply for preclinical studies and clinical trials are recognized and included in external pipeline development expenses for the specific program.</w:t>
      </w:r>
    </w:p>
    <w:p>
      <w:pPr>
        <w:spacing w:after="0" w:line="79" w:lineRule="exact"/>
        <w:rPr>
          <w:sz w:val="20"/>
          <w:szCs w:val="20"/>
          <w:color w:val="auto"/>
        </w:rPr>
      </w:pPr>
    </w:p>
    <w:p>
      <w:pPr>
        <w:ind w:right="520" w:firstLine="510"/>
        <w:spacing w:after="0" w:line="342" w:lineRule="auto"/>
        <w:rPr>
          <w:sz w:val="20"/>
          <w:szCs w:val="20"/>
          <w:color w:val="auto"/>
        </w:rPr>
      </w:pPr>
      <w:r>
        <w:rPr>
          <w:rFonts w:ascii="Arial" w:cs="Arial" w:eastAsia="Arial" w:hAnsi="Arial"/>
          <w:sz w:val="16"/>
          <w:szCs w:val="16"/>
          <w:color w:val="auto"/>
        </w:rPr>
        <w:t>LUNAR-OTC expenses decreased by $0.6 million, from $3.6 million for the three months ended March 31, 2020 to $3.0 million for the three months ended March 31, 2021. The decrease was due to non-recurring expenses in 2020 in preparation for submitting an IND for LUNAR-OTC.</w:t>
      </w:r>
    </w:p>
    <w:p>
      <w:pPr>
        <w:spacing w:after="0" w:line="16"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LUNAR-CF expenses increased by $1.1 million, from $0.3 million for the three months ended March 31, 2020 to $1.4 million for the three months ended March 31, 2021. The current quarter amount was partially offset with funds awarded by the CFF. The increase in LUNAR-CF expenses was due primarily to increased research and development cost incurred in association with the amendment to the CFF Agreement executed in July 2019, and we expect that our development efforts and associated costs will increase over the next several years as the LUNAR-CF program moves toward expected CTA submission in the fourth quarter of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right="180" w:firstLine="510"/>
        <w:spacing w:after="0" w:line="279" w:lineRule="auto"/>
        <w:rPr>
          <w:sz w:val="20"/>
          <w:szCs w:val="20"/>
          <w:color w:val="auto"/>
        </w:rPr>
      </w:pPr>
      <w:r>
        <w:rPr>
          <w:rFonts w:ascii="Arial" w:cs="Arial" w:eastAsia="Arial" w:hAnsi="Arial"/>
          <w:sz w:val="17"/>
          <w:szCs w:val="17"/>
          <w:color w:val="auto"/>
        </w:rPr>
        <w:t>LUNAR-COV19 expenses increased by $29.2 million, from $0.1 million for the three months ended March 31, 2020 to $29.3 million for the three months ended March 31, 2021. The increase is due to the fact that the LUNAR-COV19 program did not commence until late in the first quarter of 2020 and is now in clinical trials. Expenses related to pre-launch inventory represent $16.3 million of the increase. We expect that the program costs and pre-launch inventory costs will continue to increase as clinical trials progress and we advance program development.</w:t>
      </w:r>
    </w:p>
    <w:p>
      <w:pPr>
        <w:spacing w:after="0" w:line="63"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Partnered discovery technologies represents our efforts to expand our product pipeline and are expected to continually increase in the near future. Partnered discovery technologies increased by $7.5 million from $0.4 million for the three months ended March 31, 2021 2020 to $7.9 million for the three months ended March 31, 2021. The increase is primarily due to (i) the acquisition of an exclusive license from Alexion Pharmaceuticals to certain intellectual property for approximately $5.0 million of Company common stock and (ii) the addition of several new discovery programs during 2020.</w:t>
      </w:r>
    </w:p>
    <w:p>
      <w:pPr>
        <w:spacing w:after="0" w:line="49"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Within our platform development expenses, our partnered discovery expenses with our current partners are expected to fluctuate based on the needs of our collaboration partners and was relatively flat year over year. We expect partnered discovery technologies expenses to fluctuate based on the needs of our collaboration partners.</w:t>
      </w:r>
    </w:p>
    <w:p>
      <w:pPr>
        <w:spacing w:after="0" w:line="76"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Personnel related expenses, net of funds received from CFF and the Singapore EDB, for the three months ended March 31, 2021 increased by $4.7 million as compared to the prior period in 2020. This increase was associated with increased headcount necessary to advance our external pipeline and platform efforts. The increase in personnel related expenses during the period ended March 31, 2021 as compared to the period ended March 31, 2020 was primarily due to increased share-based compensation expense.</w:t>
      </w:r>
    </w:p>
    <w:p>
      <w:pPr>
        <w:spacing w:after="0" w:line="79"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Facilities and equipment expenses increased by $0.4 million during the three months ended March 31, 2021 as compared to the three months ended March 31, 2020. The increase resulted primarily from higher rent and related costs associated with an additional lease that we entered into in February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62"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General and administrative expenses for the three months ended March 31, 2021 as compared to the three months ended March 31, 2020 increased by $5.6 million. The increase resulted primarily from personnel expense due to increased headcount and increased share-based compensation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(expense) income,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3"/>
          </w:tcPr>
          <w:p>
            <w:pPr>
              <w:ind w:left="840"/>
              <w:spacing w:after="0"/>
              <w:rPr>
                <w:sz w:val="20"/>
                <w:szCs w:val="20"/>
                <w:color w:val="auto"/>
              </w:rPr>
            </w:pPr>
            <w:r>
              <w:rPr>
                <w:rFonts w:ascii="Arial" w:cs="Arial" w:eastAsia="Arial" w:hAnsi="Arial"/>
                <w:sz w:val="14"/>
                <w:szCs w:val="14"/>
                <w:b w:val="1"/>
                <w:bCs w:val="1"/>
                <w:color w:val="auto"/>
                <w:w w:val="98"/>
              </w:rPr>
              <w:t>2020 to 2021</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w w:val="97"/>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(546)</w:t>
            </w:r>
          </w:p>
        </w:tc>
        <w:tc>
          <w:tcPr>
            <w:tcW w:w="3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(292)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Greater than 100%</w:t>
      </w:r>
    </w:p>
    <w:p>
      <w:pPr>
        <w:spacing w:after="0" w:line="100"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Interest income is generated on cash and cash equivalents, and increased for the three months ended March 31, 2021 as compared to the prior year period as a result of the increased cash and cash equivalents balance. Interest expense was incurred in conjunction with our Loan and Security Agreement with Western Alliance Bank and the Singapore Loan, and increased for the three months ended March 31, 2021 as compared to the prior year period primarily as a result of additional accrued interest expense related to the Singapore Loan that was funded in January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7"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Other income and expense items relate to gain and loss from foreign currency and equity-method investment. We recorded a gain of $0.4 million for foreign currency transactions under the Singapore Loan. Additionally, we recorded a gain of $1.2 million in connection with our equity-method investment in Vallon Pharmaceuticals, Inc., of which we hold approximately 12%.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Through March 31, 2021, we have not entered into and did not have any relationships with unconsolidated entities or financial collaborations, such as entities often referred to as structured finance or special purpose entities, established for the purpose of facilitating off-balance sheet arrangements or other contractually narrow or limited purposes.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60" w:firstLine="510"/>
        <w:spacing w:after="0" w:line="271" w:lineRule="auto"/>
        <w:rPr>
          <w:sz w:val="20"/>
          <w:szCs w:val="20"/>
          <w:color w:val="auto"/>
        </w:rPr>
      </w:pPr>
      <w:r>
        <w:rPr>
          <w:rFonts w:ascii="Arial" w:cs="Arial" w:eastAsia="Arial" w:hAnsi="Arial"/>
          <w:sz w:val="18"/>
          <w:szCs w:val="18"/>
          <w:color w:val="auto"/>
        </w:rPr>
        <w:t>From the Company’s inception through the quarter ended March 31, 2021, the Company has funded its operations principally with the proceeds from the sale of capital stock, long-term debt and revenues earned through collaboration agreements. At March 31, 2021, we had $466.9 million in unrestricted cash and cash equivalents.</w:t>
      </w:r>
    </w:p>
    <w:p>
      <w:pPr>
        <w:spacing w:after="0" w:line="68"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On October 12, 2018, we entered into a Loan and Security Agreement with Western Alliance Bank whereby we received gross proceeds of $10.0 million under a long-term debt agreement (the “Loan”).</w:t>
      </w:r>
    </w:p>
    <w:p>
      <w:pPr>
        <w:spacing w:after="0" w:line="62"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On October 30, 2019, we and the Bank entered into a Third Amendment (the “Third Amendment”) to the Loan and Security Agreement dated as of October 12, 2018 (as amended, the “Loan Agreement”).</w:t>
      </w:r>
    </w:p>
    <w:p>
      <w:pPr>
        <w:spacing w:after="0" w:line="62"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Pursuant to the Third Amendment, the Bank agreed to make a term loan to us on October 30, 2019, in the amount of $15.0 million (the “Term Loan”). The resulting net increase in the indebtedness of us was $5.0 million. The Term Loan bears interest at a floating rate ranging from 1.25% to 2.75% above the prime rate. The amendment further provides that the Term Loan has a maturity date of October 30, 2023. We shall make monthly payments of interest only until the interest-only end date of October 1, 2021 and thereafter shall make monthly payments of principal and interest during a 24-month amortization period. Upon maturity or prepayment, we will be required to pay a 2% fee as a result of the FDA’s approval to proceed with the Company’s LUNAR-OTC (ARCT-810) program based on its IND submission.</w:t>
      </w:r>
    </w:p>
    <w:p>
      <w:pPr>
        <w:spacing w:after="0" w:line="84"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On March 4, 2020, we were awarded a grant (the “Grant”) from the Economic Development Board of the Republic of Singapore (the “EDB”) to support the co-development of a potential COVID-19 vaccine with the Duke-NUS Medical School. The Grant provides for up to S$14.0 million (approximately US$10.0 million using the exchange rate at the time the grant contract was entered into) in grants to support the development of the vaccine. We entered into an amendment to the Grant on September 24, 2020 to update certain delivery and milestone timelines. The Grant has been paid in full by the EDB as a result of the achievement of certain milestones related to the progress of the development of the vaccine, as set forth in the award agreement. The funds received have been recognized as contra research and development expense in proportion to the percentage covered by the EDB of the overall budget. We are liable for certain expenses during the program and are also subject to certain conditions, including (i) completing an external audit within 183 days of the conclusion of the claim period on February 20, 2021, or August 22, 2021, and (ii) delivering 10 grams of LUNAR-COV19 vaccine candidate suitable for use in a phase 3 trial in two shipments with a partial shipment by June 30, 2021 and a remaining shipment by September 30, 2021. Additionally, we are required to pay an agreed upon royalty rate to Duke-NUS on future net sales of the LUNAR-COV19 vaccine candidate in markets or jurisdictions outside of Singapore.</w:t>
      </w:r>
    </w:p>
    <w:p>
      <w:pPr>
        <w:spacing w:after="0" w:line="74"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On October 2, 2020, we were awarded another grant from the EDB to support the further development of a potential COVID-19 vaccine. The grant provides for up to S$9.3 million (approximately US$6.7 million) to support the development of the vaccine candidate for costs incurred in Singapore subject to certain conditions including (i) completing an external audit within 183 days from March 31, 2021, or September 30, 2021, (ii) delivering 10 grams of LUNAR-COV19 vaccine candidate suitable for use in a phase 3 trial in two shipments with a partial shipment by June 30, 2021 and a remaining shipment by September 30, 2021 and (iii) creating an entity in Singapore which was completed during the fourth quarter of 2020. The grant will be paid in two installments upon the achievement of certain milestones related to the progress of the development of the vaccine candidate. We received the first installment of $3.6 million in the fourth quarter of 2020. We are currently in the process of negotiating amendments to the grants with the EDB.</w:t>
      </w:r>
    </w:p>
    <w:p>
      <w:pPr>
        <w:spacing w:after="0" w:line="58" w:lineRule="exact"/>
        <w:rPr>
          <w:sz w:val="20"/>
          <w:szCs w:val="20"/>
          <w:color w:val="auto"/>
        </w:rPr>
      </w:pPr>
    </w:p>
    <w:p>
      <w:pPr>
        <w:ind w:right="80" w:firstLine="510"/>
        <w:spacing w:after="0" w:line="285" w:lineRule="auto"/>
        <w:rPr>
          <w:sz w:val="20"/>
          <w:szCs w:val="20"/>
          <w:color w:val="auto"/>
        </w:rPr>
      </w:pPr>
      <w:r>
        <w:rPr>
          <w:rFonts w:ascii="Arial" w:cs="Arial" w:eastAsia="Arial" w:hAnsi="Arial"/>
          <w:sz w:val="16"/>
          <w:szCs w:val="16"/>
          <w:color w:val="auto"/>
        </w:rPr>
        <w:t>On November 7, 2020, we entered into a Manufacturing Support Agreement (the “Support Agreement”) with the EDB. Pursuant to the Support Agreement, the EDB agreed to make a term loan of S$62.1 million, subject to the satisfaction of customary deliveries, to support the manufacture of the LUNAR-COV19 vaccine candidate (the “Singapore Loan”). The Singapore Loan and the related side letter includes certain loan covenants requiring (i) unused funds as of June 30, 2021 to be subsequently returned within thirty days, subject to the agreed upon extension of the reconciliation date, (ii) us to provide a quarterly reconciliation report within forty-five days of each financial quarter end, (iii) an external audit to be completed by September 26, 2021,</w:t>
      </w:r>
    </w:p>
    <w:p>
      <w:pPr>
        <w:spacing w:after="0" w:line="2" w:lineRule="exact"/>
        <w:rPr>
          <w:sz w:val="20"/>
          <w:szCs w:val="20"/>
          <w:color w:val="auto"/>
        </w:rPr>
      </w:pPr>
    </w:p>
    <w:p>
      <w:pPr>
        <w:jc w:val="both"/>
        <w:ind w:firstLine="8"/>
        <w:spacing w:after="0" w:line="253" w:lineRule="auto"/>
        <w:tabs>
          <w:tab w:leader="none" w:pos="305"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to deliver 10 grams of the LUNAR-COV19 vaccine candidate suitable for use in a phase 3 trial in two shipments with a partial shipment by June 30, 2021 and a remaining shipment by September 30, 2021, and (v) us to provide EDB with a right of first refusal on GMP manufacturing slots of the LUNAR-COV19 vaccine candidate up to an agreed-upon maximum amount. We elected to borrow the full amount available under the Support Agreement of S$62.1 million, or $46.6 million, as a result of applicable exchange rates, on January 29, 2021.</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ind w:right="60" w:firstLine="510"/>
        <w:spacing w:after="0" w:line="254" w:lineRule="auto"/>
        <w:rPr>
          <w:sz w:val="20"/>
          <w:szCs w:val="20"/>
          <w:color w:val="auto"/>
        </w:rPr>
      </w:pPr>
      <w:r>
        <w:rPr>
          <w:rFonts w:ascii="Arial" w:cs="Arial" w:eastAsia="Arial" w:hAnsi="Arial"/>
          <w:sz w:val="18"/>
          <w:szCs w:val="18"/>
          <w:color w:val="auto"/>
        </w:rPr>
        <w:t>The Singapore Loan accrues interest at a rate of 4.5% per annum calculated on a daily basis. Subject to certain exceptions, the Singapore Loan is intended to be a limited recourse loan that will be repaid solely through a royalty payment of 10% of net sales proceeds of the LUNAR-COV19 vaccine candidate, up to the amount of the outstanding principal and interest under the Singapore Loan. However, all unpaid principal and interest under the Singapore Loan will be due and payable five years after the borrowing date, if net sales of the LUNAR-COV19 vaccine exceed a certain minimum threshold during this five year period or we obtain clearance to sell the vaccine in specified jurisdictions. Unpaid principal and interest under the Singapore Loan will also become due and payable upon an event of default under the Support Agreement. The first vaccine sales, including the amount of net sales, shall be reported to EDB within 10 days of delivery and quarterly reports of aggregate vaccine sales, including net sales proceeds shall be provided within 30 days after quarter end.</w:t>
      </w:r>
    </w:p>
    <w:p>
      <w:pPr>
        <w:spacing w:after="0" w:line="84"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The Singapore Loan is forgivable if the Company has not obtained regulatory approval by the final repayment date and net sales of LUNAR-COV19 are less than $100 million. If any portion of the Singapore Loan is required to be forgiven pursuant to the terms of the Support Agreement, the EDB has the right to take ownership of certain raw materials and equipment that were purchased by us with proceeds of the Singapore Loan (the “Specified Assets”).</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We entered into a security agreement (the “Security Agreement”) for the benefit of the EDB to provide that repayment of the Singapore Loan and related obligations are secured by a lien on the Specified Assets.</w:t>
      </w:r>
    </w:p>
    <w:p>
      <w:pPr>
        <w:spacing w:after="0" w:line="7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connection with the entry into the Support Agreement, we entered into a consent agreement with Western Alliance Bank and an amendment to the Loan and Security Agreement, dated as of October 12, 2018, to exclude the Specified Assets from Western Alliance Bank’s lien on certain assets of Arcturus.</w:t>
      </w:r>
    </w:p>
    <w:p>
      <w:pPr>
        <w:spacing w:after="0" w:line="76"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A significant portion of our current cash and cash equivalents balance of $466.9 million is expected to be utilized during fiscal year 2021 to fund (i) the Phase 2 trial and anticipated Phase 3 trial of our LUNAR-COV19 vaccine candidate, (ii) the continued Phase 1 trial and anticipated Phase 2 trial of ARCT-810, our LUNAR-OTC candidate, (iii) advancing our new LUNAR-FLU program toward submission of an IND, (iv) and other programs and administrative costs.</w:t>
      </w:r>
    </w:p>
    <w:p>
      <w:pPr>
        <w:spacing w:after="0" w:line="7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Phase 3 trial of our LUNAR-COV19 vaccine candidate is expected to be funded primarily or exclusively through our cash reserves. If we achieve emergency use authorization to market our LUNAR-COV19 vaccine candidate, we will need to raise additional funds through equity financing, additional debt or prepayments from potential customers, among other options, to fund commercialization of LUNAR-COV19. We anticipate that a Phase 3 trial would continue through 2021, and that we would continue to monitor subjects in the Phase 3 trial into 2022 (whether or not we would receive emergency use authorization for ARCT-021 during 2021).</w:t>
      </w:r>
    </w:p>
    <w:p>
      <w:pPr>
        <w:spacing w:after="0" w:line="80"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 Our future capital requirements are difficult to forecast and will depend on many factors.</w:t>
      </w:r>
    </w:p>
    <w:p>
      <w:pPr>
        <w:spacing w:after="0" w:line="79" w:lineRule="exact"/>
        <w:rPr>
          <w:sz w:val="20"/>
          <w:szCs w:val="20"/>
          <w:color w:val="auto"/>
        </w:rPr>
      </w:pPr>
    </w:p>
    <w:p>
      <w:pPr>
        <w:jc w:val="both"/>
        <w:ind w:right="20" w:firstLine="510"/>
        <w:spacing w:after="0" w:line="296" w:lineRule="auto"/>
        <w:rPr>
          <w:sz w:val="20"/>
          <w:szCs w:val="20"/>
          <w:color w:val="auto"/>
        </w:rPr>
      </w:pPr>
      <w:r>
        <w:rPr>
          <w:rFonts w:ascii="Arial" w:cs="Arial" w:eastAsia="Arial" w:hAnsi="Arial"/>
          <w:sz w:val="16"/>
          <w:szCs w:val="16"/>
          <w:color w:val="auto"/>
        </w:rPr>
        <w:t>We expect to continue to incur additional losses for the foreseeable future, and we will need to raise additional debt or equity financing or enter into additional partnerships to fund development. The ability of our Company to transition to profitability is dependent on identifying and developing successful mRNA drug candidates. In the near future, if we are not able to achieve planned milestones, incur costs in excess of our forecasts, or do not meet covenant requirements of our debt, we will need to reduce discretionary spending, discontinue the development of some or all of our products, which will delay part of our development programs, all of which will have a material adverse effect on our ability to achieve our intended business objectives.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three months ended March 31, 2021 and 2020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52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598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5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Operating activities</w:t>
            </w:r>
          </w:p>
        </w:tc>
        <w:tc>
          <w:tcPr>
            <w:tcW w:w="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(42,950)</w:t>
            </w:r>
          </w:p>
        </w:tc>
        <w:tc>
          <w:tcPr>
            <w:tcW w:w="52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(11,858)</w:t>
            </w: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3,944</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620" w:firstLine="510"/>
        <w:spacing w:after="0" w:line="263" w:lineRule="auto"/>
        <w:rPr>
          <w:sz w:val="20"/>
          <w:szCs w:val="20"/>
          <w:color w:val="auto"/>
        </w:rPr>
      </w:pPr>
      <w:r>
        <w:rPr>
          <w:rFonts w:ascii="Arial" w:cs="Arial" w:eastAsia="Arial" w:hAnsi="Arial"/>
          <w:sz w:val="18"/>
          <w:szCs w:val="18"/>
          <w:color w:val="auto"/>
        </w:rPr>
        <w:t>Our primary use of cash is to fund operating expenses, which consist mainly of research and development and general and administrative expenditures. We have incurred significant expenses which have been partially offset by cash collected through our collaboration agreements. Cash collections under the collaboration agreements can vary from year to year depending on the terms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right="600"/>
        <w:spacing w:after="0" w:line="308" w:lineRule="auto"/>
        <w:rPr>
          <w:sz w:val="20"/>
          <w:szCs w:val="20"/>
          <w:color w:val="auto"/>
        </w:rPr>
      </w:pPr>
      <w:r>
        <w:rPr>
          <w:rFonts w:ascii="Arial" w:cs="Arial" w:eastAsia="Arial" w:hAnsi="Arial"/>
          <w:sz w:val="18"/>
          <w:szCs w:val="18"/>
          <w:color w:val="auto"/>
        </w:rPr>
        <w:t>the agreement and work performed. These changes on cash flows primarily relate to the timing of cash receipts for upfront payments, reimbursable expenses and achievement of milestones under these collaborative agreements.</w:t>
      </w:r>
    </w:p>
    <w:p>
      <w:pPr>
        <w:spacing w:after="0" w:line="49"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Net cash used in operating activities was $42.9 million on a net loss of $56.3 million for the three months ended March 31, 2021, compared to net cash used of $11.9 million on a net loss of $9.8 million for the three months ended March 31, 2020. Adjustments for non-cash charges which includes share-based compensation expense and depreciation and amortization were $11.3 million and $1.5 million for the three months ended March 31, 2021 and 2020, respectively. Changes in working capital resulted in adjustments to operating net cash inflows of $2.1 million and outflows of $3.5 million for the three months ended March 31, 2021 and 2020, respectively. Changes in working capital for the three months ended March 31, 2021 were primarily driven by an increase in accounts payable and accrued liabilities and a decrease in prepaid expenses, partly offset by a decrease in deferred revenue. Changes in working capital for the three months ended March 31, 2020 were primarily driven by decreases in deferred revenue as well as accounts payable and accrued liabilities, and increases account receivable and prepaid expenses.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Net cash used in investing activities of $0.2 million and $0.1 million for the three months ended March 31, 2021 and 2020, respectively, reflected cash used to purchase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Net cash provided by financing activities of $47.0 million for the three months ended March 31, 2021 consisted of net proceeds from debt related to the Singapore Loan of $46.6 million and proceeds from the exercises of stock options of $0.4 million. Net cash provided by financing activities for the three months ended March 31, 2020 reflected proceeds from the exercise of stock options of $0.1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anticipate that we will continue to generate annual net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The Company intends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are difficult to forecast and will depend on many factors, including the following:</w:t>
      </w:r>
    </w:p>
    <w:p>
      <w:pPr>
        <w:spacing w:after="0" w:line="117"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demonstration of safety and efficacy of our product candidates, particularly ARCT-021, in ongoing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achievement of milestones under our strategic alliance agreements;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and timing of any other strategic alliance, licensing and other arrangements that we may establish;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progress, timing and completion of preclinical studies and clinical trials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and timing of procuring clinical and commercial supplies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associated with legal proceedings;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We prepare our condensed consolidated financial statements in conformity with GAAP. As such, we make certain estimates, judgements and assumptions that we believe are reasonable, based upon information available to us. These judgements involve making estimates about the effect of matters that are inherently uncertain and may significantly impact our results of operations and financial condition. We describe our significant accounting policies more fully in Note 2 to our consolidated financial statements for the year ended December 31, 2020.</w:t>
      </w:r>
    </w:p>
    <w:p>
      <w:pPr>
        <w:spacing w:after="0" w:line="63"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provided in Item 7, Management’s Discussion and Analysis of Financial Condition and Results of Operations, included in our Annual Report on Form 10-K for the year ended December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 xml:space="preserve">Our primary exposure to market risk is interest income and expense sensitivity and foreign currency exchange rates. Interest income and expense sensitivity is affected by changes in the general level of interest rates in the United States. Foreign exchange market risks relate to the grants and loan from the Singapore Economic Development Board which is discussed in this Quarterly Report </w:t>
      </w:r>
      <w:r>
        <w:rPr>
          <w:rFonts w:ascii="Arial" w:cs="Arial" w:eastAsia="Arial" w:hAnsi="Arial"/>
          <w:sz w:val="16"/>
          <w:szCs w:val="16"/>
          <w:color w:val="212529"/>
        </w:rPr>
        <w:t>in “Notes to Condensed Consolidated Financial Statements, Note</w:t>
      </w:r>
    </w:p>
    <w:p>
      <w:pPr>
        <w:spacing w:after="0" w:line="2" w:lineRule="exact"/>
        <w:rPr>
          <w:sz w:val="20"/>
          <w:szCs w:val="20"/>
          <w:color w:val="auto"/>
        </w:rPr>
      </w:pPr>
    </w:p>
    <w:p>
      <w:pPr>
        <w:ind w:right="80" w:firstLine="8"/>
        <w:spacing w:after="0" w:line="253" w:lineRule="auto"/>
        <w:tabs>
          <w:tab w:leader="none" w:pos="180" w:val="left"/>
        </w:tabs>
        <w:numPr>
          <w:ilvl w:val="0"/>
          <w:numId w:val="6"/>
        </w:numPr>
        <w:rPr>
          <w:rFonts w:ascii="Arial" w:cs="Arial" w:eastAsia="Arial" w:hAnsi="Arial"/>
          <w:sz w:val="18"/>
          <w:szCs w:val="18"/>
          <w:color w:val="212529"/>
        </w:rPr>
      </w:pPr>
      <w:r>
        <w:rPr>
          <w:rFonts w:ascii="Arial" w:cs="Arial" w:eastAsia="Arial" w:hAnsi="Arial"/>
          <w:sz w:val="18"/>
          <w:szCs w:val="18"/>
          <w:color w:val="212529"/>
        </w:rPr>
        <w:t>Description of Business.” When deemed appropriate, we may manage our exposure to foreign exchange market risks through the use of derivative financial instruments. We may utilize such derivative financial instruments for hedging or risk management purposes. D</w:t>
      </w:r>
      <w:r>
        <w:rPr>
          <w:rFonts w:ascii="Arial" w:cs="Arial" w:eastAsia="Arial" w:hAnsi="Arial"/>
          <w:sz w:val="18"/>
          <w:szCs w:val="18"/>
          <w:color w:val="000000"/>
        </w:rPr>
        <w:t>ue to the nature of our cash and</w:t>
      </w:r>
      <w:r>
        <w:rPr>
          <w:rFonts w:ascii="Arial" w:cs="Arial" w:eastAsia="Arial" w:hAnsi="Arial"/>
          <w:sz w:val="18"/>
          <w:szCs w:val="18"/>
          <w:color w:val="212529"/>
        </w:rPr>
        <w:t xml:space="preserve"> </w:t>
      </w:r>
      <w:r>
        <w:rPr>
          <w:rFonts w:ascii="Arial" w:cs="Arial" w:eastAsia="Arial" w:hAnsi="Arial"/>
          <w:sz w:val="18"/>
          <w:szCs w:val="18"/>
          <w:color w:val="000000"/>
        </w:rPr>
        <w:t>cash equivalents and our evaluation of the potential impact of foreign currency exchange rates, we believe that we are not currently subject to any material market risk exposure.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As required by Rule 13a-15(b) and Rule 15d-15(b) of the Exchange Act, our management, including our principal executive officer, our principal financial officer and our principal accounting officer, conducted an evaluation as of the end of the period covered by this Quarterly Report on Form 10-Q of the effectiveness of the design and operation of our disclosure controls and procedures. Based on that evaluation, management has concluded that as of March 31, 2021, the Company’s disclosure controls and procedures were effective at the reasonable assurance level, and we believe the condensed consolidated financial statements included in this Form 10-Q for the quarterly period ended March 31, 2021 fairly present, in all material respects, our financial position, results of operations, comprehensive loss, statements of stockholders’ equity and cash flows for the periods presented in conformity with U.S. generally accepted accounting principles.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20" w:firstLine="510"/>
        <w:spacing w:after="0" w:line="293" w:lineRule="auto"/>
        <w:rPr>
          <w:sz w:val="20"/>
          <w:szCs w:val="20"/>
          <w:color w:val="auto"/>
        </w:rPr>
      </w:pPr>
      <w:r>
        <w:rPr>
          <w:rFonts w:ascii="Arial" w:cs="Arial" w:eastAsia="Arial" w:hAnsi="Arial"/>
          <w:sz w:val="16"/>
          <w:szCs w:val="16"/>
          <w:color w:val="auto"/>
        </w:rPr>
        <w:t>As required by Rule 13a-15(d) and Rule 15d-15(d) of the Exchange Act, our management, including our principal executive officer, our principal financial officer and our principal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principal financial officer and principal accounting officer concluded that there were no changes in our internal controls over financial reporting during the period covered by this Quarterly Report on Form 10-Q that materially affected, or were reasonably likely to materially affect, our internal control over financial reporting.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On December 13, 2019, a former employee of the Company filed a complaint in San Diego County Superior Court, captioned Adonary Munoz v. Arcturus Therapeutics, Inc., et al, Case No. 37-2019-00066358-CU-PO-CTL. The lawsuit alleges sexual assault by an acquaintance of one of our employees and seeks to hold the Company liable on a number of causes of action. On January 17, 2020, a second amended complaint (“SAC”) was filed seeking $30.0 million in damages, including punitive damages and damages for emotional distress. The plaintiff has agreed to stipulate to arbitration for the claims being alleged against the Company. On May 5, 2021, the parties settled the dispute, and the parties agreed to dismiss the legal proceedings. The settlement is not expected to result in any material liability to the Company as the settlement payment is covered by the Company’s insurance.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20" w:firstLine="510"/>
        <w:spacing w:after="0" w:line="286" w:lineRule="auto"/>
        <w:rPr>
          <w:sz w:val="20"/>
          <w:szCs w:val="20"/>
          <w:color w:val="auto"/>
        </w:rPr>
      </w:pPr>
      <w:r>
        <w:rPr>
          <w:rFonts w:ascii="Arial" w:cs="Arial" w:eastAsia="Arial" w:hAnsi="Arial"/>
          <w:sz w:val="17"/>
          <w:szCs w:val="17"/>
          <w:color w:val="auto"/>
        </w:rPr>
        <w:t>Our business is subject to various risks, including those described in Item 1A of our Annual Report on Form 10-K for the fiscal year ended December 31, 2020, which we strongly encourage you to review. Other than as set forth below, there have been no material changes to the risk factors described in our Annual Report on Form 10-K for the year ended December 31, 2020 filed with the SEC on March 1, 2021.</w:t>
      </w:r>
    </w:p>
    <w:p>
      <w:pPr>
        <w:spacing w:after="0" w:line="165" w:lineRule="exact"/>
        <w:rPr>
          <w:sz w:val="20"/>
          <w:szCs w:val="20"/>
          <w:color w:val="auto"/>
        </w:rPr>
      </w:pPr>
    </w:p>
    <w:p>
      <w:pPr>
        <w:ind w:right="160" w:firstLine="674"/>
        <w:spacing w:after="0" w:line="375" w:lineRule="auto"/>
        <w:rPr>
          <w:sz w:val="20"/>
          <w:szCs w:val="20"/>
          <w:color w:val="auto"/>
        </w:rPr>
      </w:pPr>
      <w:r>
        <w:rPr>
          <w:rFonts w:ascii="Arial" w:cs="Arial" w:eastAsia="Arial" w:hAnsi="Arial"/>
          <w:sz w:val="15"/>
          <w:szCs w:val="15"/>
          <w:b w:val="1"/>
          <w:bCs w:val="1"/>
          <w:i w:val="1"/>
          <w:iCs w:val="1"/>
          <w:color w:val="auto"/>
        </w:rPr>
        <w:t>Our competitors, which have substantially greater financial, scientific and other resources than us have completed the development of and sold hundreds of millions of doses of their COVID-19 vaccine candidates, making it more difficult for us to establish ARCT-021 as a viable candidate.</w:t>
      </w:r>
    </w:p>
    <w:p>
      <w:pPr>
        <w:spacing w:after="0" w:line="1" w:lineRule="exact"/>
        <w:rPr>
          <w:sz w:val="20"/>
          <w:szCs w:val="20"/>
          <w:color w:val="auto"/>
        </w:rPr>
      </w:pPr>
    </w:p>
    <w:p>
      <w:pPr>
        <w:ind w:right="120" w:firstLine="667"/>
        <w:spacing w:after="0" w:line="273" w:lineRule="auto"/>
        <w:rPr>
          <w:sz w:val="20"/>
          <w:szCs w:val="20"/>
          <w:color w:val="auto"/>
        </w:rPr>
      </w:pPr>
      <w:r>
        <w:rPr>
          <w:rFonts w:ascii="Arial" w:cs="Arial" w:eastAsia="Arial" w:hAnsi="Arial"/>
          <w:sz w:val="17"/>
          <w:szCs w:val="17"/>
          <w:color w:val="auto"/>
        </w:rPr>
        <w:t>A large number of vaccine manufacturers, academic institutions and other organizations currently have programs to develop COVID-19 vaccine candidates and are further along in development of their vaccine candidates. Moderna, AstraZeneca and Johnson &amp; Johnson, and several other companies, have received emergency use authorization from the FDA or other government authorities for their COVID-19 vaccines and are already commercializing them and have vaccinated hundreds of millions of people. As more people in the United States and globally are vaccinated by COVID-19 vaccines developed by our competitors, the demand for ARCT-021 will decline. As our development may be delayed, the number of vaccinated individuals will increase and the need for our vaccine, if developed, may decline further.</w:t>
      </w:r>
    </w:p>
    <w:p>
      <w:pPr>
        <w:spacing w:after="0" w:line="178" w:lineRule="exact"/>
        <w:rPr>
          <w:sz w:val="20"/>
          <w:szCs w:val="20"/>
          <w:color w:val="auto"/>
        </w:rPr>
      </w:pPr>
    </w:p>
    <w:p>
      <w:pPr>
        <w:ind w:right="540" w:firstLine="510"/>
        <w:spacing w:after="0" w:line="308" w:lineRule="auto"/>
        <w:rPr>
          <w:sz w:val="20"/>
          <w:szCs w:val="20"/>
          <w:color w:val="auto"/>
        </w:rPr>
      </w:pPr>
      <w:r>
        <w:rPr>
          <w:rFonts w:ascii="Arial" w:cs="Arial" w:eastAsia="Arial" w:hAnsi="Arial"/>
          <w:sz w:val="17"/>
          <w:szCs w:val="17"/>
          <w:b w:val="1"/>
          <w:bCs w:val="1"/>
          <w:i w:val="1"/>
          <w:iCs w:val="1"/>
          <w:color w:val="auto"/>
        </w:rPr>
        <w:t>We are planning a Phase 3 clinical trial for our COVID-19 vaccine candidate, ARCT-021. If we are unable to initiate the trial or generate successful results, or experience significant delays in doing so, we may be unable to market and sell a COVID-19 vaccine.</w:t>
      </w:r>
    </w:p>
    <w:p>
      <w:pPr>
        <w:spacing w:after="0" w:line="38"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We commenced a Phase 2 trial of ARCT-021 and are in discussions with multiple regulatory authorities in different parts of the world regarding a Phase 3 trial. We anticipate that a Phase 3 trial would continue through 2021, and that we would continue to monitor subjects in the Phase 3 trial into 2022 (whether or not we receive emergency use authorization for ARCT-021 during 2021). We will need to identify additional funding sources to complete any Phase 3 trial that is commenced. The data received to date, although providing sufficient information to allow us to proceed further is not complete enough to provide conclusive evidence with respect to safety and potential efficacy of ARCT-021. In December 2020, our CTA application to proceed with our Phase 2 clinical study was accepted by the HSA and the IND for the same trial received a “safe to proceed” from the FDA. Clinical trial results are inherently uncertain, and a significant portion of our success and business prospects depend on the progress of this program. Our failure to demonstrate safety or obtain positive clinical trial results, inability to meet the expected timeline for release of data for this trial, or failure to successfully develop a single-dose vaccine could have an adverse effect on our business operations and financial condition. Furthermore, we will not have a detailed understanding of the efficacy of ARCT-021 until infection of a sufficient number of subjects in a Phase 3 trial, enrollment for which may be delayed or prevented by rollout of competing vaccines for COVID-19, competing clinical trials and the refusal of certain countries’ regulatory authorities to allow placebo-controlled trials for COVID-19 vaccine candidates. We cannot be certain if we will receive approval to proceed with a Phase 3 study, when we will begin enrollment, or the nature of the protocols that may eventually be approved. If our data is not positive or is inconclusive, we may not be able to continue our studies or identify additional funding to continue the studies. No assurance can be given that the results of the trials will produce adequate results to allow us to commence or continue expected trials or that that adequate efficacy will be demonstrated such that ARCT-021 will be a viable commercial product.</w:t>
      </w:r>
    </w:p>
    <w:p>
      <w:pPr>
        <w:spacing w:after="0" w:line="180"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b w:val="1"/>
          <w:bCs w:val="1"/>
          <w:i w:val="1"/>
          <w:iCs w:val="1"/>
          <w:color w:val="auto"/>
        </w:rPr>
        <w:t>If government bodies in the United States or elsewhere implement a waiver on patents on COVID-19 vaccines, there could be a significant adverse effect on our business.</w:t>
      </w:r>
    </w:p>
    <w:p>
      <w:pPr>
        <w:spacing w:after="0" w:line="62" w:lineRule="exact"/>
        <w:rPr>
          <w:sz w:val="20"/>
          <w:szCs w:val="20"/>
          <w:color w:val="auto"/>
        </w:rPr>
      </w:pPr>
    </w:p>
    <w:p>
      <w:pPr>
        <w:jc w:val="both"/>
        <w:ind w:right="340" w:firstLine="510"/>
        <w:spacing w:after="0" w:line="311" w:lineRule="auto"/>
        <w:rPr>
          <w:sz w:val="20"/>
          <w:szCs w:val="20"/>
          <w:color w:val="auto"/>
        </w:rPr>
      </w:pPr>
      <w:r>
        <w:rPr>
          <w:rFonts w:ascii="Arial" w:cs="Arial" w:eastAsia="Arial" w:hAnsi="Arial"/>
          <w:sz w:val="16"/>
          <w:szCs w:val="16"/>
          <w:color w:val="auto"/>
        </w:rPr>
        <w:t>On May 5, 2021, the Biden Administration announced that it supports a waiver for patents on vaccines protecting against the coronavirus. Any action by governments of the United States or other countries, or by global governmental authorities, that limit the ability of companies to enforce their patents or other technology could limit the value of the Company’s intellectual property and revenue potential for the Company’s product candidates.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gridSpan w:val="29"/>
          </w:tcPr>
          <w:p>
            <w:pPr>
              <w:ind w:left="12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2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260" w:type="dxa"/>
            <w:vAlign w:val="bottom"/>
            <w:gridSpan w:val="2"/>
          </w:tcPr>
          <w:p>
            <w:pPr>
              <w:spacing w:after="0"/>
              <w:rPr>
                <w:sz w:val="20"/>
                <w:szCs w:val="20"/>
                <w:color w:val="auto"/>
              </w:rPr>
            </w:pPr>
            <w:r>
              <w:rPr>
                <w:rFonts w:ascii="Arial" w:cs="Arial" w:eastAsia="Arial" w:hAnsi="Arial"/>
                <w:sz w:val="18"/>
                <w:szCs w:val="18"/>
                <w:color w:val="auto"/>
              </w:rPr>
              <w:t>Number</w:t>
            </w:r>
          </w:p>
        </w:tc>
        <w:tc>
          <w:tcPr>
            <w:tcW w:w="9980" w:type="dxa"/>
            <w:vAlign w:val="bottom"/>
            <w:gridSpan w:val="36"/>
          </w:tcPr>
          <w:p>
            <w:pPr>
              <w:spacing w:after="0"/>
              <w:rPr>
                <w:sz w:val="20"/>
                <w:szCs w:val="20"/>
                <w:color w:val="auto"/>
              </w:rPr>
            </w:pPr>
            <w:r>
              <w:rPr>
                <w:rFonts w:ascii="Arial" w:cs="Arial" w:eastAsia="Arial" w:hAnsi="Arial"/>
                <w:sz w:val="18"/>
                <w:szCs w:val="18"/>
                <w:color w:val="auto"/>
              </w:rPr>
              <w:t>Description</w:t>
            </w:r>
          </w:p>
        </w:tc>
      </w:tr>
      <w:tr>
        <w:trPr>
          <w:trHeight w:val="263"/>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9980" w:type="dxa"/>
            <w:vAlign w:val="bottom"/>
            <w:tcBorders>
              <w:top w:val="single" w:sz="8" w:color="auto"/>
            </w:tcBorders>
            <w:gridSpan w:val="36"/>
          </w:tcPr>
          <w:p>
            <w:pPr>
              <w:spacing w:after="0"/>
              <w:rPr>
                <w:rFonts w:ascii="Arial" w:cs="Arial" w:eastAsia="Arial" w:hAnsi="Arial"/>
                <w:sz w:val="18"/>
                <w:szCs w:val="18"/>
                <w:color w:val="0000EE"/>
              </w:rPr>
            </w:pPr>
            <w:hyperlink r:id="rId47">
              <w:r>
                <w:rPr>
                  <w:rFonts w:ascii="Arial" w:cs="Arial" w:eastAsia="Arial" w:hAnsi="Arial"/>
                  <w:sz w:val="18"/>
                  <w:szCs w:val="18"/>
                  <w:color w:val="0000EE"/>
                </w:rPr>
                <w:t>Underwriting Agreement, dated December 7, 2020, by and among Arcturus Therapeutics Holdings Inc., Piper Sandler &amp; Co.,</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Guggenheim Securities, LLC and Wells Fargo Securities, LLC. Incorporated by reference to Exhibit 1.1 to Current Report on Form 8-K</w:t>
              </w:r>
            </w:hyperlink>
          </w:p>
        </w:tc>
        <w:tc>
          <w:tcPr>
            <w:tcW w:w="18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filed on December 8, 2020 (File No. 001-38942).</w:t>
              </w:r>
            </w:hyperlink>
          </w:p>
        </w:tc>
        <w:tc>
          <w:tcPr>
            <w:tcW w:w="6420" w:type="dxa"/>
            <w:vAlign w:val="bottom"/>
            <w:gridSpan w:val="31"/>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940" w:type="dxa"/>
            <w:vAlign w:val="bottom"/>
            <w:tcBorders>
              <w:bottom w:val="single" w:sz="8" w:color="0000EE"/>
            </w:tcBorders>
            <w:gridSpan w:val="35"/>
          </w:tcPr>
          <w:p>
            <w:pPr>
              <w:spacing w:after="0"/>
              <w:rPr>
                <w:rFonts w:ascii="Arial" w:cs="Arial" w:eastAsia="Arial" w:hAnsi="Arial"/>
                <w:sz w:val="18"/>
                <w:szCs w:val="18"/>
                <w:color w:val="0000EE"/>
                <w:w w:val="91"/>
              </w:rPr>
            </w:pPr>
            <w:hyperlink r:id="rId48">
              <w:r>
                <w:rPr>
                  <w:rFonts w:ascii="Arial" w:cs="Arial" w:eastAsia="Arial" w:hAnsi="Arial"/>
                  <w:sz w:val="18"/>
                  <w:szCs w:val="18"/>
                  <w:color w:val="0000EE"/>
                  <w:w w:val="91"/>
                </w:rPr>
                <w:t>Certificate of Incorporation. Incorporated by reference to Annex B to the proxy statement/prospectus which forms part of the Registration</w:t>
              </w:r>
            </w:hyperlink>
          </w:p>
        </w:tc>
        <w:tc>
          <w:tcPr>
            <w:tcW w:w="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Statement on Form S-4 filed on March 18, 2019 (File No. 333-230353).</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860" w:type="dxa"/>
            <w:vAlign w:val="bottom"/>
            <w:tcBorders>
              <w:bottom w:val="single" w:sz="8" w:color="0000EE"/>
            </w:tcBorders>
            <w:gridSpan w:val="32"/>
          </w:tcPr>
          <w:p>
            <w:pPr>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Certificate of Amendment, dated November 25, 2020. Incorporated by reference to Exhibit 3.1 to Form 8-K filed on November 25, 2020</w:t>
              </w:r>
            </w:hyperlink>
          </w:p>
        </w:tc>
        <w:tc>
          <w:tcPr>
            <w:tcW w:w="12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(File No. 001-38942).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9580" w:type="dxa"/>
            <w:vAlign w:val="bottom"/>
            <w:tcBorders>
              <w:bottom w:val="single" w:sz="8" w:color="0000EE"/>
            </w:tcBorders>
            <w:gridSpan w:val="22"/>
          </w:tcPr>
          <w:p>
            <w:pPr>
              <w:spacing w:after="0"/>
              <w:rPr>
                <w:rFonts w:ascii="Arial" w:cs="Arial" w:eastAsia="Arial" w:hAnsi="Arial"/>
                <w:sz w:val="18"/>
                <w:szCs w:val="18"/>
                <w:color w:val="0000EE"/>
                <w:w w:val="91"/>
              </w:rPr>
            </w:pPr>
            <w:hyperlink r:id="rId50">
              <w:r>
                <w:rPr>
                  <w:rFonts w:ascii="Arial" w:cs="Arial" w:eastAsia="Arial" w:hAnsi="Arial"/>
                  <w:sz w:val="18"/>
                  <w:szCs w:val="18"/>
                  <w:color w:val="0000EE"/>
                  <w:w w:val="91"/>
                </w:rPr>
                <w:t>Bylaws of Arcturus Therapeutics Holdings Inc. Incorporated by reference to Exhibit 3.2 to the Company’s Registration Statement on</w:t>
              </w:r>
            </w:hyperlink>
          </w:p>
        </w:tc>
        <w:tc>
          <w:tcPr>
            <w:tcW w:w="400" w:type="dxa"/>
            <w:vAlign w:val="bottom"/>
            <w:gridSpan w:val="1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50">
              <w:r>
                <w:rPr>
                  <w:rFonts w:ascii="Arial" w:cs="Arial" w:eastAsia="Arial" w:hAnsi="Arial"/>
                  <w:sz w:val="18"/>
                  <w:szCs w:val="18"/>
                  <w:color w:val="0000EE"/>
                  <w:w w:val="92"/>
                </w:rPr>
                <w:t>Form S-3, filed with the SEC on May 8, 2020 (File No. 333-238139).</w:t>
              </w:r>
            </w:hyperlink>
          </w:p>
        </w:tc>
        <w:tc>
          <w:tcPr>
            <w:tcW w:w="4960" w:type="dxa"/>
            <w:vAlign w:val="bottom"/>
            <w:gridSpan w:val="28"/>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700" w:type="dxa"/>
            <w:vAlign w:val="bottom"/>
            <w:tcBorders>
              <w:bottom w:val="single" w:sz="8" w:color="0000EE"/>
            </w:tcBorders>
            <w:gridSpan w:val="26"/>
          </w:tcPr>
          <w:p>
            <w:pP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Description of Registrant’s Securities. Incorporated by reference to Exhibit 4.1 to the Company’s Annual Report on Form 10-K for the</w:t>
              </w:r>
            </w:hyperlink>
          </w:p>
        </w:tc>
        <w:tc>
          <w:tcPr>
            <w:tcW w:w="280" w:type="dxa"/>
            <w:vAlign w:val="bottom"/>
            <w:gridSpan w:val="10"/>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year ended December 31, 2020 filed on March 1, 2020 (File No. 001-38942).</w:t>
              </w:r>
            </w:hyperlink>
          </w:p>
        </w:tc>
      </w:tr>
      <w:tr>
        <w:trPr>
          <w:trHeight w:val="20"/>
        </w:trPr>
        <w:tc>
          <w:tcPr>
            <w:tcW w:w="126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60" w:type="dxa"/>
            <w:vAlign w:val="bottom"/>
            <w:gridSpan w:val="2"/>
          </w:tcPr>
          <w:p>
            <w:pPr>
              <w:spacing w:after="0"/>
              <w:rPr>
                <w:sz w:val="20"/>
                <w:szCs w:val="20"/>
                <w:color w:val="auto"/>
              </w:rPr>
            </w:pPr>
            <w:r>
              <w:rPr>
                <w:rFonts w:ascii="Arial" w:cs="Arial" w:eastAsia="Arial" w:hAnsi="Arial"/>
                <w:sz w:val="18"/>
                <w:szCs w:val="18"/>
                <w:color w:val="auto"/>
              </w:rPr>
              <w:t>10.1†</w:t>
            </w:r>
          </w:p>
        </w:tc>
        <w:tc>
          <w:tcPr>
            <w:tcW w:w="9720" w:type="dxa"/>
            <w:vAlign w:val="bottom"/>
            <w:tcBorders>
              <w:bottom w:val="single" w:sz="8" w:color="0000EE"/>
            </w:tcBorders>
            <w:gridSpan w:val="27"/>
          </w:tcPr>
          <w:p>
            <w:pPr>
              <w:spacing w:after="0"/>
              <w:rPr>
                <w:rFonts w:ascii="Arial" w:cs="Arial" w:eastAsia="Arial" w:hAnsi="Arial"/>
                <w:sz w:val="18"/>
                <w:szCs w:val="18"/>
                <w:color w:val="0000EE"/>
                <w:w w:val="92"/>
              </w:rPr>
            </w:pPr>
            <w:hyperlink r:id="rId52">
              <w:r>
                <w:rPr>
                  <w:rFonts w:ascii="Arial" w:cs="Arial" w:eastAsia="Arial" w:hAnsi="Arial"/>
                  <w:sz w:val="18"/>
                  <w:szCs w:val="18"/>
                  <w:color w:val="0000EE"/>
                  <w:w w:val="92"/>
                </w:rPr>
                <w:t>Form of Indemnification Agreement. Incorporated by reference to Exhibit 10.1 to the Company’s Annual Report on Form 10-K for the</w:t>
              </w:r>
            </w:hyperlink>
          </w:p>
        </w:tc>
        <w:tc>
          <w:tcPr>
            <w:tcW w:w="260" w:type="dxa"/>
            <w:vAlign w:val="bottom"/>
            <w:gridSpan w:val="9"/>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52">
              <w:r>
                <w:rPr>
                  <w:rFonts w:ascii="Arial" w:cs="Arial" w:eastAsia="Arial" w:hAnsi="Arial"/>
                  <w:sz w:val="18"/>
                  <w:szCs w:val="18"/>
                  <w:color w:val="0000EE"/>
                  <w:w w:val="90"/>
                </w:rPr>
                <w:t>year ended December 31, 2019 filed on March 16, 2020 (File No. 001-38942).</w:t>
              </w:r>
            </w:hyperlink>
          </w:p>
        </w:tc>
        <w:tc>
          <w:tcPr>
            <w:tcW w:w="4320" w:type="dxa"/>
            <w:vAlign w:val="bottom"/>
            <w:gridSpan w:val="24"/>
          </w:tcPr>
          <w:p>
            <w:pPr>
              <w:spacing w:after="0"/>
              <w:rPr>
                <w:sz w:val="17"/>
                <w:szCs w:val="17"/>
                <w:color w:val="auto"/>
              </w:rPr>
            </w:pPr>
          </w:p>
        </w:tc>
      </w:tr>
      <w:tr>
        <w:trPr>
          <w:trHeight w:val="317"/>
        </w:trPr>
        <w:tc>
          <w:tcPr>
            <w:tcW w:w="1260" w:type="dxa"/>
            <w:vAlign w:val="bottom"/>
            <w:gridSpan w:val="2"/>
          </w:tcPr>
          <w:p>
            <w:pPr>
              <w:spacing w:after="0"/>
              <w:rPr>
                <w:sz w:val="20"/>
                <w:szCs w:val="20"/>
                <w:color w:val="auto"/>
              </w:rPr>
            </w:pPr>
            <w:r>
              <w:rPr>
                <w:rFonts w:ascii="Arial" w:cs="Arial" w:eastAsia="Arial" w:hAnsi="Arial"/>
                <w:sz w:val="18"/>
                <w:szCs w:val="18"/>
                <w:color w:val="auto"/>
              </w:rPr>
              <w:t>10.2†</w:t>
            </w:r>
          </w:p>
        </w:tc>
        <w:tc>
          <w:tcPr>
            <w:tcW w:w="9980" w:type="dxa"/>
            <w:vAlign w:val="bottom"/>
            <w:tcBorders>
              <w:bottom w:val="single" w:sz="8" w:color="0000EE"/>
            </w:tcBorders>
            <w:gridSpan w:val="36"/>
          </w:tcPr>
          <w:p>
            <w:pPr>
              <w:spacing w:after="0"/>
              <w:rPr>
                <w:rFonts w:ascii="Arial" w:cs="Arial" w:eastAsia="Arial" w:hAnsi="Arial"/>
                <w:sz w:val="18"/>
                <w:szCs w:val="18"/>
                <w:color w:val="0000EE"/>
                <w:w w:val="90"/>
              </w:rPr>
            </w:pPr>
            <w:hyperlink r:id="rId53">
              <w:r>
                <w:rPr>
                  <w:rFonts w:ascii="Arial" w:cs="Arial" w:eastAsia="Arial" w:hAnsi="Arial"/>
                  <w:sz w:val="18"/>
                  <w:szCs w:val="18"/>
                  <w:color w:val="0000EE"/>
                  <w:w w:val="90"/>
                </w:rPr>
                <w:t>Amended and Restated 2019 Omnibus Equity Incentive Plan. Incorporated by reference Exhibit 4.3 to the Registration Statement on Form</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S-8 filed on August 5, 2020 (File No. 001-38942).</w:t>
              </w:r>
            </w:hyperlink>
          </w:p>
        </w:tc>
      </w:tr>
      <w:tr>
        <w:trPr>
          <w:trHeight w:val="20"/>
        </w:trPr>
        <w:tc>
          <w:tcPr>
            <w:tcW w:w="126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60" w:type="dxa"/>
            <w:vAlign w:val="bottom"/>
            <w:gridSpan w:val="2"/>
          </w:tcPr>
          <w:p>
            <w:pPr>
              <w:spacing w:after="0"/>
              <w:rPr>
                <w:sz w:val="20"/>
                <w:szCs w:val="20"/>
                <w:color w:val="auto"/>
              </w:rPr>
            </w:pPr>
            <w:r>
              <w:rPr>
                <w:rFonts w:ascii="Arial" w:cs="Arial" w:eastAsia="Arial" w:hAnsi="Arial"/>
                <w:sz w:val="18"/>
                <w:szCs w:val="18"/>
                <w:color w:val="auto"/>
              </w:rPr>
              <w:t>10.3†</w:t>
            </w:r>
          </w:p>
        </w:tc>
        <w:tc>
          <w:tcPr>
            <w:tcW w:w="9500" w:type="dxa"/>
            <w:vAlign w:val="bottom"/>
            <w:tcBorders>
              <w:bottom w:val="single" w:sz="8" w:color="0000EE"/>
            </w:tcBorders>
            <w:gridSpan w:val="21"/>
          </w:tcPr>
          <w:p>
            <w:pPr>
              <w:spacing w:after="0"/>
              <w:rPr>
                <w:rFonts w:ascii="Arial" w:cs="Arial" w:eastAsia="Arial" w:hAnsi="Arial"/>
                <w:sz w:val="18"/>
                <w:szCs w:val="18"/>
                <w:color w:val="0000EE"/>
                <w:w w:val="90"/>
              </w:rPr>
            </w:pPr>
            <w:hyperlink r:id="rId54">
              <w:r>
                <w:rPr>
                  <w:rFonts w:ascii="Arial" w:cs="Arial" w:eastAsia="Arial" w:hAnsi="Arial"/>
                  <w:sz w:val="18"/>
                  <w:szCs w:val="18"/>
                  <w:color w:val="0000EE"/>
                  <w:w w:val="90"/>
                </w:rPr>
                <w:t>Arcturus Therapeutics Ltd. Amended and Restated Compensation Policy for Company Office Holders. Incorporated by reference to</w:t>
              </w:r>
            </w:hyperlink>
          </w:p>
        </w:tc>
        <w:tc>
          <w:tcPr>
            <w:tcW w:w="480" w:type="dxa"/>
            <w:vAlign w:val="bottom"/>
            <w:gridSpan w:val="1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Exhibit 99.2 to the Company’s Report of Foreign Private Issuer on Form 6-K filed on July 27, 2018 (File No. 001-35932).</w:t>
              </w:r>
            </w:hyperlink>
          </w:p>
        </w:tc>
        <w:tc>
          <w:tcPr>
            <w:tcW w:w="1180" w:type="dxa"/>
            <w:vAlign w:val="bottom"/>
            <w:gridSpan w:val="19"/>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200" w:type="dxa"/>
            <w:vAlign w:val="bottom"/>
            <w:tcBorders>
              <w:bottom w:val="single" w:sz="8" w:color="0000EE"/>
            </w:tcBorders>
            <w:gridSpan w:val="19"/>
          </w:tcPr>
          <w:p>
            <w:pPr>
              <w:spacing w:after="0"/>
              <w:rPr>
                <w:rFonts w:ascii="Arial" w:cs="Arial" w:eastAsia="Arial" w:hAnsi="Arial"/>
                <w:sz w:val="18"/>
                <w:szCs w:val="18"/>
                <w:color w:val="0000EE"/>
                <w:w w:val="90"/>
              </w:rPr>
            </w:pPr>
            <w:hyperlink r:id="rId55">
              <w:r>
                <w:rPr>
                  <w:rFonts w:ascii="Arial" w:cs="Arial" w:eastAsia="Arial" w:hAnsi="Arial"/>
                  <w:sz w:val="18"/>
                  <w:szCs w:val="18"/>
                  <w:color w:val="0000EE"/>
                  <w:w w:val="90"/>
                </w:rPr>
                <w:t>Loan and Security Agreement, dated October 12, 2018, by and between Western Alliance Bank and Arcturus Therapeutics, Inc.</w:t>
              </w:r>
            </w:hyperlink>
          </w:p>
        </w:tc>
        <w:tc>
          <w:tcPr>
            <w:tcW w:w="780" w:type="dxa"/>
            <w:vAlign w:val="bottom"/>
            <w:gridSpan w:val="1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w w:val="92"/>
              </w:rPr>
            </w:pPr>
            <w:hyperlink r:id="rId55">
              <w:r>
                <w:rPr>
                  <w:rFonts w:ascii="Arial" w:cs="Arial" w:eastAsia="Arial" w:hAnsi="Arial"/>
                  <w:sz w:val="18"/>
                  <w:szCs w:val="18"/>
                  <w:color w:val="0000EE"/>
                  <w:w w:val="92"/>
                </w:rPr>
                <w:t>Incorporated by reference to Exhibit 10.1 to the Company’s Report of Foreign Private Issuer on Form 6-K filed on October 15, 2018 (File</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55">
              <w:r>
                <w:rPr>
                  <w:rFonts w:ascii="Arial" w:cs="Arial" w:eastAsia="Arial" w:hAnsi="Arial"/>
                  <w:sz w:val="18"/>
                  <w:szCs w:val="18"/>
                  <w:color w:val="0000EE"/>
                  <w:w w:val="90"/>
                </w:rPr>
                <w:t>No. 001-35932).</w:t>
              </w:r>
            </w:hyperlink>
          </w:p>
        </w:tc>
        <w:tc>
          <w:tcPr>
            <w:tcW w:w="8720" w:type="dxa"/>
            <w:vAlign w:val="bottom"/>
            <w:tcBorders>
              <w:top w:val="single" w:sz="8" w:color="0000EE"/>
            </w:tcBorders>
            <w:gridSpan w:val="32"/>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9980" w:type="dxa"/>
            <w:vAlign w:val="bottom"/>
            <w:gridSpan w:val="36"/>
          </w:tcPr>
          <w:p>
            <w:pPr>
              <w:spacing w:after="0"/>
              <w:rPr>
                <w:rFonts w:ascii="Arial" w:cs="Arial" w:eastAsia="Arial" w:hAnsi="Arial"/>
                <w:sz w:val="18"/>
                <w:szCs w:val="18"/>
                <w:color w:val="0000EE"/>
                <w:w w:val="91"/>
              </w:rPr>
            </w:pPr>
            <w:hyperlink r:id="rId56">
              <w:r>
                <w:rPr>
                  <w:rFonts w:ascii="Arial" w:cs="Arial" w:eastAsia="Arial" w:hAnsi="Arial"/>
                  <w:sz w:val="18"/>
                  <w:szCs w:val="18"/>
                  <w:color w:val="0000EE"/>
                  <w:w w:val="91"/>
                </w:rPr>
                <w:t>Amended and Restated Amendment to Development and Option Agreement, dated as of September 28, 2018, by and between CureVac</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AG and Arcturus Therapeutics Inc. Incorporated by reference to Exhibit 99.2 to the Company’s Report of Foreign Private Issuer on Form</w:t>
              </w:r>
            </w:hyperlink>
          </w:p>
        </w:tc>
        <w:tc>
          <w:tcPr>
            <w:tcW w:w="8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56">
              <w:r>
                <w:rPr>
                  <w:rFonts w:ascii="Arial" w:cs="Arial" w:eastAsia="Arial" w:hAnsi="Arial"/>
                  <w:sz w:val="18"/>
                  <w:szCs w:val="18"/>
                  <w:color w:val="0000EE"/>
                  <w:w w:val="92"/>
                </w:rPr>
                <w:t>6-K filed on October 1, 2018 (File No. 001-35932).</w:t>
              </w:r>
            </w:hyperlink>
          </w:p>
        </w:tc>
        <w:tc>
          <w:tcPr>
            <w:tcW w:w="6260" w:type="dxa"/>
            <w:vAlign w:val="bottom"/>
            <w:gridSpan w:val="29"/>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9660" w:type="dxa"/>
            <w:vAlign w:val="bottom"/>
            <w:tcBorders>
              <w:bottom w:val="single" w:sz="8" w:color="0000EE"/>
            </w:tcBorders>
            <w:gridSpan w:val="24"/>
          </w:tcPr>
          <w:p>
            <w:pPr>
              <w:spacing w:after="0"/>
              <w:rPr>
                <w:rFonts w:ascii="Arial" w:cs="Arial" w:eastAsia="Arial" w:hAnsi="Arial"/>
                <w:sz w:val="18"/>
                <w:szCs w:val="18"/>
                <w:color w:val="0000EE"/>
                <w:w w:val="89"/>
              </w:rPr>
            </w:pPr>
            <w:hyperlink r:id="rId57">
              <w:r>
                <w:rPr>
                  <w:rFonts w:ascii="Arial" w:cs="Arial" w:eastAsia="Arial" w:hAnsi="Arial"/>
                  <w:sz w:val="18"/>
                  <w:szCs w:val="18"/>
                  <w:color w:val="0000EE"/>
                  <w:w w:val="89"/>
                </w:rPr>
                <w:t>Research Collaboration and License Agreement, by and between Arcturus Therapeutics, Inc. and Janssen Pharmaceuticals, Inc., dated</w:t>
              </w:r>
            </w:hyperlink>
          </w:p>
        </w:tc>
        <w:tc>
          <w:tcPr>
            <w:tcW w:w="320" w:type="dxa"/>
            <w:vAlign w:val="bottom"/>
            <w:gridSpan w:val="1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October 18, 2017. Incorporated by reference to Exhibit 4.7 to Form 20-F filed on May 14, 2018 (File No. 001-35932).</w:t>
              </w:r>
            </w:hyperlink>
          </w:p>
        </w:tc>
        <w:tc>
          <w:tcPr>
            <w:tcW w:w="1460" w:type="dxa"/>
            <w:vAlign w:val="bottom"/>
            <w:gridSpan w:val="20"/>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9920" w:type="dxa"/>
            <w:vAlign w:val="bottom"/>
            <w:tcBorders>
              <w:bottom w:val="single" w:sz="8" w:color="0000EE"/>
            </w:tcBorders>
            <w:gridSpan w:val="34"/>
          </w:tcPr>
          <w:p>
            <w:pPr>
              <w:spacing w:after="0"/>
              <w:rPr>
                <w:rFonts w:ascii="Arial" w:cs="Arial" w:eastAsia="Arial" w:hAnsi="Arial"/>
                <w:sz w:val="18"/>
                <w:szCs w:val="18"/>
                <w:color w:val="0000EE"/>
                <w:w w:val="90"/>
              </w:rPr>
            </w:pPr>
            <w:hyperlink r:id="rId58">
              <w:r>
                <w:rPr>
                  <w:rFonts w:ascii="Arial" w:cs="Arial" w:eastAsia="Arial" w:hAnsi="Arial"/>
                  <w:sz w:val="18"/>
                  <w:szCs w:val="18"/>
                  <w:color w:val="0000EE"/>
                  <w:w w:val="90"/>
                </w:rPr>
                <w:t>Research and Exclusive License Agreement, by and between Arcturus Therapeutics, Inc. and Synthetic Genomics, Inc., effective October</w:t>
              </w:r>
            </w:hyperlink>
          </w:p>
        </w:tc>
        <w:tc>
          <w:tcPr>
            <w:tcW w:w="6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24, 2017. Incorporated by reference to Exhibit 4.8 to Form 20-F filed on May 14, 2018 (File No. 001-35932).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7"/>
        </w:trPr>
        <w:tc>
          <w:tcPr>
            <w:tcW w:w="114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9980" w:type="dxa"/>
            <w:vAlign w:val="bottom"/>
            <w:gridSpan w:val="36"/>
          </w:tcPr>
          <w:p>
            <w:pPr>
              <w:spacing w:after="0"/>
              <w:rPr>
                <w:rFonts w:ascii="Arial" w:cs="Arial" w:eastAsia="Arial" w:hAnsi="Arial"/>
                <w:sz w:val="18"/>
                <w:szCs w:val="18"/>
                <w:color w:val="0000EE"/>
                <w:w w:val="93"/>
              </w:rPr>
            </w:pPr>
            <w:hyperlink r:id="rId59">
              <w:r>
                <w:rPr>
                  <w:rFonts w:ascii="Arial" w:cs="Arial" w:eastAsia="Arial" w:hAnsi="Arial"/>
                  <w:sz w:val="18"/>
                  <w:szCs w:val="18"/>
                  <w:color w:val="0000EE"/>
                  <w:w w:val="93"/>
                </w:rPr>
                <w:t>Research Agreement, by and between Arcturus Therapeutics, Inc. and Millennium Pharmaceuticals, Inc., a wholly-owned subsidiary of</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tcBorders>
              <w:top w:val="single" w:sz="8" w:color="0000EE"/>
            </w:tcBorders>
            <w:gridSpan w:val="29"/>
          </w:tcPr>
          <w:p>
            <w:pPr>
              <w:spacing w:after="0" w:line="196"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Takeda Pharmaceutical Company Limited, effective December 6, 2016, as amended December 21, 2017. Incorporated by reference to</w:t>
              </w:r>
            </w:hyperlink>
          </w:p>
        </w:tc>
        <w:tc>
          <w:tcPr>
            <w:tcW w:w="22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Exhibit 4.9 to Form 20-F filed on May 14, 2018 (File No. 001-35932).</w:t>
              </w:r>
            </w:hyperlink>
          </w:p>
        </w:tc>
        <w:tc>
          <w:tcPr>
            <w:tcW w:w="340" w:type="dxa"/>
            <w:vAlign w:val="bottom"/>
            <w:gridSpan w:val="1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9940" w:type="dxa"/>
            <w:vAlign w:val="bottom"/>
            <w:tcBorders>
              <w:bottom w:val="single" w:sz="8" w:color="0000EE"/>
            </w:tcBorders>
            <w:gridSpan w:val="35"/>
          </w:tcPr>
          <w:p>
            <w:pPr>
              <w:spacing w:after="0"/>
              <w:rPr>
                <w:rFonts w:ascii="Arial" w:cs="Arial" w:eastAsia="Arial" w:hAnsi="Arial"/>
                <w:sz w:val="18"/>
                <w:szCs w:val="18"/>
                <w:color w:val="0000EE"/>
                <w:w w:val="90"/>
              </w:rPr>
            </w:pPr>
            <w:hyperlink r:id="rId60">
              <w:r>
                <w:rPr>
                  <w:rFonts w:ascii="Arial" w:cs="Arial" w:eastAsia="Arial" w:hAnsi="Arial"/>
                  <w:sz w:val="18"/>
                  <w:szCs w:val="18"/>
                  <w:color w:val="0000EE"/>
                  <w:w w:val="90"/>
                </w:rPr>
                <w:t>Research Collaboration and License Agreement, by and between Arcturus Therapeutics, Inc. and Ultragenyx Pharmaceutical Inc., entered</w:t>
              </w:r>
            </w:hyperlink>
          </w:p>
        </w:tc>
        <w:tc>
          <w:tcPr>
            <w:tcW w:w="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w w:val="93"/>
              </w:rPr>
            </w:pPr>
            <w:hyperlink r:id="rId60">
              <w:r>
                <w:rPr>
                  <w:rFonts w:ascii="Arial" w:cs="Arial" w:eastAsia="Arial" w:hAnsi="Arial"/>
                  <w:sz w:val="18"/>
                  <w:szCs w:val="18"/>
                  <w:color w:val="0000EE"/>
                  <w:w w:val="93"/>
                </w:rPr>
                <w:t>into as of October 26, 2015, as amended October 17, 2017 and April 20, 2018. Incorporated by reference to Exhibit 4.10 to Form 20-F</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60">
              <w:r>
                <w:rPr>
                  <w:rFonts w:ascii="Arial" w:cs="Arial" w:eastAsia="Arial" w:hAnsi="Arial"/>
                  <w:sz w:val="18"/>
                  <w:szCs w:val="18"/>
                  <w:color w:val="0000EE"/>
                  <w:w w:val="92"/>
                </w:rPr>
                <w:t>filed on May 14, 2018 (File No. 001-35932).</w:t>
              </w:r>
            </w:hyperlink>
          </w:p>
        </w:tc>
        <w:tc>
          <w:tcPr>
            <w:tcW w:w="6440" w:type="dxa"/>
            <w:vAlign w:val="bottom"/>
            <w:tcBorders>
              <w:top w:val="single" w:sz="8" w:color="0000EE"/>
            </w:tcBorders>
            <w:gridSpan w:val="21"/>
          </w:tcPr>
          <w:p>
            <w:pPr>
              <w:spacing w:after="0"/>
              <w:rPr>
                <w:sz w:val="17"/>
                <w:szCs w:val="17"/>
                <w:color w:val="auto"/>
              </w:rPr>
            </w:pPr>
          </w:p>
        </w:tc>
        <w:tc>
          <w:tcPr>
            <w:tcW w:w="300" w:type="dxa"/>
            <w:vAlign w:val="bottom"/>
            <w:gridSpan w:val="11"/>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9980" w:type="dxa"/>
            <w:vAlign w:val="bottom"/>
            <w:gridSpan w:val="36"/>
          </w:tcPr>
          <w:p>
            <w:pPr>
              <w:spacing w:after="0"/>
              <w:rPr>
                <w:rFonts w:ascii="Arial" w:cs="Arial" w:eastAsia="Arial" w:hAnsi="Arial"/>
                <w:sz w:val="18"/>
                <w:szCs w:val="18"/>
                <w:color w:val="0000EE"/>
                <w:w w:val="96"/>
              </w:rPr>
            </w:pPr>
            <w:hyperlink r:id="rId61">
              <w:r>
                <w:rPr>
                  <w:rFonts w:ascii="Arial" w:cs="Arial" w:eastAsia="Arial" w:hAnsi="Arial"/>
                  <w:sz w:val="18"/>
                  <w:szCs w:val="18"/>
                  <w:color w:val="0000EE"/>
                  <w:w w:val="96"/>
                </w:rPr>
                <w:t>Third Amendment to Research Collaboration and License Agreement, by and between Arcturus Therapeutics, Inc. and Ultragenyx</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500" w:type="dxa"/>
            <w:vAlign w:val="bottom"/>
            <w:gridSpan w:val="1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960" w:type="dxa"/>
            <w:vAlign w:val="bottom"/>
            <w:gridSpan w:val="6"/>
            <w:shd w:val="clear" w:color="auto" w:fill="0000EE"/>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Pharmaceutical Inc., effective June 18, 2019. Incorporated by reference to Exhibit 10.2 to Form 8-K filed on June 20, 2019 (File No. 001-</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61">
              <w:r>
                <w:rPr>
                  <w:rFonts w:ascii="Arial" w:cs="Arial" w:eastAsia="Arial" w:hAnsi="Arial"/>
                  <w:sz w:val="18"/>
                  <w:szCs w:val="18"/>
                  <w:color w:val="0000EE"/>
                  <w:w w:val="88"/>
                </w:rPr>
                <w:t>38942).</w:t>
              </w:r>
            </w:hyperlink>
          </w:p>
        </w:tc>
        <w:tc>
          <w:tcPr>
            <w:tcW w:w="6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17"/>
        </w:trPr>
        <w:tc>
          <w:tcPr>
            <w:tcW w:w="114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9840" w:type="dxa"/>
            <w:vAlign w:val="bottom"/>
            <w:tcBorders>
              <w:bottom w:val="single" w:sz="8" w:color="0000EE"/>
            </w:tcBorders>
            <w:gridSpan w:val="31"/>
          </w:tcPr>
          <w:p>
            <w:pPr>
              <w:spacing w:after="0"/>
              <w:rPr>
                <w:rFonts w:ascii="Arial" w:cs="Arial" w:eastAsia="Arial" w:hAnsi="Arial"/>
                <w:sz w:val="18"/>
                <w:szCs w:val="18"/>
                <w:color w:val="0000EE"/>
                <w:w w:val="90"/>
              </w:rPr>
            </w:pPr>
            <w:hyperlink r:id="rId62">
              <w:r>
                <w:rPr>
                  <w:rFonts w:ascii="Arial" w:cs="Arial" w:eastAsia="Arial" w:hAnsi="Arial"/>
                  <w:sz w:val="18"/>
                  <w:szCs w:val="18"/>
                  <w:color w:val="0000EE"/>
                  <w:w w:val="90"/>
                </w:rPr>
                <w:t>Letter Agreement, by and between Arcturus Therapeutics, Inc. and the Cystic Fibrosis Foundation, dated May 16, 2017. Incorporated by</w:t>
              </w:r>
            </w:hyperlink>
          </w:p>
        </w:tc>
        <w:tc>
          <w:tcPr>
            <w:tcW w:w="14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reference to Exhibit 4.11 to Form 20-F filed on May 14, 2018 (File No. 001-35932).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60" w:type="dxa"/>
            <w:vAlign w:val="bottom"/>
            <w:gridSpan w:val="1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20" w:type="dxa"/>
            <w:vAlign w:val="bottom"/>
            <w:gridSpan w:val="1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9980" w:type="dxa"/>
            <w:vAlign w:val="bottom"/>
            <w:gridSpan w:val="36"/>
          </w:tcPr>
          <w:p>
            <w:pPr>
              <w:spacing w:after="0"/>
              <w:rPr>
                <w:rFonts w:ascii="Arial" w:cs="Arial" w:eastAsia="Arial" w:hAnsi="Arial"/>
                <w:sz w:val="18"/>
                <w:szCs w:val="18"/>
                <w:color w:val="0000EE"/>
                <w:w w:val="91"/>
              </w:rPr>
            </w:pPr>
            <w:hyperlink r:id="rId63">
              <w:r>
                <w:rPr>
                  <w:rFonts w:ascii="Arial" w:cs="Arial" w:eastAsia="Arial" w:hAnsi="Arial"/>
                  <w:sz w:val="18"/>
                  <w:szCs w:val="18"/>
                  <w:color w:val="0000EE"/>
                  <w:w w:val="91"/>
                </w:rPr>
                <w:t>Amendment No. 2 to Letter Agreement, by and between Arcturus Therapeutics, Inc. and the Cystic Fibrosis Foundation, dated August 1,</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2019. Incorporated by reference to Exhibit 10.16 to Form 10-Q filed on August 14, 2019.</w:t>
              </w:r>
            </w:hyperlink>
          </w:p>
        </w:tc>
        <w:tc>
          <w:tcPr>
            <w:tcW w:w="120" w:type="dxa"/>
            <w:vAlign w:val="bottom"/>
            <w:gridSpan w:val="4"/>
          </w:tcPr>
          <w:p>
            <w:pPr>
              <w:spacing w:after="0"/>
              <w:rPr>
                <w:sz w:val="17"/>
                <w:szCs w:val="17"/>
                <w:color w:val="auto"/>
              </w:rPr>
            </w:pPr>
          </w:p>
        </w:tc>
      </w:tr>
      <w:tr>
        <w:trPr>
          <w:trHeight w:val="453"/>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tcBorders>
              <w:top w:val="single" w:sz="8" w:color="0000EE"/>
            </w:tcBorders>
            <w:gridSpan w:val="8"/>
          </w:tcPr>
          <w:p>
            <w:pPr>
              <w:ind w:left="4280"/>
              <w:spacing w:after="0"/>
              <w:rPr>
                <w:sz w:val="20"/>
                <w:szCs w:val="20"/>
                <w:color w:val="auto"/>
              </w:rPr>
            </w:pPr>
            <w:r>
              <w:rPr>
                <w:rFonts w:ascii="Arial" w:cs="Arial" w:eastAsia="Arial" w:hAnsi="Arial"/>
                <w:sz w:val="18"/>
                <w:szCs w:val="18"/>
                <w:color w:val="auto"/>
              </w:rPr>
              <w:t>26</w:t>
            </w: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9780" w:type="dxa"/>
            <w:vAlign w:val="bottom"/>
            <w:tcBorders>
              <w:bottom w:val="single" w:sz="8" w:color="0000EE"/>
            </w:tcBorders>
            <w:gridSpan w:val="27"/>
          </w:tcPr>
          <w:p>
            <w:pPr>
              <w:spacing w:after="0"/>
              <w:rPr>
                <w:rFonts w:ascii="Arial" w:cs="Arial" w:eastAsia="Arial" w:hAnsi="Arial"/>
                <w:sz w:val="18"/>
                <w:szCs w:val="18"/>
                <w:color w:val="0000EE"/>
                <w:w w:val="89"/>
              </w:rPr>
            </w:pPr>
            <w:hyperlink r:id="rId66">
              <w:r>
                <w:rPr>
                  <w:rFonts w:ascii="Arial" w:cs="Arial" w:eastAsia="Arial" w:hAnsi="Arial"/>
                  <w:sz w:val="18"/>
                  <w:szCs w:val="18"/>
                  <w:color w:val="0000EE"/>
                  <w:w w:val="89"/>
                </w:rPr>
                <w:t>Development and Option Agreement, by and between Arcturus Therapeutics, Inc. and CureVac AG, dated January 1, 2018, as amended</w:t>
              </w:r>
            </w:hyperlink>
          </w:p>
        </w:tc>
        <w:tc>
          <w:tcPr>
            <w:tcW w:w="200" w:type="dxa"/>
            <w:vAlign w:val="bottom"/>
            <w:gridSpan w:val="9"/>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May 3, 2018. Incorporated by reference to Exhibit 4.12 to Form 20-F filed on May 14, 2018 (File No. 001-35932).</w:t>
              </w:r>
            </w:hyperlink>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9840" w:type="dxa"/>
            <w:vAlign w:val="bottom"/>
            <w:tcBorders>
              <w:bottom w:val="single" w:sz="8" w:color="0000EE"/>
            </w:tcBorders>
            <w:gridSpan w:val="30"/>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Third Amendment to Development and Option Agreement, by and between Arcturus Therapeutics, Inc. and CureVac AG, dated July 26,</w:t>
              </w:r>
            </w:hyperlink>
          </w:p>
        </w:tc>
        <w:tc>
          <w:tcPr>
            <w:tcW w:w="14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80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2019. Incorporated by reference to Exhibit 10.20 to Form 10-Q filed on August 14, 2019 (File No. 001-38942).</w:t>
              </w:r>
            </w:hyperlink>
          </w:p>
        </w:tc>
        <w:tc>
          <w:tcPr>
            <w:tcW w:w="1960" w:type="dxa"/>
            <w:vAlign w:val="bottom"/>
            <w:gridSpan w:val="25"/>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10.15**</w:t>
            </w:r>
          </w:p>
        </w:tc>
        <w:tc>
          <w:tcPr>
            <w:tcW w:w="9860" w:type="dxa"/>
            <w:vAlign w:val="bottom"/>
            <w:tcBorders>
              <w:bottom w:val="single" w:sz="8" w:color="0000EE"/>
            </w:tcBorders>
            <w:gridSpan w:val="31"/>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Co-Development and Co-Commercialization Agreement, by and between Arcturus Therapeutics, Inc. and CureVac AG, dated January 1,</w:t>
              </w:r>
            </w:hyperlink>
          </w:p>
        </w:tc>
        <w:tc>
          <w:tcPr>
            <w:tcW w:w="12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2018. Incorporated by reference to Exhibit 4.13 to Form 20-F filed on May 14, 2018 (File No. 001-35932).</w:t>
              </w:r>
            </w:hyperlink>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10.16</w:t>
            </w:r>
          </w:p>
        </w:tc>
        <w:tc>
          <w:tcPr>
            <w:tcW w:w="9980" w:type="dxa"/>
            <w:vAlign w:val="bottom"/>
            <w:gridSpan w:val="36"/>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Termination Agreement, by and between Arcturus Therapeutics, Inc. and CureVac AG, dated July 26, 2019. Incorporated by reference to</w:t>
              </w:r>
            </w:hyperlink>
          </w:p>
        </w:tc>
      </w:tr>
      <w:tr>
        <w:trPr>
          <w:trHeight w:val="196"/>
        </w:trPr>
        <w:tc>
          <w:tcPr>
            <w:tcW w:w="1260" w:type="dxa"/>
            <w:vAlign w:val="bottom"/>
          </w:tcPr>
          <w:p>
            <w:pPr>
              <w:spacing w:after="0"/>
              <w:rPr>
                <w:sz w:val="17"/>
                <w:szCs w:val="17"/>
                <w:color w:val="auto"/>
              </w:rPr>
            </w:pPr>
          </w:p>
        </w:tc>
        <w:tc>
          <w:tcPr>
            <w:tcW w:w="986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Exhibit 10.21 to Form 10-Q filed on August 14, 2019 (File No. 001-38942).</w:t>
              </w:r>
            </w:hyperlink>
          </w:p>
        </w:tc>
        <w:tc>
          <w:tcPr>
            <w:tcW w:w="120" w:type="dxa"/>
            <w:vAlign w:val="bottom"/>
            <w:gridSpan w:val="5"/>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10.17**</w:t>
            </w:r>
          </w:p>
        </w:tc>
        <w:tc>
          <w:tcPr>
            <w:tcW w:w="9040" w:type="dxa"/>
            <w:vAlign w:val="bottom"/>
            <w:tcBorders>
              <w:bottom w:val="single" w:sz="8" w:color="0000EE"/>
            </w:tcBorders>
            <w:gridSpan w:val="16"/>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License Agreement, by and between Arcturus Therapeutics, Inc., as successor-in-interest to Marina Biotech, Inc., and Protiva</w:t>
              </w:r>
            </w:hyperlink>
          </w:p>
        </w:tc>
        <w:tc>
          <w:tcPr>
            <w:tcW w:w="940" w:type="dxa"/>
            <w:vAlign w:val="bottom"/>
            <w:gridSpan w:val="2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6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Biotherapeutics Inc., dated as of November 28, 2012. Incorporated by reference to Exhibit 4.14 to Form 20-F/A filed on July 10, 2018</w:t>
              </w:r>
            </w:hyperlink>
          </w:p>
        </w:tc>
        <w:tc>
          <w:tcPr>
            <w:tcW w:w="300" w:type="dxa"/>
            <w:vAlign w:val="bottom"/>
            <w:gridSpan w:val="1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(File No. 001-35932).</w:t>
              </w:r>
            </w:hyperlink>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10.18**</w:t>
            </w:r>
          </w:p>
        </w:tc>
        <w:tc>
          <w:tcPr>
            <w:tcW w:w="9820" w:type="dxa"/>
            <w:vAlign w:val="bottom"/>
            <w:tcBorders>
              <w:bottom w:val="single" w:sz="8" w:color="0000EE"/>
            </w:tcBorders>
            <w:gridSpan w:val="29"/>
          </w:tcPr>
          <w:p>
            <w:pPr>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Patent Assignment and License Agreement, by and between Arcturus Therapeutics, Inc. and Marina Biotech, Inc., dated as of August 9,</w:t>
              </w:r>
            </w:hyperlink>
          </w:p>
        </w:tc>
        <w:tc>
          <w:tcPr>
            <w:tcW w:w="16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2013. Incorporated by reference to Exhibit 4.15 to Form 20-F filed on May 14, 2018 (File No. 001-35932).</w:t>
              </w:r>
            </w:hyperlink>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10.19</w:t>
            </w:r>
          </w:p>
        </w:tc>
        <w:tc>
          <w:tcPr>
            <w:tcW w:w="9980" w:type="dxa"/>
            <w:vAlign w:val="bottom"/>
            <w:gridSpan w:val="36"/>
          </w:tcPr>
          <w:p>
            <w:pPr>
              <w:spacing w:after="0"/>
              <w:rPr>
                <w:rFonts w:ascii="Arial" w:cs="Arial" w:eastAsia="Arial" w:hAnsi="Arial"/>
                <w:sz w:val="18"/>
                <w:szCs w:val="18"/>
                <w:color w:val="0000EE"/>
                <w:w w:val="95"/>
              </w:rPr>
            </w:pPr>
            <w:hyperlink r:id="rId72">
              <w:r>
                <w:rPr>
                  <w:rFonts w:ascii="Arial" w:cs="Arial" w:eastAsia="Arial" w:hAnsi="Arial"/>
                  <w:sz w:val="18"/>
                  <w:szCs w:val="18"/>
                  <w:color w:val="0000EE"/>
                  <w:w w:val="95"/>
                </w:rPr>
                <w:t>Share Exchange Agreement, dated as of February 11, 2019, by and between Arcturus Therapeutics Ltd. and Arcturus Therapeutics</w:t>
              </w:r>
            </w:hyperlink>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w w:val="93"/>
              </w:rPr>
            </w:pPr>
            <w:hyperlink r:id="rId72">
              <w:r>
                <w:rPr>
                  <w:rFonts w:ascii="Arial" w:cs="Arial" w:eastAsia="Arial" w:hAnsi="Arial"/>
                  <w:sz w:val="18"/>
                  <w:szCs w:val="18"/>
                  <w:color w:val="0000EE"/>
                  <w:w w:val="93"/>
                </w:rPr>
                <w:t>Holdings Inc. Incorporated by reference to Exhibit 10.13 to the Company’s Annual Report on Form 10-K for the year ended December</w:t>
              </w:r>
            </w:hyperlink>
          </w:p>
        </w:tc>
      </w:tr>
      <w:tr>
        <w:trPr>
          <w:trHeight w:val="196"/>
        </w:trPr>
        <w:tc>
          <w:tcPr>
            <w:tcW w:w="1260" w:type="dxa"/>
            <w:vAlign w:val="bottom"/>
          </w:tcPr>
          <w:p>
            <w:pPr>
              <w:spacing w:after="0"/>
              <w:rPr>
                <w:sz w:val="17"/>
                <w:szCs w:val="17"/>
                <w:color w:val="auto"/>
              </w:rPr>
            </w:pPr>
          </w:p>
        </w:tc>
        <w:tc>
          <w:tcPr>
            <w:tcW w:w="97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31, 2018 filed on March 18, 2019 (File No. 001-35932).</w:t>
              </w:r>
            </w:hyperlink>
          </w:p>
        </w:tc>
        <w:tc>
          <w:tcPr>
            <w:tcW w:w="260" w:type="dxa"/>
            <w:vAlign w:val="bottom"/>
            <w:gridSpan w:val="11"/>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10.20**</w:t>
            </w:r>
          </w:p>
        </w:tc>
        <w:tc>
          <w:tcPr>
            <w:tcW w:w="9980" w:type="dxa"/>
            <w:vAlign w:val="bottom"/>
            <w:gridSpan w:val="36"/>
          </w:tcPr>
          <w:p>
            <w:pPr>
              <w:spacing w:after="0"/>
              <w:rPr>
                <w:rFonts w:ascii="Arial" w:cs="Arial" w:eastAsia="Arial" w:hAnsi="Arial"/>
                <w:sz w:val="18"/>
                <w:szCs w:val="18"/>
                <w:color w:val="0000EE"/>
                <w:w w:val="89"/>
              </w:rPr>
            </w:pPr>
            <w:hyperlink r:id="rId73">
              <w:r>
                <w:rPr>
                  <w:rFonts w:ascii="Arial" w:cs="Arial" w:eastAsia="Arial" w:hAnsi="Arial"/>
                  <w:sz w:val="18"/>
                  <w:szCs w:val="18"/>
                  <w:color w:val="0000EE"/>
                  <w:w w:val="89"/>
                </w:rPr>
                <w:t>Amended and Restated Joint Venture, Research Collaboration and License Agreement, dated as of July 14, 2018 by and between Arcturus</w:t>
              </w:r>
            </w:hyperlink>
          </w:p>
        </w:tc>
      </w:tr>
      <w:tr>
        <w:trPr>
          <w:trHeight w:val="196"/>
        </w:trPr>
        <w:tc>
          <w:tcPr>
            <w:tcW w:w="1260" w:type="dxa"/>
            <w:vAlign w:val="bottom"/>
          </w:tcPr>
          <w:p>
            <w:pPr>
              <w:spacing w:after="0"/>
              <w:rPr>
                <w:sz w:val="17"/>
                <w:szCs w:val="17"/>
                <w:color w:val="auto"/>
              </w:rPr>
            </w:pPr>
          </w:p>
        </w:tc>
        <w:tc>
          <w:tcPr>
            <w:tcW w:w="9940" w:type="dxa"/>
            <w:vAlign w:val="bottom"/>
            <w:tcBorders>
              <w:top w:val="single" w:sz="8" w:color="0000EE"/>
            </w:tcBorders>
            <w:gridSpan w:val="34"/>
          </w:tcPr>
          <w:p>
            <w:pPr>
              <w:spacing w:after="0" w:line="196" w:lineRule="exact"/>
              <w:rPr>
                <w:rFonts w:ascii="Arial" w:cs="Arial" w:eastAsia="Arial" w:hAnsi="Arial"/>
                <w:sz w:val="18"/>
                <w:szCs w:val="18"/>
                <w:color w:val="0000EE"/>
                <w:w w:val="92"/>
              </w:rPr>
            </w:pPr>
            <w:hyperlink r:id="rId73">
              <w:r>
                <w:rPr>
                  <w:rFonts w:ascii="Arial" w:cs="Arial" w:eastAsia="Arial" w:hAnsi="Arial"/>
                  <w:sz w:val="18"/>
                  <w:szCs w:val="18"/>
                  <w:color w:val="0000EE"/>
                  <w:w w:val="92"/>
                </w:rPr>
                <w:t>Therapeutics, Inc. and Providence Therapeutics, Inc. Incorporated by reference to Exhibit 10.14 to the Company’s Amendment No. 1 to</w:t>
              </w:r>
            </w:hyperlink>
          </w:p>
        </w:tc>
        <w:tc>
          <w:tcPr>
            <w:tcW w:w="4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82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Annual Report on Form 10-K for the year ended December 31, 2018 filed on April 10, 2019 (File No. 001-35932).</w:t>
              </w:r>
            </w:hyperlink>
          </w:p>
        </w:tc>
        <w:tc>
          <w:tcPr>
            <w:tcW w:w="1500" w:type="dxa"/>
            <w:vAlign w:val="bottom"/>
            <w:tcBorders>
              <w:top w:val="single" w:sz="8" w:color="0000EE"/>
            </w:tcBorders>
            <w:gridSpan w:val="14"/>
          </w:tcPr>
          <w:p>
            <w:pPr>
              <w:spacing w:after="0"/>
              <w:rPr>
                <w:sz w:val="17"/>
                <w:szCs w:val="17"/>
                <w:color w:val="auto"/>
              </w:rPr>
            </w:pPr>
          </w:p>
        </w:tc>
        <w:tc>
          <w:tcPr>
            <w:tcW w:w="200" w:type="dxa"/>
            <w:vAlign w:val="bottom"/>
            <w:gridSpan w:val="9"/>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10.21**</w:t>
            </w:r>
          </w:p>
        </w:tc>
        <w:tc>
          <w:tcPr>
            <w:tcW w:w="8900" w:type="dxa"/>
            <w:vAlign w:val="bottom"/>
            <w:tcBorders>
              <w:bottom w:val="single" w:sz="8" w:color="0000EE"/>
            </w:tcBorders>
            <w:gridSpan w:val="15"/>
          </w:tcPr>
          <w:p>
            <w:pPr>
              <w:spacing w:after="0"/>
              <w:rPr>
                <w:rFonts w:ascii="Arial" w:cs="Arial" w:eastAsia="Arial" w:hAnsi="Arial"/>
                <w:sz w:val="18"/>
                <w:szCs w:val="18"/>
                <w:color w:val="0000EE"/>
                <w:w w:val="90"/>
              </w:rPr>
            </w:pPr>
            <w:hyperlink r:id="rId74">
              <w:r>
                <w:rPr>
                  <w:rFonts w:ascii="Arial" w:cs="Arial" w:eastAsia="Arial" w:hAnsi="Arial"/>
                  <w:sz w:val="18"/>
                  <w:szCs w:val="18"/>
                  <w:color w:val="0000EE"/>
                  <w:w w:val="90"/>
                </w:rPr>
                <w:t>Research Collaboration Agreement, dated as of March 8, 2019 by and between Arcturus Therapeutics, Inc. and Millennium</w:t>
              </w:r>
            </w:hyperlink>
          </w:p>
        </w:tc>
        <w:tc>
          <w:tcPr>
            <w:tcW w:w="1080" w:type="dxa"/>
            <w:vAlign w:val="bottom"/>
            <w:gridSpan w:val="2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w w:val="95"/>
              </w:rPr>
            </w:pPr>
            <w:hyperlink r:id="rId74">
              <w:r>
                <w:rPr>
                  <w:rFonts w:ascii="Arial" w:cs="Arial" w:eastAsia="Arial" w:hAnsi="Arial"/>
                  <w:sz w:val="18"/>
                  <w:szCs w:val="18"/>
                  <w:color w:val="0000EE"/>
                  <w:w w:val="95"/>
                </w:rPr>
                <w:t>Pharmaceuticals, Inc., a wholly-owned subsidiary of Takeda Pharmaceutical Company Limited. Incorporated by reference to Exhibit</w:t>
              </w:r>
            </w:hyperlink>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w w:val="95"/>
              </w:rPr>
            </w:pPr>
            <w:hyperlink r:id="rId74">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15</w:t>
              </w:r>
              <w:r>
                <w:rPr>
                  <w:rFonts w:ascii="Arial" w:cs="Arial" w:eastAsia="Arial" w:hAnsi="Arial"/>
                  <w:sz w:val="18"/>
                  <w:szCs w:val="18"/>
                  <w:color w:val="0000EE"/>
                  <w:w w:val="95"/>
                </w:rPr>
                <w:t xml:space="preserve"> to the Company’s Annual Report on Form 10-K for the year ended December 31, 2018 filed on March 18, 2019 (File No. 001-</w:t>
              </w:r>
            </w:hyperlink>
          </w:p>
        </w:tc>
      </w:tr>
      <w:tr>
        <w:trPr>
          <w:trHeight w:val="196"/>
        </w:trPr>
        <w:tc>
          <w:tcPr>
            <w:tcW w:w="126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74">
              <w:r>
                <w:rPr>
                  <w:rFonts w:ascii="Arial" w:cs="Arial" w:eastAsia="Arial" w:hAnsi="Arial"/>
                  <w:sz w:val="18"/>
                  <w:szCs w:val="18"/>
                  <w:color w:val="0000EE"/>
                  <w:w w:val="88"/>
                </w:rPr>
                <w:t>35932).</w:t>
              </w:r>
            </w:hyperlink>
          </w:p>
        </w:tc>
        <w:tc>
          <w:tcPr>
            <w:tcW w:w="10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10.22</w:t>
            </w:r>
          </w:p>
        </w:tc>
        <w:tc>
          <w:tcPr>
            <w:tcW w:w="9960" w:type="dxa"/>
            <w:vAlign w:val="bottom"/>
            <w:tcBorders>
              <w:bottom w:val="single" w:sz="8" w:color="0000EE"/>
            </w:tcBorders>
            <w:gridSpan w:val="35"/>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Lease Agreement, by and between Arcturus Therapeutics, Inc. and ARE-SD Region No. 44, LLC, dated October 4, 2017. Incorporated by</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reference to Exhibit 4.6 to Form 20-F filed on May 14, 2018 (File No. 001-35932).</w:t>
              </w:r>
            </w:hyperlink>
          </w:p>
        </w:tc>
      </w:tr>
      <w:tr>
        <w:trPr>
          <w:trHeight w:val="20"/>
        </w:trPr>
        <w:tc>
          <w:tcPr>
            <w:tcW w:w="126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10.23</w:t>
            </w:r>
          </w:p>
        </w:tc>
        <w:tc>
          <w:tcPr>
            <w:tcW w:w="9620" w:type="dxa"/>
            <w:vAlign w:val="bottom"/>
            <w:tcBorders>
              <w:bottom w:val="single" w:sz="8" w:color="0000EE"/>
            </w:tcBorders>
            <w:gridSpan w:val="21"/>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First Amendment to Lease Agreement, by and between Arcturus Therapeutics Holdings Inc. and ARE-SD Region No. 44, LLC dated</w:t>
              </w:r>
            </w:hyperlink>
          </w:p>
        </w:tc>
        <w:tc>
          <w:tcPr>
            <w:tcW w:w="360" w:type="dxa"/>
            <w:vAlign w:val="bottom"/>
            <w:gridSpan w:val="1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w w:val="98"/>
              </w:rPr>
            </w:pPr>
            <w:hyperlink r:id="rId76">
              <w:r>
                <w:rPr>
                  <w:rFonts w:ascii="Arial" w:cs="Arial" w:eastAsia="Arial" w:hAnsi="Arial"/>
                  <w:sz w:val="18"/>
                  <w:szCs w:val="18"/>
                  <w:color w:val="0000EE"/>
                  <w:w w:val="98"/>
                </w:rPr>
                <w:t>February 1, 2020. Incorporated by reference to Exhibit 10.23 to the Company’s Annual Report on Form 10-K for the year ended</w:t>
              </w:r>
            </w:hyperlink>
          </w:p>
        </w:tc>
      </w:tr>
      <w:tr>
        <w:trPr>
          <w:trHeight w:val="196"/>
        </w:trPr>
        <w:tc>
          <w:tcPr>
            <w:tcW w:w="1260" w:type="dxa"/>
            <w:vAlign w:val="bottom"/>
          </w:tcPr>
          <w:p>
            <w:pPr>
              <w:spacing w:after="0"/>
              <w:rPr>
                <w:sz w:val="17"/>
                <w:szCs w:val="17"/>
                <w:color w:val="auto"/>
              </w:rPr>
            </w:pPr>
          </w:p>
        </w:tc>
        <w:tc>
          <w:tcPr>
            <w:tcW w:w="48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December 31, 2019 filed on March 16, 2020 (File No. 001-38942).</w:t>
              </w:r>
            </w:hyperlink>
          </w:p>
        </w:tc>
        <w:tc>
          <w:tcPr>
            <w:tcW w:w="4400" w:type="dxa"/>
            <w:vAlign w:val="bottom"/>
            <w:tcBorders>
              <w:top w:val="single" w:sz="8" w:color="0000EE"/>
            </w:tcBorders>
            <w:gridSpan w:val="10"/>
          </w:tcPr>
          <w:p>
            <w:pPr>
              <w:spacing w:after="0"/>
              <w:rPr>
                <w:sz w:val="17"/>
                <w:szCs w:val="17"/>
                <w:color w:val="auto"/>
              </w:rPr>
            </w:pPr>
          </w:p>
        </w:tc>
        <w:tc>
          <w:tcPr>
            <w:tcW w:w="740" w:type="dxa"/>
            <w:vAlign w:val="bottom"/>
            <w:gridSpan w:val="19"/>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10.24**</w:t>
            </w:r>
          </w:p>
        </w:tc>
        <w:tc>
          <w:tcPr>
            <w:tcW w:w="9820" w:type="dxa"/>
            <w:vAlign w:val="bottom"/>
            <w:tcBorders>
              <w:bottom w:val="single" w:sz="8" w:color="0000EE"/>
            </w:tcBorders>
            <w:gridSpan w:val="29"/>
          </w:tcPr>
          <w:p>
            <w:pPr>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Acceptance Letter, dated March 4, 2020, by and between Arcturus Therapeutics Holdings Inc. and the Economic Development Board of</w:t>
              </w:r>
            </w:hyperlink>
          </w:p>
        </w:tc>
        <w:tc>
          <w:tcPr>
            <w:tcW w:w="16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80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77">
              <w:r>
                <w:rPr>
                  <w:rFonts w:ascii="Arial" w:cs="Arial" w:eastAsia="Arial" w:hAnsi="Arial"/>
                  <w:sz w:val="18"/>
                  <w:szCs w:val="18"/>
                  <w:color w:val="0000EE"/>
                  <w:w w:val="90"/>
                </w:rPr>
                <w:t>Singapore. Incorporated by reference to Exhibit 10.24 to the Company’s Annual Report on Form 10-K for the year ended December 31,</w:t>
              </w:r>
            </w:hyperlink>
          </w:p>
        </w:tc>
        <w:tc>
          <w:tcPr>
            <w:tcW w:w="18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7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2019 filed on March 16, 2020 (File No. 001-38942).</w:t>
              </w:r>
            </w:hyperlink>
          </w:p>
        </w:tc>
        <w:tc>
          <w:tcPr>
            <w:tcW w:w="6200" w:type="dxa"/>
            <w:vAlign w:val="bottom"/>
            <w:gridSpan w:val="31"/>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10.25**</w:t>
            </w:r>
          </w:p>
        </w:tc>
        <w:tc>
          <w:tcPr>
            <w:tcW w:w="9980" w:type="dxa"/>
            <w:vAlign w:val="bottom"/>
            <w:gridSpan w:val="36"/>
          </w:tcPr>
          <w:p>
            <w:pPr>
              <w:spacing w:after="0"/>
              <w:rPr>
                <w:rFonts w:ascii="Arial" w:cs="Arial" w:eastAsia="Arial" w:hAnsi="Arial"/>
                <w:sz w:val="18"/>
                <w:szCs w:val="18"/>
                <w:color w:val="0000EE"/>
                <w:w w:val="93"/>
              </w:rPr>
            </w:pPr>
            <w:hyperlink r:id="rId78">
              <w:r>
                <w:rPr>
                  <w:rFonts w:ascii="Arial" w:cs="Arial" w:eastAsia="Arial" w:hAnsi="Arial"/>
                  <w:sz w:val="18"/>
                  <w:szCs w:val="18"/>
                  <w:color w:val="0000EE"/>
                  <w:w w:val="93"/>
                </w:rPr>
                <w:t>Supply Agreement, dated August 17, 2020, by and between Arcturus Therapeutics, Inc. and the Israeli Ministry of Health. Incorporated</w:t>
              </w:r>
            </w:hyperlink>
          </w:p>
        </w:tc>
      </w:tr>
      <w:tr>
        <w:trPr>
          <w:trHeight w:val="196"/>
        </w:trPr>
        <w:tc>
          <w:tcPr>
            <w:tcW w:w="1260" w:type="dxa"/>
            <w:vAlign w:val="bottom"/>
          </w:tcPr>
          <w:p>
            <w:pPr>
              <w:spacing w:after="0"/>
              <w:rPr>
                <w:sz w:val="17"/>
                <w:szCs w:val="17"/>
                <w:color w:val="auto"/>
              </w:rPr>
            </w:pPr>
          </w:p>
        </w:tc>
        <w:tc>
          <w:tcPr>
            <w:tcW w:w="97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by reference to Exhibit 10.32 to Quarterly Report on Form 10-Q filed on November 9, 2020 (File No. 001-38942).</w:t>
              </w:r>
            </w:hyperlink>
          </w:p>
        </w:tc>
        <w:tc>
          <w:tcPr>
            <w:tcW w:w="220" w:type="dxa"/>
            <w:vAlign w:val="bottom"/>
            <w:gridSpan w:val="10"/>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560" w:type="dxa"/>
            <w:vAlign w:val="bottom"/>
            <w:gridSpan w:val="8"/>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10.26**</w:t>
            </w:r>
          </w:p>
        </w:tc>
        <w:tc>
          <w:tcPr>
            <w:tcW w:w="9640" w:type="dxa"/>
            <w:vAlign w:val="bottom"/>
            <w:tcBorders>
              <w:bottom w:val="single" w:sz="8" w:color="0000EE"/>
            </w:tcBorders>
            <w:gridSpan w:val="22"/>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Manufacturing Support Agreement, dated November 7, 2020, by and between Arcturus Therapeutics Holdings Inc. and the Economic</w:t>
              </w:r>
            </w:hyperlink>
          </w:p>
        </w:tc>
        <w:tc>
          <w:tcPr>
            <w:tcW w:w="340" w:type="dxa"/>
            <w:vAlign w:val="bottom"/>
            <w:gridSpan w:val="1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7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Development Board of Singapore. Incorporated by reference to Exhibit 10.33 to Quarterly Report on Form 10-Q filed on November 9,</w:t>
              </w:r>
            </w:hyperlink>
          </w:p>
        </w:tc>
        <w:tc>
          <w:tcPr>
            <w:tcW w:w="280" w:type="dxa"/>
            <w:vAlign w:val="bottom"/>
            <w:gridSpan w:val="1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2020 (File No. 001-38942).</w:t>
              </w:r>
            </w:hyperlink>
          </w:p>
        </w:tc>
      </w:tr>
      <w:tr>
        <w:trPr>
          <w:trHeight w:val="20"/>
        </w:trPr>
        <w:tc>
          <w:tcPr>
            <w:tcW w:w="126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1180" w:type="dxa"/>
            <w:vAlign w:val="bottom"/>
            <w:gridSpan w:val="1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10.27</w:t>
            </w:r>
          </w:p>
        </w:tc>
        <w:tc>
          <w:tcPr>
            <w:tcW w:w="9980" w:type="dxa"/>
            <w:vAlign w:val="bottom"/>
            <w:gridSpan w:val="36"/>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Fourth Amendment to Loan and Security Agreement, dated December 1, 2020, by and between Arcturus Therapeutics, Inc. and Western</w:t>
              </w:r>
            </w:hyperlink>
          </w:p>
        </w:tc>
      </w:tr>
      <w:tr>
        <w:trPr>
          <w:trHeight w:val="196"/>
        </w:trPr>
        <w:tc>
          <w:tcPr>
            <w:tcW w:w="1260" w:type="dxa"/>
            <w:vAlign w:val="bottom"/>
          </w:tcPr>
          <w:p>
            <w:pPr>
              <w:spacing w:after="0"/>
              <w:rPr>
                <w:sz w:val="17"/>
                <w:szCs w:val="17"/>
                <w:color w:val="auto"/>
              </w:rPr>
            </w:pPr>
          </w:p>
        </w:tc>
        <w:tc>
          <w:tcPr>
            <w:tcW w:w="98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Alliance Bank. Incorporated by reference to Exhibit 10.1 to Form 8-K filed on December 7, 2020 (File No. 001-38942).</w:t>
              </w:r>
            </w:hyperlink>
          </w:p>
        </w:tc>
        <w:tc>
          <w:tcPr>
            <w:tcW w:w="160" w:type="dxa"/>
            <w:vAlign w:val="bottom"/>
            <w:gridSpan w:val="7"/>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5960" w:type="dxa"/>
            <w:vAlign w:val="bottom"/>
            <w:gridSpan w:val="10"/>
            <w:shd w:val="clear" w:color="auto" w:fill="0000EE"/>
          </w:tcPr>
          <w:p>
            <w:pPr>
              <w:spacing w:after="0" w:line="20" w:lineRule="exact"/>
              <w:rPr>
                <w:sz w:val="1"/>
                <w:szCs w:val="1"/>
                <w:color w:val="auto"/>
              </w:rPr>
            </w:pPr>
          </w:p>
        </w:tc>
        <w:tc>
          <w:tcPr>
            <w:tcW w:w="1240" w:type="dxa"/>
            <w:vAlign w:val="bottom"/>
            <w:gridSpan w:val="1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7"/>
        </w:trPr>
        <w:tc>
          <w:tcPr>
            <w:tcW w:w="1260" w:type="dxa"/>
            <w:vAlign w:val="bottom"/>
          </w:tcPr>
          <w:p>
            <w:pPr>
              <w:spacing w:after="0"/>
              <w:rPr>
                <w:sz w:val="20"/>
                <w:szCs w:val="20"/>
                <w:color w:val="auto"/>
              </w:rPr>
            </w:pPr>
            <w:r>
              <w:rPr>
                <w:rFonts w:ascii="Arial" w:cs="Arial" w:eastAsia="Arial" w:hAnsi="Arial"/>
                <w:sz w:val="18"/>
                <w:szCs w:val="18"/>
                <w:color w:val="auto"/>
              </w:rPr>
              <w:t>10.28†</w:t>
            </w:r>
          </w:p>
        </w:tc>
        <w:tc>
          <w:tcPr>
            <w:tcW w:w="9920" w:type="dxa"/>
            <w:vAlign w:val="bottom"/>
            <w:tcBorders>
              <w:bottom w:val="single" w:sz="8" w:color="0000EE"/>
            </w:tcBorders>
            <w:gridSpan w:val="33"/>
          </w:tcPr>
          <w:p>
            <w:pPr>
              <w:spacing w:after="0"/>
              <w:rPr>
                <w:rFonts w:ascii="Arial" w:cs="Arial" w:eastAsia="Arial" w:hAnsi="Arial"/>
                <w:sz w:val="18"/>
                <w:szCs w:val="18"/>
                <w:color w:val="0000EE"/>
                <w:w w:val="91"/>
              </w:rPr>
            </w:pPr>
            <w:hyperlink r:id="rId53">
              <w:r>
                <w:rPr>
                  <w:rFonts w:ascii="Arial" w:cs="Arial" w:eastAsia="Arial" w:hAnsi="Arial"/>
                  <w:sz w:val="18"/>
                  <w:szCs w:val="18"/>
                  <w:color w:val="0000EE"/>
                  <w:w w:val="91"/>
                </w:rPr>
                <w:t>2020 Employee Stock Purchase Plan. Incorporated by reference to Exhibit 4.3 to Form S-8 filed on August 5, 2020 (File No. 001-38942).</w:t>
              </w:r>
            </w:hyperlink>
          </w:p>
        </w:tc>
        <w:tc>
          <w:tcPr>
            <w:tcW w:w="60" w:type="dxa"/>
            <w:vAlign w:val="bottom"/>
            <w:gridSpan w:val="3"/>
          </w:tcPr>
          <w:p>
            <w:pPr>
              <w:spacing w:after="0"/>
              <w:rPr>
                <w:sz w:val="24"/>
                <w:szCs w:val="24"/>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10.29</w:t>
            </w:r>
          </w:p>
        </w:tc>
        <w:tc>
          <w:tcPr>
            <w:tcW w:w="9980" w:type="dxa"/>
            <w:vAlign w:val="bottom"/>
            <w:gridSpan w:val="36"/>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Second Amendment to Lease, by and between Arcturus Therapeutics, Inc. and ARE-SD Region No. 44, LLC, dated November 13, 2020.</w:t>
              </w:r>
            </w:hyperlink>
          </w:p>
        </w:tc>
      </w:tr>
      <w:tr>
        <w:trPr>
          <w:trHeight w:val="20"/>
        </w:trPr>
        <w:tc>
          <w:tcPr>
            <w:tcW w:w="1260" w:type="dxa"/>
            <w:vAlign w:val="bottom"/>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7200" w:type="dxa"/>
            <w:vAlign w:val="bottom"/>
            <w:gridSpan w:val="28"/>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EE"/>
            </w:tcBorders>
            <w:gridSpan w:val="36"/>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Incorporated by reference to Exhibit 10.29 to the Company’s Annual Report on Form 10-K for the year ended December 31, 2020 filed on</w:t>
              </w:r>
            </w:hyperlink>
          </w:p>
        </w:tc>
      </w:tr>
      <w:tr>
        <w:trPr>
          <w:trHeight w:val="196"/>
        </w:trPr>
        <w:tc>
          <w:tcPr>
            <w:tcW w:w="1260" w:type="dxa"/>
            <w:vAlign w:val="bottom"/>
          </w:tcPr>
          <w:p>
            <w:pPr>
              <w:spacing w:after="0"/>
              <w:rPr>
                <w:sz w:val="17"/>
                <w:szCs w:val="17"/>
                <w:color w:val="auto"/>
              </w:rPr>
            </w:pPr>
          </w:p>
        </w:tc>
        <w:tc>
          <w:tcPr>
            <w:tcW w:w="9980" w:type="dxa"/>
            <w:vAlign w:val="bottom"/>
            <w:gridSpan w:val="36"/>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March 1, 2020 (File No. 001-38942).</w:t>
              </w:r>
            </w:hyperlink>
          </w:p>
        </w:tc>
      </w:tr>
      <w:tr>
        <w:trPr>
          <w:trHeight w:val="453"/>
        </w:trPr>
        <w:tc>
          <w:tcPr>
            <w:tcW w:w="1260" w:type="dxa"/>
            <w:vAlign w:val="bottom"/>
          </w:tcPr>
          <w:p>
            <w:pPr>
              <w:spacing w:after="0"/>
              <w:rPr>
                <w:sz w:val="24"/>
                <w:szCs w:val="24"/>
                <w:color w:val="auto"/>
              </w:rPr>
            </w:pPr>
          </w:p>
        </w:tc>
        <w:tc>
          <w:tcPr>
            <w:tcW w:w="2680" w:type="dxa"/>
            <w:vAlign w:val="bottom"/>
            <w:tcBorders>
              <w:top w:val="single" w:sz="8" w:color="0000EE"/>
            </w:tcBorders>
            <w:gridSpan w:val="4"/>
          </w:tcPr>
          <w:p>
            <w:pPr>
              <w:spacing w:after="0"/>
              <w:rPr>
                <w:sz w:val="24"/>
                <w:szCs w:val="24"/>
                <w:color w:val="auto"/>
              </w:rPr>
            </w:pPr>
          </w:p>
        </w:tc>
        <w:tc>
          <w:tcPr>
            <w:tcW w:w="2160" w:type="dxa"/>
            <w:vAlign w:val="bottom"/>
            <w:gridSpan w:val="3"/>
          </w:tcPr>
          <w:p>
            <w:pPr>
              <w:jc w:val="right"/>
              <w:ind w:right="380"/>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10.30*</w:t>
            </w:r>
          </w:p>
        </w:tc>
        <w:tc>
          <w:tcPr>
            <w:tcW w:w="9980" w:type="dxa"/>
            <w:vAlign w:val="bottom"/>
            <w:gridSpan w:val="10"/>
          </w:tcPr>
          <w:p>
            <w:pPr>
              <w:spacing w:after="0"/>
              <w:rPr>
                <w:rFonts w:ascii="Arial" w:cs="Arial" w:eastAsia="Arial" w:hAnsi="Arial"/>
                <w:sz w:val="18"/>
                <w:szCs w:val="18"/>
                <w:color w:val="0000EE"/>
                <w:w w:val="94"/>
              </w:rPr>
            </w:pPr>
            <w:hyperlink r:id="rId84">
              <w:r>
                <w:rPr>
                  <w:rFonts w:ascii="Arial" w:cs="Arial" w:eastAsia="Arial" w:hAnsi="Arial"/>
                  <w:sz w:val="18"/>
                  <w:szCs w:val="18"/>
                  <w:color w:val="0000EE"/>
                  <w:w w:val="94"/>
                </w:rPr>
                <w:t>Third Amendment to Lease, by and between Arcturus Therapeutics, Inc. and ARE-SD Region No. 44, LLC, dated February 25, 2021.</w:t>
              </w:r>
            </w:hyperlink>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Incorporated by reference to Exhibit 10.30 to the Company’s Annual Report on Form 10-K for the year ended December 31, 2020 filed on</w:t>
              </w:r>
            </w:hyperlink>
          </w:p>
        </w:tc>
      </w:tr>
      <w:tr>
        <w:trPr>
          <w:trHeight w:val="196"/>
        </w:trPr>
        <w:tc>
          <w:tcPr>
            <w:tcW w:w="126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March 1, 2020 (File No. 001-38942).</w:t>
              </w:r>
            </w:hyperlink>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10.31</w:t>
            </w:r>
          </w:p>
        </w:tc>
        <w:tc>
          <w:tcPr>
            <w:tcW w:w="9640" w:type="dxa"/>
            <w:vAlign w:val="bottom"/>
            <w:tcBorders>
              <w:bottom w:val="single" w:sz="8" w:color="0000EE"/>
            </w:tcBorders>
            <w:gridSpan w:val="9"/>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Arcturus Therapeutics Holdings Inc. Severance Policy for Executives. Incorporated by reference to Exhibit 10.1 to Current Report on</w:t>
              </w:r>
            </w:hyperlink>
          </w:p>
        </w:tc>
        <w:tc>
          <w:tcPr>
            <w:tcW w:w="34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Form 8-K filed on April 26, 2021 (File No. 001-38942).</w:t>
              </w:r>
            </w:hyperlink>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94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Certification by Principal Executive Officer pursuant to Rule 13a-14(a) or 15d-14(a) under the Securities Exchange Act of 1934, as</w:t>
              </w:r>
            </w:hyperlink>
          </w:p>
        </w:tc>
        <w:tc>
          <w:tcPr>
            <w:tcW w:w="52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3">
              <w:r>
                <w:rPr>
                  <w:rFonts w:ascii="Arial" w:cs="Arial" w:eastAsia="Arial" w:hAnsi="Arial"/>
                  <w:sz w:val="18"/>
                  <w:szCs w:val="18"/>
                  <w:color w:val="0000EE"/>
                  <w:w w:val="84"/>
                </w:rPr>
                <w:t>amended.</w:t>
              </w:r>
            </w:hyperlink>
          </w:p>
        </w:tc>
        <w:tc>
          <w:tcPr>
            <w:tcW w:w="9280" w:type="dxa"/>
            <w:vAlign w:val="bottom"/>
            <w:gridSpan w:val="9"/>
          </w:tcPr>
          <w:p>
            <w:pPr>
              <w:spacing w:after="0"/>
              <w:rPr>
                <w:sz w:val="17"/>
                <w:szCs w:val="17"/>
                <w:color w:val="auto"/>
              </w:rPr>
            </w:pPr>
          </w:p>
        </w:tc>
      </w:tr>
      <w:tr>
        <w:trPr>
          <w:trHeight w:val="317"/>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9980" w:type="dxa"/>
            <w:vAlign w:val="bottom"/>
            <w:gridSpan w:val="10"/>
          </w:tcPr>
          <w:p>
            <w:pPr>
              <w:spacing w:after="0"/>
              <w:rPr>
                <w:rFonts w:ascii="Arial" w:cs="Arial" w:eastAsia="Arial" w:hAnsi="Arial"/>
                <w:sz w:val="18"/>
                <w:szCs w:val="18"/>
                <w:color w:val="0000EE"/>
                <w:w w:val="96"/>
              </w:rPr>
            </w:pPr>
            <w:hyperlink w:anchor="page34">
              <w:r>
                <w:rPr>
                  <w:rFonts w:ascii="Arial" w:cs="Arial" w:eastAsia="Arial" w:hAnsi="Arial"/>
                  <w:sz w:val="18"/>
                  <w:szCs w:val="18"/>
                  <w:color w:val="0000EE"/>
                  <w:w w:val="96"/>
                </w:rPr>
                <w:t>Certification by Principal Financial Officer pursuant to Rule 13a-14(a) or 15d-14(a) under the Securities Exchange Act of 1934, as</w:t>
              </w:r>
            </w:hyperlink>
          </w:p>
        </w:tc>
      </w:tr>
      <w:tr>
        <w:trPr>
          <w:trHeight w:val="196"/>
        </w:trPr>
        <w:tc>
          <w:tcPr>
            <w:tcW w:w="126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4">
              <w:r>
                <w:rPr>
                  <w:rFonts w:ascii="Arial" w:cs="Arial" w:eastAsia="Arial" w:hAnsi="Arial"/>
                  <w:sz w:val="18"/>
                  <w:szCs w:val="18"/>
                  <w:color w:val="0000EE"/>
                  <w:w w:val="84"/>
                </w:rPr>
                <w:t>amended.</w:t>
              </w:r>
            </w:hyperlink>
          </w:p>
        </w:tc>
        <w:tc>
          <w:tcPr>
            <w:tcW w:w="8700" w:type="dxa"/>
            <w:vAlign w:val="bottom"/>
            <w:tcBorders>
              <w:top w:val="single" w:sz="8" w:color="0000EE"/>
            </w:tcBorders>
            <w:gridSpan w:val="4"/>
          </w:tcPr>
          <w:p>
            <w:pPr>
              <w:spacing w:after="0"/>
              <w:rPr>
                <w:sz w:val="17"/>
                <w:szCs w:val="17"/>
                <w:color w:val="auto"/>
              </w:rPr>
            </w:pPr>
          </w:p>
        </w:tc>
        <w:tc>
          <w:tcPr>
            <w:tcW w:w="580" w:type="dxa"/>
            <w:vAlign w:val="bottom"/>
            <w:gridSpan w:val="5"/>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9980" w:type="dxa"/>
            <w:vAlign w:val="bottom"/>
            <w:gridSpan w:val="10"/>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Certification of Principal Executive Officer Pursuant to 18 U.S.C. Section 1350, as Adopted Pursuant to Section 906 of the Sarbanes-</w:t>
              </w:r>
            </w:hyperlink>
          </w:p>
        </w:tc>
      </w:tr>
      <w:tr>
        <w:trPr>
          <w:trHeight w:val="196"/>
        </w:trPr>
        <w:tc>
          <w:tcPr>
            <w:tcW w:w="126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Oxley Act of 2002.</w:t>
              </w:r>
            </w:hyperlink>
          </w:p>
        </w:tc>
        <w:tc>
          <w:tcPr>
            <w:tcW w:w="8200" w:type="dxa"/>
            <w:vAlign w:val="bottom"/>
            <w:tcBorders>
              <w:top w:val="single" w:sz="8" w:color="0000EE"/>
            </w:tcBorders>
            <w:gridSpan w:val="6"/>
          </w:tcPr>
          <w:p>
            <w:pPr>
              <w:spacing w:after="0"/>
              <w:rPr>
                <w:sz w:val="17"/>
                <w:szCs w:val="17"/>
                <w:color w:val="auto"/>
              </w:rPr>
            </w:pPr>
          </w:p>
        </w:tc>
        <w:tc>
          <w:tcPr>
            <w:tcW w:w="380" w:type="dxa"/>
            <w:vAlign w:val="bottom"/>
            <w:gridSpan w:val="2"/>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32.2*</w:t>
            </w:r>
          </w:p>
        </w:tc>
        <w:tc>
          <w:tcPr>
            <w:tcW w:w="95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420" w:type="dxa"/>
            <w:vAlign w:val="bottom"/>
            <w:gridSpan w:val="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Oxley Act of 2002.</w:t>
              </w:r>
            </w:hyperlink>
          </w:p>
        </w:tc>
        <w:tc>
          <w:tcPr>
            <w:tcW w:w="8580" w:type="dxa"/>
            <w:vAlign w:val="bottom"/>
            <w:gridSpan w:val="8"/>
          </w:tcPr>
          <w:p>
            <w:pPr>
              <w:spacing w:after="0"/>
              <w:rPr>
                <w:sz w:val="17"/>
                <w:szCs w:val="17"/>
                <w:color w:val="auto"/>
              </w:rPr>
            </w:pPr>
          </w:p>
        </w:tc>
      </w:tr>
      <w:tr>
        <w:trPr>
          <w:trHeight w:val="344"/>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9980" w:type="dxa"/>
            <w:vAlign w:val="bottom"/>
            <w:gridSpan w:val="10"/>
          </w:tcPr>
          <w:p>
            <w:pPr>
              <w:spacing w:after="0"/>
              <w:rPr>
                <w:sz w:val="20"/>
                <w:szCs w:val="20"/>
                <w:color w:val="auto"/>
              </w:rPr>
            </w:pPr>
            <w:r>
              <w:rPr>
                <w:rFonts w:ascii="Arial" w:cs="Arial" w:eastAsia="Arial" w:hAnsi="Arial"/>
                <w:sz w:val="18"/>
                <w:szCs w:val="18"/>
                <w:color w:val="auto"/>
                <w:w w:val="91"/>
              </w:rPr>
              <w:t>The following financial statements and footnotes from the Registrant’s Quarterly Report on Form 10-Q for the fiscal quarter ended March</w:t>
            </w:r>
          </w:p>
        </w:tc>
      </w:tr>
      <w:tr>
        <w:trPr>
          <w:trHeight w:val="216"/>
        </w:trPr>
        <w:tc>
          <w:tcPr>
            <w:tcW w:w="1260" w:type="dxa"/>
            <w:vAlign w:val="bottom"/>
          </w:tcPr>
          <w:p>
            <w:pPr>
              <w:spacing w:after="0"/>
              <w:rPr>
                <w:sz w:val="18"/>
                <w:szCs w:val="18"/>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auto"/>
              </w:rPr>
              <w:t>31, 2021 formatted in Inline Extensible Business Reporting Language (Inline XBRL):</w:t>
            </w:r>
          </w:p>
        </w:tc>
      </w:tr>
      <w:tr>
        <w:trPr>
          <w:trHeight w:val="216"/>
        </w:trPr>
        <w:tc>
          <w:tcPr>
            <w:tcW w:w="1260" w:type="dxa"/>
            <w:vAlign w:val="bottom"/>
          </w:tcPr>
          <w:p>
            <w:pPr>
              <w:spacing w:after="0"/>
              <w:rPr>
                <w:sz w:val="18"/>
                <w:szCs w:val="18"/>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auto"/>
                <w:w w:val="91"/>
              </w:rPr>
              <w:t>101.INS Inline XBRL Instance Document - the instance document does not appear in the Interactive Data File because its XBRL tags are</w:t>
            </w:r>
          </w:p>
        </w:tc>
      </w:tr>
      <w:tr>
        <w:trPr>
          <w:trHeight w:val="216"/>
        </w:trPr>
        <w:tc>
          <w:tcPr>
            <w:tcW w:w="1260" w:type="dxa"/>
            <w:vAlign w:val="bottom"/>
          </w:tcPr>
          <w:p>
            <w:pPr>
              <w:spacing w:after="0"/>
              <w:rPr>
                <w:sz w:val="18"/>
                <w:szCs w:val="18"/>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16"/>
        </w:trPr>
        <w:tc>
          <w:tcPr>
            <w:tcW w:w="1260" w:type="dxa"/>
            <w:vAlign w:val="bottom"/>
          </w:tcPr>
          <w:p>
            <w:pPr>
              <w:spacing w:after="0"/>
              <w:rPr>
                <w:sz w:val="18"/>
                <w:szCs w:val="18"/>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auto"/>
              </w:rPr>
              <w:t>101.SCH Inline XBRL Taxonomy Extension Schema</w:t>
            </w:r>
          </w:p>
        </w:tc>
      </w:tr>
      <w:tr>
        <w:trPr>
          <w:trHeight w:val="216"/>
        </w:trPr>
        <w:tc>
          <w:tcPr>
            <w:tcW w:w="1260" w:type="dxa"/>
            <w:vAlign w:val="bottom"/>
          </w:tcPr>
          <w:p>
            <w:pPr>
              <w:spacing w:after="0"/>
              <w:rPr>
                <w:sz w:val="18"/>
                <w:szCs w:val="18"/>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auto"/>
              </w:rPr>
              <w:t>101.CAL Inline XBRL Taxonomy Extension Calculation Linkbase</w:t>
            </w:r>
          </w:p>
        </w:tc>
      </w:tr>
      <w:tr>
        <w:trPr>
          <w:trHeight w:val="216"/>
        </w:trPr>
        <w:tc>
          <w:tcPr>
            <w:tcW w:w="1260" w:type="dxa"/>
            <w:vAlign w:val="bottom"/>
          </w:tcPr>
          <w:p>
            <w:pPr>
              <w:spacing w:after="0"/>
              <w:rPr>
                <w:sz w:val="18"/>
                <w:szCs w:val="18"/>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auto"/>
              </w:rPr>
              <w:t>101.DEF Inline XBRL Taxonomy Extension Definition Linkbase</w:t>
            </w:r>
          </w:p>
        </w:tc>
      </w:tr>
      <w:tr>
        <w:trPr>
          <w:trHeight w:val="216"/>
        </w:trPr>
        <w:tc>
          <w:tcPr>
            <w:tcW w:w="1260" w:type="dxa"/>
            <w:vAlign w:val="bottom"/>
          </w:tcPr>
          <w:p>
            <w:pPr>
              <w:spacing w:after="0"/>
              <w:rPr>
                <w:sz w:val="18"/>
                <w:szCs w:val="18"/>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auto"/>
              </w:rPr>
              <w:t>101.LAB Inline XBRL Taxonomy Extension Label Linkbase</w:t>
            </w:r>
          </w:p>
        </w:tc>
      </w:tr>
      <w:tr>
        <w:trPr>
          <w:trHeight w:val="216"/>
        </w:trPr>
        <w:tc>
          <w:tcPr>
            <w:tcW w:w="1260" w:type="dxa"/>
            <w:vAlign w:val="bottom"/>
          </w:tcPr>
          <w:p>
            <w:pPr>
              <w:spacing w:after="0"/>
              <w:rPr>
                <w:sz w:val="18"/>
                <w:szCs w:val="18"/>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auto"/>
              </w:rPr>
              <w:t>101.PRE Inline XBRL Taxonomy Extension Presentation Linkbase</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9980" w:type="dxa"/>
            <w:vAlign w:val="bottom"/>
            <w:gridSpan w:val="10"/>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9512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76"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00" w:right="180" w:hanging="492"/>
        <w:spacing w:after="0" w:line="273"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redacted from the publicly filed document because such portions are (i) not material and (ii) would be competitively harmful of publicly disclosed.</w:t>
      </w:r>
    </w:p>
    <w:p>
      <w:pPr>
        <w:spacing w:after="0" w:line="2"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compensatory plan, contract or arrangement.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3140"/>
              <w:spacing w:after="0"/>
              <w:rPr>
                <w:sz w:val="20"/>
                <w:szCs w:val="20"/>
                <w:color w:val="auto"/>
              </w:rPr>
            </w:pPr>
            <w:r>
              <w:rPr>
                <w:rFonts w:ascii="Arial" w:cs="Arial" w:eastAsia="Arial" w:hAnsi="Arial"/>
                <w:sz w:val="18"/>
                <w:szCs w:val="18"/>
                <w:b w:val="1"/>
                <w:bCs w:val="1"/>
                <w:color w:val="auto"/>
              </w:rPr>
              <w:t>ARCTURUS THERAPEUTICS HOLDINGS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10, 2021</w:t>
            </w:r>
          </w:p>
        </w:tc>
        <w:tc>
          <w:tcPr>
            <w:tcW w:w="7740" w:type="dxa"/>
            <w:vAlign w:val="bottom"/>
            <w:gridSpan w:val="2"/>
          </w:tcPr>
          <w:p>
            <w:pPr>
              <w:ind w:left="3140"/>
              <w:spacing w:after="0"/>
              <w:rPr>
                <w:sz w:val="20"/>
                <w:szCs w:val="20"/>
                <w:color w:val="auto"/>
              </w:rPr>
            </w:pPr>
            <w:r>
              <w:rPr>
                <w:rFonts w:ascii="Arial" w:cs="Arial" w:eastAsia="Arial" w:hAnsi="Arial"/>
                <w:sz w:val="18"/>
                <w:szCs w:val="18"/>
                <w:color w:val="auto"/>
              </w:rPr>
              <w:t>By: /s/ Andy Sassine</w:t>
            </w:r>
          </w:p>
        </w:tc>
      </w:tr>
      <w:tr>
        <w:trPr>
          <w:trHeight w:val="195"/>
        </w:trPr>
        <w:tc>
          <w:tcPr>
            <w:tcW w:w="35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Andy Sassine</w:t>
            </w:r>
          </w:p>
        </w:tc>
      </w:tr>
      <w:tr>
        <w:trPr>
          <w:trHeight w:val="230"/>
        </w:trPr>
        <w:tc>
          <w:tcPr>
            <w:tcW w:w="35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500" w:type="dxa"/>
            <w:vAlign w:val="bottom"/>
          </w:tcPr>
          <w:p>
            <w:pPr>
              <w:spacing w:after="0"/>
              <w:rPr>
                <w:sz w:val="24"/>
                <w:szCs w:val="24"/>
                <w:color w:val="auto"/>
              </w:rPr>
            </w:pPr>
          </w:p>
        </w:tc>
        <w:tc>
          <w:tcPr>
            <w:tcW w:w="3480" w:type="dxa"/>
            <w:vAlign w:val="bottom"/>
          </w:tcPr>
          <w:p>
            <w:pPr>
              <w:jc w:val="right"/>
              <w:ind w:right="1170"/>
              <w:spacing w:after="0"/>
              <w:rPr>
                <w:sz w:val="20"/>
                <w:szCs w:val="20"/>
                <w:color w:val="auto"/>
              </w:rPr>
            </w:pPr>
            <w:r>
              <w:rPr>
                <w:rFonts w:ascii="Arial" w:cs="Arial" w:eastAsia="Arial" w:hAnsi="Arial"/>
                <w:sz w:val="18"/>
                <w:szCs w:val="18"/>
                <w:color w:val="auto"/>
              </w:rPr>
              <w:t>29</w:t>
            </w:r>
          </w:p>
        </w:tc>
        <w:tc>
          <w:tcPr>
            <w:tcW w:w="426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E. Payne, certify that:</w:t>
      </w:r>
    </w:p>
    <w:p>
      <w:pPr>
        <w:spacing w:after="0" w:line="225"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Arcturus Therapeutics Holdings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792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Joseph E. Payne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3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Andy Sassine, certify that:</w:t>
      </w:r>
    </w:p>
    <w:p>
      <w:pPr>
        <w:spacing w:after="0" w:line="225"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Arcturus Therapeutics Holdings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802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Andy Sassine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33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March 31, 2021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28" w:lineRule="exact"/>
        <w:rPr>
          <w:sz w:val="20"/>
          <w:szCs w:val="20"/>
          <w:color w:val="auto"/>
        </w:rPr>
      </w:pPr>
    </w:p>
    <w:p>
      <w:pPr>
        <w:spacing w:after="0"/>
        <w:tabs>
          <w:tab w:leader="none" w:pos="5680" w:val="left"/>
          <w:tab w:leader="none" w:pos="792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Joseph E. Payne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3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undersigned, the Chief Financial Officer of Arcturus Therapeutics Holdings Inc. (the "Company"), hereby certifies on the date hereof, pursuant to 18 U.S.C. 1350(a), as adopted pursuant to Section 906 of The Sarbanes-Oxley Act of 2002, that the Quarterly Report on Form 10-Q for the period ended March 31, 2021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28" w:lineRule="exact"/>
        <w:rPr>
          <w:sz w:val="20"/>
          <w:szCs w:val="20"/>
          <w:color w:val="auto"/>
        </w:rPr>
      </w:pPr>
    </w:p>
    <w:p>
      <w:pPr>
        <w:spacing w:after="0"/>
        <w:tabs>
          <w:tab w:leader="none" w:pos="5680" w:val="left"/>
          <w:tab w:leader="none" w:pos="802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Andy Sassine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Roman"/>
      <w:start w:val="4"/>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82" Type="http://schemas.openxmlformats.org/officeDocument/2006/relationships/image" Target="media/image42.png"/><Relationship Id="rId83" Type="http://schemas.openxmlformats.org/officeDocument/2006/relationships/image" Target="media/image43.png"/><Relationship Id="rId86" Type="http://schemas.openxmlformats.org/officeDocument/2006/relationships/image" Target="media/image44.png"/><Relationship Id="rId87" Type="http://schemas.openxmlformats.org/officeDocument/2006/relationships/image" Target="media/image45.png"/><Relationship Id="rId88" Type="http://schemas.openxmlformats.org/officeDocument/2006/relationships/image" Target="media/image46.png"/><Relationship Id="rId89" Type="http://schemas.openxmlformats.org/officeDocument/2006/relationships/image" Target="media/image47.png"/><Relationship Id="rId90" Type="http://schemas.openxmlformats.org/officeDocument/2006/relationships/image" Target="media/image48.png"/><Relationship Id="rId91" Type="http://schemas.openxmlformats.org/officeDocument/2006/relationships/image" Target="media/image49.png"/><Relationship Id="rId47" Type="http://schemas.openxmlformats.org/officeDocument/2006/relationships/hyperlink" Target="http://www.sec.gov/Archives/edgar/data/0001768224/000119380520001508/e620125_ex1-1.htm" TargetMode="External"/><Relationship Id="rId48" Type="http://schemas.openxmlformats.org/officeDocument/2006/relationships/hyperlink" Target="http://www.sec.gov/Archives/edgar/data/0001566049/000119312519077140/d721306ds4.htm" TargetMode="External"/><Relationship Id="rId49" Type="http://schemas.openxmlformats.org/officeDocument/2006/relationships/hyperlink" Target="http://www.sec.gov/Archives/edgar/data/0001768224/000119380520001470/e620104_ex3-1.htm" TargetMode="External"/><Relationship Id="rId50" Type="http://schemas.openxmlformats.org/officeDocument/2006/relationships/hyperlink" Target="http://www.sec.gov/Archives/edgar/data/0001768224/000119380520000569/e619613_ex3-2.htm" TargetMode="External"/><Relationship Id="rId51" Type="http://schemas.openxmlformats.org/officeDocument/2006/relationships/hyperlink" Target="http://www.sec.gov/Archives/edgar/data/0001768224/000156459021009872/arct-ex41_391.htm" TargetMode="External"/><Relationship Id="rId52" Type="http://schemas.openxmlformats.org/officeDocument/2006/relationships/hyperlink" Target="http://www.sec.gov/Archives/edgar/data/0001768224/000156459020011037/arct-ex101_364.htm" TargetMode="External"/><Relationship Id="rId53" Type="http://schemas.openxmlformats.org/officeDocument/2006/relationships/hyperlink" Target="http://www.sec.gov/Archives/edgar/data/0001768224/000119380520000940/e619825_ex4-3.htm" TargetMode="External"/><Relationship Id="rId54" Type="http://schemas.openxmlformats.org/officeDocument/2006/relationships/hyperlink" Target="http://www.sec.gov/Archives/edgar/data/0001566049/000119380518001024/e618195_ex99-2.htm" TargetMode="External"/><Relationship Id="rId55" Type="http://schemas.openxmlformats.org/officeDocument/2006/relationships/hyperlink" Target="http://www.sec.gov/Archives/edgar/data/0001566049/000156459018024268/arct-ex101_7.htm" TargetMode="External"/><Relationship Id="rId56" Type="http://schemas.openxmlformats.org/officeDocument/2006/relationships/hyperlink" Target="http://www.sec.gov/Archives/edgar/data/0001566049/000156459018023735/arct-ex992_6.htm" TargetMode="External"/><Relationship Id="rId57" Type="http://schemas.openxmlformats.org/officeDocument/2006/relationships/hyperlink" Target="http://www.sec.gov/Archives/edgar/data/0001566049/000156459018013460/arct-ex47_880.htm" TargetMode="External"/><Relationship Id="rId58" Type="http://schemas.openxmlformats.org/officeDocument/2006/relationships/hyperlink" Target="http://www.sec.gov/Archives/edgar/data/0001566049/000156459018013460/arct-ex48_879.htm" TargetMode="External"/><Relationship Id="rId59" Type="http://schemas.openxmlformats.org/officeDocument/2006/relationships/hyperlink" Target="http://www.sec.gov/Archives/edgar/data/0001566049/000156459018013460/arct-ex49_884.htm" TargetMode="External"/><Relationship Id="rId60" Type="http://schemas.openxmlformats.org/officeDocument/2006/relationships/hyperlink" Target="http://www.sec.gov/Archives/edgar/data/0001566049/000156459018013460/arct-ex410_883.htm" TargetMode="External"/><Relationship Id="rId61" Type="http://schemas.openxmlformats.org/officeDocument/2006/relationships/hyperlink" Target="http://www.sec.gov/Archives/edgar/data/0001566049/000119312519176908/d721252dex102.htm" TargetMode="External"/><Relationship Id="rId62" Type="http://schemas.openxmlformats.org/officeDocument/2006/relationships/hyperlink" Target="http://www.sec.gov/Archives/edgar/data/0001566049/000156459018013460/arct-ex411_878.htm" TargetMode="External"/><Relationship Id="rId63" Type="http://schemas.openxmlformats.org/officeDocument/2006/relationships/hyperlink" Target="http://www.sec.gov/Archives/edgar/data/0001768224/000156459019032166/arct-ex1016_165.htm" TargetMode="External"/><Relationship Id="rId66" Type="http://schemas.openxmlformats.org/officeDocument/2006/relationships/hyperlink" Target="http://www.sec.gov/Archives/edgar/data/0001566049/000156459018013460/arct-ex412_1677.htm" TargetMode="External"/><Relationship Id="rId67" Type="http://schemas.openxmlformats.org/officeDocument/2006/relationships/hyperlink" Target="http://www.sec.gov/Archives/edgar/data/0001768224/000156459019032166/arct-ex1020_166.htm" TargetMode="External"/><Relationship Id="rId68" Type="http://schemas.openxmlformats.org/officeDocument/2006/relationships/hyperlink" Target="http://www.sec.gov/Archives/edgar/data/0001566049/000156459018013460/arct-ex413_1676.htm" TargetMode="External"/><Relationship Id="rId69" Type="http://schemas.openxmlformats.org/officeDocument/2006/relationships/hyperlink" Target="http://www.sec.gov/Archives/edgar/data/0001768224/000156459019032166/arct-ex1021_167.htm" TargetMode="External"/><Relationship Id="rId70" Type="http://schemas.openxmlformats.org/officeDocument/2006/relationships/hyperlink" Target="http://www.sec.gov/Archives/edgar/data/0001566049/000156459018016705/arct-ex414_7.htm" TargetMode="External"/><Relationship Id="rId71" Type="http://schemas.openxmlformats.org/officeDocument/2006/relationships/hyperlink" Target="http://www.sec.gov/Archives/edgar/data/0001566049/000156459018013460/arct-ex415_876.htm" TargetMode="External"/><Relationship Id="rId72" Type="http://schemas.openxmlformats.org/officeDocument/2006/relationships/hyperlink" Target="http://www.sec.gov/Archives/edgar/data/0001566049/000156459019008092/arct-ex1013_446.htm" TargetMode="External"/><Relationship Id="rId73" Type="http://schemas.openxmlformats.org/officeDocument/2006/relationships/hyperlink" Target="http://www.sec.gov/Archives/edgar/data/0001566049/000156459019008092/arct-ex1014_583.htm" TargetMode="External"/><Relationship Id="rId74" Type="http://schemas.openxmlformats.org/officeDocument/2006/relationships/hyperlink" Target="http://www.sec.gov/Archives/edgar/data/0001566049/000156459019008092/arct-ex1015_582.htm" TargetMode="External"/><Relationship Id="rId75" Type="http://schemas.openxmlformats.org/officeDocument/2006/relationships/hyperlink" Target="http://www.sec.gov/Archives/edgar/data/0001566049/000156459018013460/arct-ex46_882.htm" TargetMode="External"/><Relationship Id="rId76" Type="http://schemas.openxmlformats.org/officeDocument/2006/relationships/hyperlink" Target="http://www.sec.gov/Archives/edgar/data/0001768224/000156459020011037/arct-ex1023_426.htm" TargetMode="External"/><Relationship Id="rId77" Type="http://schemas.openxmlformats.org/officeDocument/2006/relationships/hyperlink" Target="http://www.sec.gov/Archives/edgar/data/0001768224/000156459020011037/arct-ex1024_365.htm" TargetMode="External"/><Relationship Id="rId78" Type="http://schemas.openxmlformats.org/officeDocument/2006/relationships/hyperlink" Target="http://www.sec.gov/Archives/edgar/data/0001768224/000156459020052527/arct-ex1032_97.htm" TargetMode="External"/><Relationship Id="rId79" Type="http://schemas.openxmlformats.org/officeDocument/2006/relationships/hyperlink" Target="http://www.sec.gov/Archives/edgar/data/0001768224/000156459020052527/arct-ex1033_98.htm" TargetMode="External"/><Relationship Id="rId80" Type="http://schemas.openxmlformats.org/officeDocument/2006/relationships/hyperlink" Target="http://www.sec.gov/Archives/edgar/data/0001768224/000119380520001498/e620119_ex10-1.htm" TargetMode="External"/><Relationship Id="rId81" Type="http://schemas.openxmlformats.org/officeDocument/2006/relationships/hyperlink" Target="http://www.sec.gov/Archives/edgar/data/0001768224/000156459021009872/arct-ex1029_392.htm" TargetMode="External"/><Relationship Id="rId84" Type="http://schemas.openxmlformats.org/officeDocument/2006/relationships/hyperlink" Target="http://www.sec.gov/Archives/edgar/data/0001768224/000156459021009872/arct-ex1030_393.htm" TargetMode="External"/><Relationship Id="rId85" Type="http://schemas.openxmlformats.org/officeDocument/2006/relationships/hyperlink" Target="http://www.sec.gov/Archives/edgar/data/0001768224/000119380521000538/e620514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2021-05-10T16:47:18Z</dcterms:created>
  <dcterms:modified xsi:type="dcterms:W3CDTF">2021-05-10T16:47:18Z</dcterms:modified>
</cp:coreProperties>
</file>