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199390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46-1981974</w:t>
      </w:r>
    </w:p>
    <w:p>
      <w:pPr>
        <w:spacing w:after="0" w:line="12" w:lineRule="exact"/>
        <w:rPr>
          <w:sz w:val="24"/>
          <w:szCs w:val="24"/>
          <w:color w:val="auto"/>
        </w:rPr>
      </w:pPr>
    </w:p>
    <w:p>
      <w:pPr>
        <w:sectPr>
          <w:pgSz w:w="11900" w:h="16838" w:orient="portrait"/>
          <w:cols w:equalWidth="0" w:num="3">
            <w:col w:w="4520" w:space="720"/>
            <w:col w:w="2860" w:space="720"/>
            <w:col w:w="2220"/>
          </w:cols>
          <w:pgMar w:left="440" w:top="362" w:right="41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500" w:space="720"/>
            <w:col w:w="2760" w:space="720"/>
            <w:col w:w="2340"/>
          </w:cols>
          <w:pgMar w:left="440" w:top="362" w:right="4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(858) 900-2660</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Arcturus Therapeutics Ltd.</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type w:val="continuous"/>
        </w:sectPr>
      </w:pPr>
    </w:p>
    <w:p>
      <w:pPr>
        <w:spacing w:after="0" w:line="39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36"/>
        <w:spacing w:after="0" w:line="419"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November 7, 2019, Arcturus Therapeutics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furnished herewith as Exhibit 99.1, announcing the Company’s financial results for the three-month and nine-month periods ended September 30, 2019 and providing a corporate update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attached hereto as Exhibit 99.1,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in this communication and the Press Release are “forward-looking statements” within the meaning of the Private Securities Litigation Reform Act of 1995. Forward-looking statements include, but are not limited to, statements about: expectations regarding our capitalization, strategy, future operations, collaborations or resources; the adequacy of our capital to support our future operations and our ability to successfully initiate and complete clinical trials; our strategy and focus; the development and commercial potential of any of our product candidates; the timing and success of our development efforts; the success of any of our trials and our ability to achieve regulatory approval for any product candidate; the entry into, modification or termination of collaborative agreements; the date that an IND may be filed with the FDA; the potential market or success for the clinical development programs of the Company; the likelihood of success of the Company’s technology or potential development of any of the Company’s products, preclinical or clinical development programs; the expected employment of key personnel; the yield of preventative and therapeutic treatments or commercial or therapeutic success of the Company’s products or programs, including those for the treatment of cystic fibrosis; or any statements other than statements of historical fact, including those related to the Company’s future cash, market or financial position. These forward-looking statements are subject to numerous assumptions, risks and uncertainties which change over time. Forward-looking statements speak only as of the date they are made and the Company assumes no duty to update forward-looking statements, except as required by law.</w:t>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to factors previously disclosed in the Company’s reports filed with the SEC and those identified elsewhere in this communication, the following factors, among others, could cause actual results to differ materially from forward-looking statements and historical performance: the availability and access, in general, of funds to fund operations and necessary capital expenditures, the strength of our intellectual property portfolio, the expected safety profiles of our product candidates, the proof of concept of our product candidates, the target opportunities for certain of our product candidates, our expected dates of submission of one or more Investigational New Drug Applications to the FDA, market opportunities with respect to certain diseases connected with our product candidates, manufacturing and formulation capabilities of the Company or our manufacturing partners with respect to our product candidates, as well as our management’s response to the preceding factors. The foregoing factors are in addition to the other factors set forth in the Company’s reports on Form 10-K, Form 8-K, and other documents on file with the SEC.</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Other risks and uncertainties are more fully described under the heading “Risk Factors” in the Company’s Annual Report on Form 10-K for the fiscal year ended December 31, 2018, filed with the SEC on March 18, 2019, and in other filings that the Company makes and will make with the SEC. Existing and prospective investors are cautioned not to place undue reliance on these forward-looking statements, which speak only as of the date hereof. 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ectPr>
          <w:pgSz w:w="11900" w:h="16838" w:orient="portrait"/>
          <w:cols w:equalWidth="0" w:num="1">
            <w:col w:w="11000"/>
          </w:cols>
          <w:pgMar w:left="440" w:top="266"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98"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of Arcturus Therapeutics Holdings Inc., dated November 7, 2019</w:t>
        </w:r>
      </w:hyperlink>
    </w:p>
    <w:p>
      <w:pPr>
        <w:sectPr>
          <w:pgSz w:w="11900" w:h="16838" w:orient="portrait"/>
          <w:cols w:equalWidth="0" w:num="1">
            <w:col w:w="10019"/>
          </w:cols>
          <w:pgMar w:left="440" w:top="26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3660" w:type="dxa"/>
            <w:vAlign w:val="bottom"/>
          </w:tcPr>
          <w:p>
            <w:pPr>
              <w:spacing w:after="0"/>
              <w:rPr>
                <w:sz w:val="16"/>
                <w:szCs w:val="16"/>
                <w:color w:val="auto"/>
              </w:rPr>
            </w:pPr>
          </w:p>
        </w:tc>
        <w:tc>
          <w:tcPr>
            <w:tcW w:w="242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3660" w:type="dxa"/>
            <w:vAlign w:val="bottom"/>
          </w:tcPr>
          <w:p>
            <w:pPr>
              <w:spacing w:after="0"/>
              <w:rPr>
                <w:sz w:val="20"/>
                <w:szCs w:val="20"/>
                <w:color w:val="auto"/>
              </w:rPr>
            </w:pP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40"/>
          </w:cols>
          <w:pgMar w:left="440" w:top="266"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Third Quarter Financial Results and Provides Corporate Update</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 Calif, November 7, 2019 </w:t>
      </w:r>
      <w:r>
        <w:rPr>
          <w:rFonts w:ascii="Times New Roman" w:cs="Times New Roman" w:eastAsia="Times New Roman" w:hAnsi="Times New Roman"/>
          <w:sz w:val="18"/>
          <w:szCs w:val="18"/>
          <w:color w:val="auto"/>
        </w:rPr>
        <w:t>– Arcturus Therapeutics Holdings Inc. (“Arcturus Therapeutics”) (NASDAQ: ARCT), a leading messenger RNA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medicines company focused on the discovery, development and commercialization of therapeutics for rare diseases, today reported its financial results for the three- and nine-month periods ended September 30, 2019 and provided a corporate update.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35" w:lineRule="exact"/>
        <w:rPr>
          <w:sz w:val="20"/>
          <w:szCs w:val="20"/>
          <w:color w:val="auto"/>
        </w:rPr>
      </w:pPr>
    </w:p>
    <w:p>
      <w:pPr>
        <w:ind w:left="440" w:hanging="328"/>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application for ARCT-810, a treatment of ornithine transcarbamylase (OTC) deficiency, is on track for Q1 2020 filing</w:t>
      </w:r>
    </w:p>
    <w:p>
      <w:pPr>
        <w:spacing w:after="0" w:line="130" w:lineRule="exact"/>
        <w:rPr>
          <w:rFonts w:ascii="Times New Roman" w:cs="Times New Roman" w:eastAsia="Times New Roman" w:hAnsi="Times New Roman"/>
          <w:sz w:val="18"/>
          <w:szCs w:val="18"/>
          <w:color w:val="auto"/>
        </w:rPr>
      </w:pPr>
    </w:p>
    <w:p>
      <w:pPr>
        <w:ind w:left="440" w:hanging="328"/>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platform with STARR technology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to enable LUNAR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formulated RNA-based vaccines</w:t>
      </w:r>
    </w:p>
    <w:p>
      <w:pPr>
        <w:spacing w:after="0" w:line="130" w:lineRule="exact"/>
        <w:rPr>
          <w:rFonts w:ascii="Times New Roman" w:cs="Times New Roman" w:eastAsia="Times New Roman" w:hAnsi="Times New Roman"/>
          <w:sz w:val="18"/>
          <w:szCs w:val="18"/>
          <w:color w:val="auto"/>
        </w:rPr>
      </w:pPr>
    </w:p>
    <w:p>
      <w:pPr>
        <w:ind w:left="440" w:hanging="328"/>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$23 Million from institutional investors at $11.50 per share of Common Stock</w:t>
      </w:r>
    </w:p>
    <w:p>
      <w:pPr>
        <w:spacing w:after="0" w:line="130" w:lineRule="exact"/>
        <w:rPr>
          <w:rFonts w:ascii="Times New Roman" w:cs="Times New Roman" w:eastAsia="Times New Roman" w:hAnsi="Times New Roman"/>
          <w:sz w:val="18"/>
          <w:szCs w:val="18"/>
          <w:color w:val="auto"/>
        </w:rPr>
      </w:pPr>
    </w:p>
    <w:p>
      <w:pPr>
        <w:ind w:left="440" w:hanging="328"/>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Board of Directors with the addition of Edward W. Holmes, M.D.</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continue to develop our LUNAR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delivery and mRNA technology platforms, strengthening our leadership position in mRNA medicines. Our flagship program, ARCT-810, remains on track – we have successfully completed a GMP-manufactured batch of drug product, initiated IND-enabling toxicology studies, and plan to file an IND application during the first quarter of 2020,” said Joseph Payne, President and Chief Executive Officer of Arcturus. “Earlier this morning, we announced the expansion of our technology platform to include self-replicating RNA (STARR technology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for human and animal health vaccine applications. Furthermore, we have successfully raised significant capital from institutional and strategic investors to fund our operations into 2021,” concluded Payne.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Third quarter Ended September 30, 2019</w:t>
      </w:r>
    </w:p>
    <w:p>
      <w:pPr>
        <w:spacing w:after="0" w:line="1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Revenues in conjunction with strategic alliances and collaborations</w:t>
      </w:r>
      <w:r>
        <w:rPr>
          <w:rFonts w:ascii="Times New Roman" w:cs="Times New Roman" w:eastAsia="Times New Roman" w:hAnsi="Times New Roman"/>
          <w:sz w:val="18"/>
          <w:szCs w:val="18"/>
          <w:color w:val="auto"/>
        </w:rPr>
        <w:t>: Collaboration revenue was $3.3 million during the quarter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compared to $3.4 million in the quarter ended September 30, 2018.</w:t>
      </w:r>
    </w:p>
    <w:p>
      <w:pPr>
        <w:spacing w:after="0" w:line="1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Operating Expenses</w:t>
      </w:r>
      <w:r>
        <w:rPr>
          <w:rFonts w:ascii="Times New Roman" w:cs="Times New Roman" w:eastAsia="Times New Roman" w:hAnsi="Times New Roman"/>
          <w:sz w:val="18"/>
          <w:szCs w:val="18"/>
          <w:color w:val="auto"/>
        </w:rPr>
        <w:t>: Operating expenses were $10.9 million in the quarter ended September 30, 2019, compared to $7.8 million in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Loss</w:t>
      </w:r>
      <w:r>
        <w:rPr>
          <w:rFonts w:ascii="Times New Roman" w:cs="Times New Roman" w:eastAsia="Times New Roman" w:hAnsi="Times New Roman"/>
          <w:sz w:val="18"/>
          <w:szCs w:val="18"/>
          <w:color w:val="auto"/>
        </w:rPr>
        <w:t>: Net loss for the quarter ended September 30, 2019 was approximately $7.4 million, or ($0.56) per basic and diluted share, compared with a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of $4.3 million, or ($0.42) per basic and diluted share, in the quarter ended September 30, 2018.</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Cash</w:t>
      </w:r>
      <w:r>
        <w:rPr>
          <w:rFonts w:ascii="Times New Roman" w:cs="Times New Roman" w:eastAsia="Times New Roman" w:hAnsi="Times New Roman"/>
          <w:sz w:val="18"/>
          <w:szCs w:val="18"/>
          <w:color w:val="auto"/>
        </w:rPr>
        <w:t>: At September 30, 2019, Arcturus had cash and cash equivalents totaling $74.2 million, compared to cash, cash equivalents of $36.7 million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Subsequent to the end of the fiscal quarter we received approximately $7.0 million as a result of increasing our bank facility and an insurance settlement. This provides adequate funding to support the Company’s current programs through at least the first quarter of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Nine months Ended September 30, 2019</w:t>
      </w:r>
    </w:p>
    <w:p>
      <w:pPr>
        <w:spacing w:after="0" w:line="119"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Revenues in conjunction with strategic alliances and collaborations</w:t>
      </w:r>
      <w:r>
        <w:rPr>
          <w:rFonts w:ascii="Times New Roman" w:cs="Times New Roman" w:eastAsia="Times New Roman" w:hAnsi="Times New Roman"/>
          <w:sz w:val="18"/>
          <w:szCs w:val="18"/>
          <w:color w:val="auto"/>
        </w:rPr>
        <w:t>: Collaboration revenue was $17.8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compared to $8.2 million in the nine months ended September 30, 2018.</w:t>
      </w:r>
    </w:p>
    <w:p>
      <w:pPr>
        <w:spacing w:after="0" w:line="15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Operating expenses</w:t>
      </w:r>
      <w:r>
        <w:rPr>
          <w:rFonts w:ascii="Times New Roman" w:cs="Times New Roman" w:eastAsia="Times New Roman" w:hAnsi="Times New Roman"/>
          <w:sz w:val="18"/>
          <w:szCs w:val="18"/>
          <w:color w:val="auto"/>
        </w:rPr>
        <w:t>: Operating expenses were $32.5 million in the nine months ended September 30, 2019, compared to $29.3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2018.</w:t>
      </w:r>
    </w:p>
    <w:p>
      <w:pPr>
        <w:sectPr>
          <w:pgSz w:w="11900" w:h="16838" w:orient="portrait"/>
          <w:cols w:equalWidth="0" w:num="1">
            <w:col w:w="11020"/>
          </w:cols>
          <w:pgMar w:left="440" w:top="117" w:right="439" w:bottom="1440" w:gutter="0" w:footer="0" w:header="0"/>
        </w:sectPr>
      </w:pPr>
    </w:p>
    <w:bookmarkStart w:id="5" w:name="page6"/>
    <w:bookmarkEnd w:id="5"/>
    <w:p>
      <w:pPr>
        <w:ind w:right="6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Loss</w:t>
      </w:r>
      <w:r>
        <w:rPr>
          <w:rFonts w:ascii="Times New Roman" w:cs="Times New Roman" w:eastAsia="Times New Roman" w:hAnsi="Times New Roman"/>
          <w:sz w:val="18"/>
          <w:szCs w:val="18"/>
          <w:color w:val="auto"/>
        </w:rPr>
        <w:t>: Net loss for the nine-month period ended September 30, 2019 was approximately $15.0 million, or ($1.18) per basic and diluted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a net loss of $20.8 million, or ($2.07) per basic and diluted share, in the nine-month period ended September 30, 2018.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Thursday, November 7</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 4:30pm Eastern Time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800-458-4121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323-794-2597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7909937</w:t>
            </w:r>
          </w:p>
        </w:tc>
      </w:tr>
      <w:tr>
        <w:trPr>
          <w:trHeight w:val="194"/>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Webcast:</w:t>
            </w:r>
          </w:p>
        </w:tc>
        <w:tc>
          <w:tcPr>
            <w:tcW w:w="33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http://public.viavid.com/index.php?id=136708</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Founded in 2013 and based in San Diego, California, Arcturus Therapeutics Holdings Inc. (Nasdaq: ARCT) is an RNA medicines company with enabling technologies – </w:t>
      </w:r>
      <w:r>
        <w:rPr>
          <w:rFonts w:ascii="Times New Roman" w:cs="Times New Roman" w:eastAsia="Times New Roman" w:hAnsi="Times New Roman"/>
          <w:sz w:val="18"/>
          <w:szCs w:val="18"/>
          <w:b w:val="1"/>
          <w:bCs w:val="1"/>
          <w:color w:val="auto"/>
        </w:rPr>
        <w:t>LUNAR</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lipid-mediated delivery, Unlocked Nucleomonomer Analog (UNA) chemistry, STARR technology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xml:space="preserve">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(177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t>
      </w:r>
      <w:r>
        <w:rPr>
          <w:rFonts w:ascii="Times New Roman" w:cs="Times New Roman" w:eastAsia="Times New Roman" w:hAnsi="Times New Roman"/>
          <w:sz w:val="18"/>
          <w:szCs w:val="18"/>
          <w:u w:val="single" w:color="auto"/>
          <w:color w:val="auto"/>
        </w:rPr>
        <w:t>www.Arcturusrx.com</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strategy, future operations, collaborations, the likelihood of success of the Company’s technology or potential development of any products, the status of preclinical and clinical development programs, the planned initiation of clinical trials, the expected employment of key personnel, the adequacy of the Company’s funding relative to its capital requirements and the Company’s future cash and financial position,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IR@ArcturusRx.com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Investor 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ind w:right="8920" w:firstLine="4"/>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597-6983 </w:t>
      </w:r>
      <w:r>
        <w:rPr>
          <w:rFonts w:ascii="Times New Roman" w:cs="Times New Roman" w:eastAsia="Times New Roman" w:hAnsi="Times New Roman"/>
          <w:sz w:val="17"/>
          <w:szCs w:val="17"/>
          <w:u w:val="single" w:color="auto"/>
          <w:color w:val="auto"/>
        </w:rPr>
        <w:t>mwood@lifesciadvisors.com</w:t>
      </w:r>
    </w:p>
    <w:p>
      <w:pPr>
        <w:sectPr>
          <w:pgSz w:w="11900" w:h="16838" w:orient="portrait"/>
          <w:cols w:equalWidth="0" w:num="1">
            <w:col w:w="11020"/>
          </w:cols>
          <w:pgMar w:left="440" w:top="268"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HOLDINGS INC. AND ITS SUBSIDIARIES</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(In U.S. dollars in thousands, except par value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74,172</w:t>
            </w:r>
          </w:p>
        </w:tc>
        <w:tc>
          <w:tcPr>
            <w:tcW w:w="6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Equity-method investment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87,215</w:t>
            </w:r>
          </w:p>
        </w:tc>
        <w:tc>
          <w:tcPr>
            <w:tcW w:w="6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6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87,215</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HOLDINGS INC. AND ITS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U.S. dollars 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(7,616)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(4,356)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(21,100)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equity-method investment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income,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(15,002)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(20,774)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(15,002)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(15,002)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2019-12-28T02:21:58Z</dcterms:created>
  <dcterms:modified xsi:type="dcterms:W3CDTF">2019-12-28T02:21:58Z</dcterms:modified>
</cp:coreProperties>
</file>