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59"/>
        <w:spacing w:after="0"/>
        <w:rPr>
          <w:sz w:val="20"/>
          <w:szCs w:val="20"/>
          <w:color w:val="auto"/>
        </w:rPr>
      </w:pPr>
      <w:r>
        <w:rPr>
          <w:rFonts w:ascii="Arial" w:cs="Arial" w:eastAsia="Arial" w:hAnsi="Arial"/>
          <w:sz w:val="18"/>
          <w:szCs w:val="18"/>
          <w:color w:val="auto"/>
        </w:rPr>
        <w:t>UNITED STATES</w:t>
      </w:r>
    </w:p>
    <w:p>
      <w:pPr>
        <w:spacing w:after="0" w:line="225"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Form 6-K</w:t>
      </w:r>
    </w:p>
    <w:p>
      <w:pPr>
        <w:spacing w:after="0" w:line="225"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Pursuant to Rule 13a-16 or 15d-16</w:t>
      </w:r>
    </w:p>
    <w:p>
      <w:pPr>
        <w:spacing w:after="0" w:line="9"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under the Securities Exchange Act of 1934</w:t>
      </w:r>
    </w:p>
    <w:p>
      <w:pPr>
        <w:spacing w:after="0" w:line="211"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For the month of: October 2014 (Report No. 2)</w:t>
      </w:r>
    </w:p>
    <w:p>
      <w:pPr>
        <w:spacing w:after="0" w:line="225" w:lineRule="exact"/>
        <w:rPr>
          <w:sz w:val="24"/>
          <w:szCs w:val="24"/>
          <w:color w:val="auto"/>
        </w:rPr>
      </w:pPr>
    </w:p>
    <w:p>
      <w:pPr>
        <w:jc w:val="center"/>
        <w:ind w:right="-759"/>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ind w:left="4740"/>
        <w:spacing w:after="0"/>
        <w:rPr>
          <w:sz w:val="20"/>
          <w:szCs w:val="20"/>
          <w:color w:val="auto"/>
        </w:rPr>
      </w:pPr>
      <w:r>
        <w:rPr>
          <w:rFonts w:ascii="Arial" w:cs="Arial" w:eastAsia="Arial" w:hAnsi="Arial"/>
          <w:sz w:val="18"/>
          <w:szCs w:val="18"/>
          <w:color w:val="auto"/>
        </w:rPr>
        <w:t>Amot Investment Building</w:t>
      </w:r>
    </w:p>
    <w:p>
      <w:pPr>
        <w:ind w:left="4840"/>
        <w:spacing w:after="0" w:line="195" w:lineRule="auto"/>
        <w:rPr>
          <w:sz w:val="20"/>
          <w:szCs w:val="20"/>
          <w:color w:val="auto"/>
        </w:rPr>
      </w:pPr>
      <w:r>
        <w:rPr>
          <w:rFonts w:ascii="Arial" w:cs="Arial" w:eastAsia="Arial" w:hAnsi="Arial"/>
          <w:sz w:val="18"/>
          <w:szCs w:val="18"/>
          <w:color w:val="auto"/>
        </w:rPr>
        <w:t>2 Weizman St. 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4"/>
          <w:szCs w:val="24"/>
          <w:color w:val="auto"/>
        </w:rPr>
      </w:pPr>
    </w:p>
    <w:p>
      <w:pPr>
        <w:jc w:val="center"/>
        <w:ind w:right="-759"/>
        <w:spacing w:after="0"/>
        <w:rPr>
          <w:sz w:val="20"/>
          <w:szCs w:val="20"/>
          <w:color w:val="auto"/>
        </w:rPr>
      </w:pPr>
      <w:r>
        <w:rPr>
          <w:rFonts w:ascii="Arial" w:cs="Arial" w:eastAsia="Arial" w:hAnsi="Arial"/>
          <w:sz w:val="18"/>
          <w:szCs w:val="18"/>
          <w:u w:val="single" w:color="auto"/>
          <w:color w:val="auto"/>
        </w:rPr>
        <w:t>Tel Aviv 6423902 Israel</w:t>
      </w:r>
    </w:p>
    <w:p>
      <w:pPr>
        <w:spacing w:after="0" w:line="7" w:lineRule="exact"/>
        <w:rPr>
          <w:sz w:val="24"/>
          <w:szCs w:val="24"/>
          <w:color w:val="auto"/>
        </w:rPr>
      </w:pPr>
    </w:p>
    <w:p>
      <w:pPr>
        <w:jc w:val="center"/>
        <w:ind w:right="-759"/>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Form 20-F x Form 40-F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Regulations S-T Rule 101(b)(1):_____</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Regulations S-T Rule 101(b)(7):_____</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38"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 </w:t>
      </w:r>
      <w:r>
        <w:rPr>
          <w:rFonts w:ascii="Arial" w:cs="Arial" w:eastAsia="Arial" w:hAnsi="Arial"/>
          <w:sz w:val="18"/>
          <w:szCs w:val="18"/>
          <w:u w:val="single" w:color="auto"/>
          <w:color w:val="auto"/>
        </w:rPr>
        <w:t>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80"/>
          </w:cols>
          <w:pgMar w:left="240" w:top="449" w:right="979" w:bottom="1440" w:gutter="0" w:footer="0" w:header="0"/>
        </w:sectPr>
      </w:pPr>
    </w:p>
    <w:bookmarkStart w:id="1" w:name="page2"/>
    <w:bookmarkEnd w:id="1"/>
    <w:p>
      <w:pPr>
        <w:ind w:right="100" w:firstLine="648"/>
        <w:spacing w:after="0" w:line="277" w:lineRule="auto"/>
        <w:rPr>
          <w:sz w:val="20"/>
          <w:szCs w:val="20"/>
          <w:color w:val="auto"/>
        </w:rPr>
      </w:pPr>
      <w:r>
        <w:rPr>
          <w:rFonts w:ascii="Arial" w:cs="Arial" w:eastAsia="Arial" w:hAnsi="Arial"/>
          <w:sz w:val="18"/>
          <w:szCs w:val="18"/>
          <w:color w:val="auto"/>
        </w:rPr>
        <w:t>Alcobra Ltd. has posted a presentation to its website. A copy of the presentation is furnished with this Report of Foreign Private Issuer on Form 6-K as Exhibit 99.1 and is incorporated herein by reference.</w:t>
      </w:r>
    </w:p>
    <w:p>
      <w:pPr>
        <w:spacing w:after="0" w:line="166"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presentation attached hereto as Exhibit 99.1 may contain forward-looking statements within the meaning of the "safe harbor" provisions of the Private Securities Litigation Reform Act of 1995 and other Federal securities laws. Because such statements deal with future events and are based on Alcobra's current expectations, they are subject to various risks and uncertainties and actual results, performance or achievements of Alcobra could differ materially from those described in or implied by the statements in such presentation. For example, historic results of scientific research and clinical and preclinical trials do not guarantee that the conclusions of future research or trials would not suggest different conclusions or that historic results referred to in such presentation would not be interpreted differently in light of additional research and clinical and preclinical trials results. The forward-looking statements contained or implied in such presentation are subject to other risks and uncertainties, including those discussed under the heading "Risk Factors" in Alcobra Ltd.'s Annual Report on Form 20-F filed with the Securities and Exchange Commission ("SEC") on March 28, 2014, and in subsequent filings with the SEC. Except as otherwise required by law, Alcobra disclaims any intention or obligation to update or revise any forward-looking statements, which speak only as of the date hereof, whether as a result of new information, future events or circumstances or otherwise.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 No.</w:t>
      </w:r>
    </w:p>
    <w:p>
      <w:pPr>
        <w:spacing w:after="0" w:line="229" w:lineRule="exact"/>
        <w:rPr>
          <w:sz w:val="20"/>
          <w:szCs w:val="20"/>
          <w:color w:val="auto"/>
        </w:rPr>
      </w:pPr>
    </w:p>
    <w:p>
      <w:pPr>
        <w:ind w:left="580"/>
        <w:spacing w:after="0"/>
        <w:tabs>
          <w:tab w:leader="none" w:pos="18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4240"/>
        <w:spacing w:after="0"/>
        <w:rPr>
          <w:sz w:val="20"/>
          <w:szCs w:val="20"/>
          <w:color w:val="auto"/>
        </w:rPr>
      </w:pPr>
      <w:r>
        <w:rPr>
          <w:rFonts w:ascii="Arial" w:cs="Arial" w:eastAsia="Arial" w:hAnsi="Arial"/>
          <w:sz w:val="18"/>
          <w:szCs w:val="18"/>
          <w:u w:val="single" w:color="auto"/>
          <w:color w:val="auto"/>
        </w:rPr>
        <w:t>Alcobra Ltd.</w:t>
      </w:r>
    </w:p>
    <w:p>
      <w:pPr>
        <w:spacing w:after="0" w:line="23"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Dr. Yaron Daniely</w:t>
      </w:r>
    </w:p>
    <w:p>
      <w:pPr>
        <w:spacing w:after="0" w:line="23"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Name: Dr. Yaron Daniely</w:t>
      </w:r>
    </w:p>
    <w:p>
      <w:pPr>
        <w:spacing w:after="0" w:line="21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Chief Executive Officer and President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October 22,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904" w:right="399" w:bottom="1440"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5145405" cy="3858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8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88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8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88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8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88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8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88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8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88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8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71440" cy="38849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5171440" cy="38849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88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8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88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8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88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8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88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8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88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8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88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8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213985" cy="39103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5213985" cy="39103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88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8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88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8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88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8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88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8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88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8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88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8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88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8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88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8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88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8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88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8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88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8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88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8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88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8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88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8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88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8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88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8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88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8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88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8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88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8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88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8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88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8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88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8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88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8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88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8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5145405" cy="38588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5145405" cy="38588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2019-12-08T06:28:00Z</dcterms:created>
  <dcterms:modified xsi:type="dcterms:W3CDTF">2019-12-08T06:28:00Z</dcterms:modified>
</cp:coreProperties>
</file>