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29,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001-38942</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32-0595345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41"/>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10628 Science Center Drive, Suite 250</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(858) 900-2660</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66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4"/>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w:t>
            </w:r>
          </w:p>
        </w:tc>
      </w:tr>
      <w:tr>
        <w:trPr>
          <w:trHeight w:val="234"/>
        </w:trPr>
        <w:tc>
          <w:tcPr>
            <w:tcW w:w="4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ARCT</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10"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29, 2021, Arcturus Therapeutics, Inc. (the “</w:t>
      </w:r>
      <w:r>
        <w:rPr>
          <w:rFonts w:ascii="Arial" w:cs="Arial" w:eastAsia="Arial" w:hAnsi="Arial"/>
          <w:sz w:val="18"/>
          <w:szCs w:val="18"/>
          <w:u w:val="single" w:color="auto"/>
          <w:color w:val="auto"/>
        </w:rPr>
        <w:t>Company</w:t>
      </w:r>
      <w:r>
        <w:rPr>
          <w:rFonts w:ascii="Arial" w:cs="Arial" w:eastAsia="Arial" w:hAnsi="Arial"/>
          <w:sz w:val="18"/>
          <w:szCs w:val="18"/>
          <w:color w:val="auto"/>
        </w:rPr>
        <w:t>”) a wholly owned subsidiary of Arcturus Therapeutics Holdings Inc. (“</w:t>
      </w:r>
      <w:r>
        <w:rPr>
          <w:rFonts w:ascii="Arial" w:cs="Arial" w:eastAsia="Arial" w:hAnsi="Arial"/>
          <w:sz w:val="18"/>
          <w:szCs w:val="18"/>
          <w:u w:val="single" w:color="auto"/>
          <w:color w:val="auto"/>
        </w:rPr>
        <w:t>Arcturus</w:t>
      </w:r>
      <w:r>
        <w:rPr>
          <w:rFonts w:ascii="Arial" w:cs="Arial" w:eastAsia="Arial" w:hAnsi="Arial"/>
          <w:sz w:val="18"/>
          <w:szCs w:val="18"/>
          <w:color w:val="auto"/>
        </w:rPr>
        <w:t>”), entered into a Lease Agreement (the “</w:t>
      </w:r>
      <w:r>
        <w:rPr>
          <w:rFonts w:ascii="Arial" w:cs="Arial" w:eastAsia="Arial" w:hAnsi="Arial"/>
          <w:sz w:val="18"/>
          <w:szCs w:val="18"/>
          <w:u w:val="single" w:color="auto"/>
          <w:color w:val="auto"/>
        </w:rPr>
        <w:t>Lease</w:t>
      </w:r>
      <w:r>
        <w:rPr>
          <w:rFonts w:ascii="Arial" w:cs="Arial" w:eastAsia="Arial" w:hAnsi="Arial"/>
          <w:sz w:val="18"/>
          <w:szCs w:val="18"/>
          <w:color w:val="auto"/>
        </w:rPr>
        <w:t>”) with TPSC IX, LLC (the “</w:t>
      </w:r>
      <w:r>
        <w:rPr>
          <w:rFonts w:ascii="Arial" w:cs="Arial" w:eastAsia="Arial" w:hAnsi="Arial"/>
          <w:sz w:val="18"/>
          <w:szCs w:val="18"/>
          <w:u w:val="single" w:color="auto"/>
          <w:color w:val="auto"/>
        </w:rPr>
        <w:t>Landlord</w:t>
      </w:r>
      <w:r>
        <w:rPr>
          <w:rFonts w:ascii="Arial" w:cs="Arial" w:eastAsia="Arial" w:hAnsi="Arial"/>
          <w:sz w:val="18"/>
          <w:szCs w:val="18"/>
          <w:color w:val="auto"/>
        </w:rPr>
        <w:t>”) for office, research and development, engineering and laboratory space (the “</w:t>
      </w:r>
      <w:r>
        <w:rPr>
          <w:rFonts w:ascii="Arial" w:cs="Arial" w:eastAsia="Arial" w:hAnsi="Arial"/>
          <w:sz w:val="18"/>
          <w:szCs w:val="18"/>
          <w:u w:val="single" w:color="auto"/>
          <w:color w:val="auto"/>
        </w:rPr>
        <w:t>Leased Premises</w:t>
      </w:r>
      <w:r>
        <w:rPr>
          <w:rFonts w:ascii="Arial" w:cs="Arial" w:eastAsia="Arial" w:hAnsi="Arial"/>
          <w:sz w:val="18"/>
          <w:szCs w:val="18"/>
          <w:color w:val="auto"/>
        </w:rPr>
        <w:t>”) located at 10285 Science Center Drive, San Diego, California (the “</w:t>
      </w:r>
      <w:r>
        <w:rPr>
          <w:rFonts w:ascii="Arial" w:cs="Arial" w:eastAsia="Arial" w:hAnsi="Arial"/>
          <w:sz w:val="18"/>
          <w:szCs w:val="18"/>
          <w:u w:val="single" w:color="auto"/>
          <w:color w:val="auto"/>
        </w:rPr>
        <w:t>Property</w:t>
      </w:r>
      <w:r>
        <w:rPr>
          <w:rFonts w:ascii="Arial" w:cs="Arial" w:eastAsia="Arial" w:hAnsi="Arial"/>
          <w:sz w:val="18"/>
          <w:szCs w:val="18"/>
          <w:color w:val="auto"/>
        </w:rPr>
        <w:t>”). The Leased Premises will serve as an addition to Arcturus’ existing properties.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initial term of the Lease commences upon the Landlord’s delivery of the Leased Premises in tenant improvement readiness condition (the “</w:t>
      </w:r>
      <w:r>
        <w:rPr>
          <w:rFonts w:ascii="Arial" w:cs="Arial" w:eastAsia="Arial" w:hAnsi="Arial"/>
          <w:sz w:val="18"/>
          <w:szCs w:val="18"/>
          <w:u w:val="single" w:color="auto"/>
          <w:color w:val="auto"/>
        </w:rPr>
        <w:t>Possession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 initial term of the Lease will extend ten years and eight months from the Possession Date, unless earlier terminated in accordance with the Lease. The Company will have the right to extend the term of the Lease for an additional 5-year term.</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Lease, the Company will lease approximately 43,234 square feet at the Property. The Company will pay an escalating base rent over the life of the Lease and its pro rata portion of property expenses and operating expenses for the Property.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description of the terms of the Lease does not purport to be complete and is qualified in its entirety by reference to the full text of the Lease, which will be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as an exhibit to Arcturus’ Quarterly Report on Form 10-Q for the quarter ended September 30, 2021.</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included in Item 1.01 of this Current Report on Form 8-K is incorporated into this Item 2.03 of this Current Report on Form 8-K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October 5, 2021</w:t>
      </w:r>
    </w:p>
    <w:p>
      <w:pPr>
        <w:spacing w:after="0" w:line="211" w:lineRule="exact"/>
        <w:rPr>
          <w:sz w:val="20"/>
          <w:szCs w:val="20"/>
          <w:color w:val="auto"/>
        </w:rPr>
      </w:pPr>
    </w:p>
    <w:tbl>
      <w:tblPr>
        <w:tblLayout w:type="fixed"/>
        <w:tblInd w:w="65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2021-10-05T16:04:01Z</dcterms:created>
  <dcterms:modified xsi:type="dcterms:W3CDTF">2021-10-05T16:04:01Z</dcterms:modified>
</cp:coreProperties>
</file>