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0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29, 2021, Arcturus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a wholly owned subsidiary of Arcturus Therapeutics Holdings Inc., entered into a definitive Technology License and Technical Support Agreement (the “</w:t>
      </w:r>
      <w:r>
        <w:rPr>
          <w:rFonts w:ascii="Arial" w:cs="Arial" w:eastAsia="Arial" w:hAnsi="Arial"/>
          <w:sz w:val="17"/>
          <w:szCs w:val="17"/>
          <w:u w:val="single" w:color="auto"/>
          <w:color w:val="auto"/>
        </w:rPr>
        <w:t>License Agreement</w:t>
      </w:r>
      <w:r>
        <w:rPr>
          <w:rFonts w:ascii="Arial" w:cs="Arial" w:eastAsia="Arial" w:hAnsi="Arial"/>
          <w:sz w:val="17"/>
          <w:szCs w:val="17"/>
          <w:color w:val="auto"/>
        </w:rPr>
        <w:t>”) and a definitive Framework Drug Substance Supply Agreement (the “</w:t>
      </w:r>
      <w:r>
        <w:rPr>
          <w:rFonts w:ascii="Arial" w:cs="Arial" w:eastAsia="Arial" w:hAnsi="Arial"/>
          <w:sz w:val="17"/>
          <w:szCs w:val="17"/>
          <w:u w:val="single" w:color="auto"/>
          <w:color w:val="auto"/>
        </w:rPr>
        <w:t>Supply Agreement</w:t>
      </w:r>
      <w:r>
        <w:rPr>
          <w:rFonts w:ascii="Arial" w:cs="Arial" w:eastAsia="Arial" w:hAnsi="Arial"/>
          <w:sz w:val="17"/>
          <w:szCs w:val="17"/>
          <w:color w:val="auto"/>
        </w:rPr>
        <w:t>”) with Vinbiocare Biotechnology Joint Stock Company, a company established under the laws of Vietnam, regarding a collaboration to establish a manufacturing facility in Vietnam for the manufacture of the Company’s investigational COVID-19 vaccines, for sale and use within Vietnam. The License Agreement and Supply Agreement each became effective on July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Pursuant to the terms of the License Agreement, Vinbiocare will, with consultation from the Company, to build a manufacturing facility in Vietnam (the “Facility”), and the Company has agreed to provide to Vinbiocare access to proprietary technologies and processes for the manufacture of the Company’s investigational COVID-19 vaccines (the “</w:t>
      </w:r>
      <w:r>
        <w:rPr>
          <w:rFonts w:ascii="Arial" w:cs="Arial" w:eastAsia="Arial" w:hAnsi="Arial"/>
          <w:sz w:val="18"/>
          <w:szCs w:val="18"/>
          <w:u w:val="single" w:color="auto"/>
          <w:color w:val="auto"/>
        </w:rPr>
        <w:t>Vaccines</w:t>
      </w:r>
      <w:r>
        <w:rPr>
          <w:rFonts w:ascii="Arial" w:cs="Arial" w:eastAsia="Arial" w:hAnsi="Arial"/>
          <w:sz w:val="18"/>
          <w:szCs w:val="18"/>
          <w:color w:val="auto"/>
        </w:rPr>
        <w:t>”). The initial Vaccines are ARCT-021 and ARCT-154 and may expand to additional COVID-19 vaccine candidates of the Company that utilize the Company’s LUNAR® delivery platform. The Company has granted to Vinbiocare an exclusive license to manufacture the Vaccines in Vietnam at the Facility solely for distribution in Vietnam. The license and technology transfer applies to the manufacturing of the final drug product of the Vaccines, but not to the manufacturing of mRNA drug substance or to the manufacture of the Company’s proprietary lipids used in its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delivery platform.</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pursuant to the terms of the License Agreement, Vinbiocare is required to make a non-refundable upfront payment to the Company and will be responsible for costs associated with the technology transfer. Vinbiocare is also required to pay to the Company a royalty on each dose of the Vaccines produced at the Facility. Other than the mRNA drug substance and the Company’s proprietary lipids, which will be sold by the Company to Vinbiocare, Vinbiocare is responsible for procuring all other raw materials and other inputs for the final Vaccine drug product.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control development of the Vaccines in Vietnam, except as otherwise agreed by the parties. Vinbiocare will be responsible for commercialization activities for the Vaccines manufactured at the Facility for distribution within Vietnam.</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earlier terminated, the License Agreement will expire on December 31, 2032. The Company has the right to terminate the License Agreement upon certain events, including if the Supply Agreement terminates, if Vinbiocare does not, on or prior to December 31, 2023, make a commercial dose of the Vaccine in Vietnam following regulatory approval, and if the Company determines to globally cease manufacture, development or commercialization of the Vaccines. Vinbiocare may terminate the License Agreement for convenience. Either party may terminate the License Agreement for uncured material breach of the other party. Vinbiocare’s obligations under the License Agreement and Supply Agreement have been guaranteed by its parent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Supply Agreement, the Company will supply, and Vinbiocare will pay for, mRNA drug substance for the manufacture of the Vaccines under the License Agreement. The Supply Agreement will terminate contemporaneously with the License Agreement. In addition, each party may terminate the Supply Agreement for uncured material breach of the other party.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material terms of the License Agreement and Supply Agreement do not purport to be complete and is qualified in its entirety by reference to the License Agreement and the Supply Agreement, each of which will be filed with the Securities and Exchange Commission as an exhibit to the Company’s Quarterly Report on Form 10-Q for the quarter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11"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2021-08-04T16:22:58Z</dcterms:created>
  <dcterms:modified xsi:type="dcterms:W3CDTF">2021-08-04T16:22:58Z</dcterms:modified>
</cp:coreProperties>
</file>