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15, 2018</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color w:val="auto"/>
                <w:w w:val="89"/>
              </w:rPr>
              <w:t>State of Israel</w:t>
            </w:r>
          </w:p>
        </w:tc>
        <w:tc>
          <w:tcPr>
            <w:tcW w:w="406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4380" w:type="dxa"/>
            <w:vAlign w:val="bottom"/>
          </w:tcPr>
          <w:p>
            <w:pPr>
              <w:jc w:val="center"/>
              <w:ind w:right="1350"/>
              <w:spacing w:after="0"/>
              <w:rPr>
                <w:sz w:val="20"/>
                <w:szCs w:val="20"/>
                <w:color w:val="auto"/>
              </w:rPr>
            </w:pPr>
            <w:r>
              <w:rPr>
                <w:rFonts w:ascii="Arial" w:cs="Arial" w:eastAsia="Arial" w:hAnsi="Arial"/>
                <w:sz w:val="18"/>
                <w:szCs w:val="18"/>
                <w:color w:val="auto"/>
                <w:w w:val="93"/>
              </w:rPr>
              <w:t>(State or other jurisdiction of</w:t>
            </w:r>
          </w:p>
        </w:tc>
        <w:tc>
          <w:tcPr>
            <w:tcW w:w="4060" w:type="dxa"/>
            <w:vAlign w:val="bottom"/>
          </w:tcPr>
          <w:p>
            <w:pPr>
              <w:jc w:val="center"/>
              <w:ind w:left="137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color w:val="auto"/>
                <w:w w:val="93"/>
              </w:rPr>
              <w:t>incorporation or organization)</w:t>
            </w:r>
          </w:p>
        </w:tc>
        <w:tc>
          <w:tcPr>
            <w:tcW w:w="4060" w:type="dxa"/>
            <w:vAlign w:val="bottom"/>
          </w:tcPr>
          <w:p>
            <w:pPr>
              <w:spacing w:after="0"/>
              <w:rPr>
                <w:sz w:val="20"/>
                <w:szCs w:val="20"/>
                <w:color w:val="auto"/>
              </w:rPr>
            </w:pPr>
          </w:p>
        </w:tc>
      </w:tr>
      <w:tr>
        <w:trPr>
          <w:trHeight w:val="414"/>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color w:val="auto"/>
                <w:w w:val="89"/>
              </w:rPr>
              <w:t>10628 Science Center Drive, Suite 200</w:t>
            </w:r>
          </w:p>
        </w:tc>
        <w:tc>
          <w:tcPr>
            <w:tcW w:w="4060" w:type="dxa"/>
            <w:vAlign w:val="bottom"/>
          </w:tcPr>
          <w:p>
            <w:pPr>
              <w:jc w:val="center"/>
              <w:ind w:left="1370"/>
              <w:spacing w:after="0"/>
              <w:rPr>
                <w:sz w:val="20"/>
                <w:szCs w:val="20"/>
                <w:color w:val="auto"/>
              </w:rPr>
            </w:pPr>
            <w:r>
              <w:rPr>
                <w:rFonts w:ascii="Arial" w:cs="Arial" w:eastAsia="Arial" w:hAnsi="Arial"/>
                <w:sz w:val="18"/>
                <w:szCs w:val="18"/>
                <w:b w:val="1"/>
                <w:bCs w:val="1"/>
                <w:color w:val="auto"/>
                <w:w w:val="87"/>
              </w:rPr>
              <w:t>92121</w:t>
            </w:r>
          </w:p>
        </w:tc>
      </w:tr>
      <w:tr>
        <w:trPr>
          <w:trHeight w:val="22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1"/>
              </w:rPr>
              <w:t>San Diego, California</w:t>
            </w:r>
          </w:p>
        </w:tc>
        <w:tc>
          <w:tcPr>
            <w:tcW w:w="4060" w:type="dxa"/>
            <w:vAlign w:val="bottom"/>
          </w:tcPr>
          <w:p>
            <w:pPr>
              <w:jc w:val="center"/>
              <w:ind w:left="1370"/>
              <w:spacing w:after="0"/>
              <w:rPr>
                <w:sz w:val="20"/>
                <w:szCs w:val="20"/>
                <w:color w:val="auto"/>
              </w:rPr>
            </w:pPr>
            <w:r>
              <w:rPr>
                <w:rFonts w:ascii="Arial" w:cs="Arial" w:eastAsia="Arial" w:hAnsi="Arial"/>
                <w:sz w:val="18"/>
                <w:szCs w:val="18"/>
                <w:color w:val="auto"/>
                <w:w w:val="94"/>
              </w:rPr>
              <w:t>(Zip Code)</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 2018 Omnibus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184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5700" w:type="dxa"/>
            <w:vAlign w:val="bottom"/>
          </w:tcPr>
          <w:p>
            <w:pPr>
              <w:ind w:left="620"/>
              <w:spacing w:after="0"/>
              <w:rPr>
                <w:sz w:val="20"/>
                <w:szCs w:val="20"/>
                <w:color w:val="auto"/>
              </w:rPr>
            </w:pPr>
            <w:r>
              <w:rPr>
                <w:rFonts w:ascii="Arial" w:cs="Arial" w:eastAsia="Arial" w:hAnsi="Arial"/>
                <w:sz w:val="18"/>
                <w:szCs w:val="18"/>
                <w:color w:val="auto"/>
              </w:rPr>
              <w:t>COPIES TO:</w:t>
            </w:r>
          </w:p>
        </w:tc>
      </w:tr>
      <w:tr>
        <w:trPr>
          <w:trHeight w:val="418"/>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2"/>
              </w:rPr>
              <w:t>Dentons US LLP</w:t>
            </w:r>
          </w:p>
        </w:tc>
        <w:tc>
          <w:tcPr>
            <w:tcW w:w="5700" w:type="dxa"/>
            <w:vAlign w:val="bottom"/>
          </w:tcPr>
          <w:p>
            <w:pPr>
              <w:jc w:val="center"/>
              <w:ind w:left="2110"/>
              <w:spacing w:after="0"/>
              <w:rPr>
                <w:sz w:val="20"/>
                <w:szCs w:val="20"/>
                <w:color w:val="auto"/>
              </w:rPr>
            </w:pPr>
            <w:r>
              <w:rPr>
                <w:rFonts w:ascii="Arial" w:cs="Arial" w:eastAsia="Arial" w:hAnsi="Arial"/>
                <w:sz w:val="18"/>
                <w:szCs w:val="18"/>
                <w:color w:val="auto"/>
                <w:w w:val="92"/>
              </w:rPr>
              <w:t>Barnea Jaffa Lande &amp; Co Law Offices,</w:t>
            </w:r>
          </w:p>
        </w:tc>
      </w:tr>
      <w:tr>
        <w:trPr>
          <w:trHeight w:val="216"/>
        </w:trPr>
        <w:tc>
          <w:tcPr>
            <w:tcW w:w="2780" w:type="dxa"/>
            <w:vAlign w:val="bottom"/>
          </w:tcPr>
          <w:p>
            <w:pPr>
              <w:jc w:val="center"/>
              <w:ind w:right="550"/>
              <w:spacing w:after="0"/>
              <w:rPr>
                <w:sz w:val="20"/>
                <w:szCs w:val="20"/>
                <w:color w:val="auto"/>
              </w:rPr>
            </w:pPr>
            <w:r>
              <w:rPr>
                <w:rFonts w:ascii="Arial" w:cs="Arial" w:eastAsia="Arial" w:hAnsi="Arial"/>
                <w:sz w:val="18"/>
                <w:szCs w:val="18"/>
                <w:color w:val="auto"/>
                <w:w w:val="90"/>
              </w:rPr>
              <w:t>1221 Avenue of the Americas</w:t>
            </w:r>
          </w:p>
        </w:tc>
        <w:tc>
          <w:tcPr>
            <w:tcW w:w="5700" w:type="dxa"/>
            <w:vAlign w:val="bottom"/>
          </w:tcPr>
          <w:p>
            <w:pPr>
              <w:jc w:val="center"/>
              <w:ind w:left="2130"/>
              <w:spacing w:after="0"/>
              <w:rPr>
                <w:sz w:val="20"/>
                <w:szCs w:val="20"/>
                <w:color w:val="auto"/>
              </w:rPr>
            </w:pPr>
            <w:r>
              <w:rPr>
                <w:rFonts w:ascii="Arial" w:cs="Arial" w:eastAsia="Arial" w:hAnsi="Arial"/>
                <w:sz w:val="18"/>
                <w:szCs w:val="18"/>
                <w:color w:val="auto"/>
                <w:w w:val="90"/>
              </w:rPr>
              <w:t>58 HaRakevet St. Electra City Tower, 21st Floor</w:t>
            </w:r>
          </w:p>
        </w:tc>
      </w:tr>
      <w:tr>
        <w:trPr>
          <w:trHeight w:val="216"/>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3"/>
              </w:rPr>
              <w:t>New York, NY 10020-1089</w:t>
            </w:r>
          </w:p>
        </w:tc>
        <w:tc>
          <w:tcPr>
            <w:tcW w:w="5700" w:type="dxa"/>
            <w:vAlign w:val="bottom"/>
          </w:tcPr>
          <w:p>
            <w:pPr>
              <w:jc w:val="center"/>
              <w:ind w:left="2110"/>
              <w:spacing w:after="0"/>
              <w:rPr>
                <w:sz w:val="20"/>
                <w:szCs w:val="20"/>
                <w:color w:val="auto"/>
              </w:rPr>
            </w:pPr>
            <w:r>
              <w:rPr>
                <w:rFonts w:ascii="Arial" w:cs="Arial" w:eastAsia="Arial" w:hAnsi="Arial"/>
                <w:sz w:val="18"/>
                <w:szCs w:val="18"/>
                <w:color w:val="auto"/>
                <w:w w:val="92"/>
              </w:rPr>
              <w:t>Tel Aviv 6777016, Israel</w:t>
            </w:r>
          </w:p>
        </w:tc>
      </w:tr>
      <w:tr>
        <w:trPr>
          <w:trHeight w:val="230"/>
        </w:trPr>
        <w:tc>
          <w:tcPr>
            <w:tcW w:w="2780" w:type="dxa"/>
            <w:vAlign w:val="bottom"/>
          </w:tcPr>
          <w:p>
            <w:pPr>
              <w:jc w:val="center"/>
              <w:ind w:right="550"/>
              <w:spacing w:after="0"/>
              <w:rPr>
                <w:sz w:val="20"/>
                <w:szCs w:val="20"/>
                <w:color w:val="auto"/>
              </w:rPr>
            </w:pPr>
            <w:r>
              <w:rPr>
                <w:rFonts w:ascii="Arial" w:cs="Arial" w:eastAsia="Arial" w:hAnsi="Arial"/>
                <w:sz w:val="18"/>
                <w:szCs w:val="18"/>
                <w:color w:val="auto"/>
                <w:w w:val="92"/>
              </w:rPr>
              <w:t>Jeffrey A. Baumel, Esq.</w:t>
            </w:r>
          </w:p>
        </w:tc>
        <w:tc>
          <w:tcPr>
            <w:tcW w:w="5700" w:type="dxa"/>
            <w:vAlign w:val="bottom"/>
          </w:tcPr>
          <w:p>
            <w:pPr>
              <w:jc w:val="center"/>
              <w:ind w:left="2130"/>
              <w:spacing w:after="0"/>
              <w:rPr>
                <w:sz w:val="20"/>
                <w:szCs w:val="20"/>
                <w:color w:val="auto"/>
              </w:rPr>
            </w:pPr>
            <w:r>
              <w:rPr>
                <w:rFonts w:ascii="Arial" w:cs="Arial" w:eastAsia="Arial" w:hAnsi="Arial"/>
                <w:sz w:val="18"/>
                <w:szCs w:val="18"/>
                <w:color w:val="auto"/>
                <w:w w:val="91"/>
              </w:rPr>
              <w:t>Michael Barnea, Esq.</w:t>
            </w:r>
          </w:p>
        </w:tc>
      </w:tr>
    </w:tbl>
    <w:p>
      <w:pPr>
        <w:spacing w:after="0" w:line="20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40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2"/>
              </w:rPr>
              <w:t>maximum</w:t>
            </w:r>
          </w:p>
        </w:tc>
        <w:tc>
          <w:tcPr>
            <w:tcW w:w="140" w:type="dxa"/>
            <w:vAlign w:val="bottom"/>
          </w:tcPr>
          <w:p>
            <w:pPr>
              <w:spacing w:after="0"/>
              <w:rPr>
                <w:sz w:val="18"/>
                <w:szCs w:val="18"/>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maximum</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 to be</w:t>
            </w:r>
          </w:p>
        </w:tc>
        <w:tc>
          <w:tcPr>
            <w:tcW w:w="19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offering price per</w:t>
            </w:r>
          </w:p>
        </w:tc>
        <w:tc>
          <w:tcPr>
            <w:tcW w:w="140" w:type="dxa"/>
            <w:vAlign w:val="bottom"/>
          </w:tcPr>
          <w:p>
            <w:pPr>
              <w:spacing w:after="0"/>
              <w:rPr>
                <w:sz w:val="18"/>
                <w:szCs w:val="18"/>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5"/>
              </w:rPr>
              <w:t>aggregate</w:t>
            </w: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820" w:type="dxa"/>
            <w:vAlign w:val="bottom"/>
          </w:tcPr>
          <w:p>
            <w:pPr>
              <w:ind w:left="600"/>
              <w:spacing w:after="0"/>
              <w:rPr>
                <w:sz w:val="20"/>
                <w:szCs w:val="20"/>
                <w:color w:val="auto"/>
              </w:rPr>
            </w:pPr>
            <w:r>
              <w:rPr>
                <w:rFonts w:ascii="Arial" w:cs="Arial" w:eastAsia="Arial" w:hAnsi="Arial"/>
                <w:sz w:val="18"/>
                <w:szCs w:val="18"/>
                <w:b w:val="1"/>
                <w:bCs w:val="1"/>
                <w:color w:val="auto"/>
              </w:rPr>
              <w:t>Title of Securities to be Registered</w:t>
            </w:r>
          </w:p>
        </w:tc>
        <w:tc>
          <w:tcPr>
            <w:tcW w:w="18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registered (1)</w:t>
            </w:r>
          </w:p>
        </w:tc>
        <w:tc>
          <w:tcPr>
            <w:tcW w:w="160" w:type="dxa"/>
            <w:vAlign w:val="bottom"/>
          </w:tcPr>
          <w:p>
            <w:pPr>
              <w:spacing w:after="0"/>
              <w:rPr>
                <w:sz w:val="20"/>
                <w:szCs w:val="20"/>
                <w:color w:val="auto"/>
              </w:rPr>
            </w:pPr>
          </w:p>
        </w:tc>
        <w:tc>
          <w:tcPr>
            <w:tcW w:w="17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share</w:t>
            </w:r>
          </w:p>
        </w:tc>
        <w:tc>
          <w:tcPr>
            <w:tcW w:w="140" w:type="dxa"/>
            <w:vAlign w:val="bottom"/>
          </w:tcPr>
          <w:p>
            <w:pPr>
              <w:spacing w:after="0"/>
              <w:rPr>
                <w:sz w:val="20"/>
                <w:szCs w:val="20"/>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offering price</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registration fee</w:t>
            </w:r>
          </w:p>
        </w:tc>
      </w:tr>
      <w:tr>
        <w:trPr>
          <w:trHeight w:val="191"/>
        </w:trPr>
        <w:tc>
          <w:tcPr>
            <w:tcW w:w="38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Arcturus Therapeutics Ltd. 2018</w:t>
            </w:r>
          </w:p>
        </w:tc>
        <w:tc>
          <w:tcPr>
            <w:tcW w:w="1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Omnibus Equity Incentive Plan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 Shares, par value NIS 0.07</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 share</w:t>
            </w:r>
          </w:p>
        </w:tc>
        <w:tc>
          <w:tcPr>
            <w:tcW w:w="2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1,100,000(2)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7,392,000(3)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895.91</w:t>
            </w:r>
          </w:p>
        </w:tc>
      </w:tr>
    </w:tbl>
    <w:p>
      <w:pPr>
        <w:spacing w:after="0" w:line="215" w:lineRule="exact"/>
        <w:rPr>
          <w:sz w:val="20"/>
          <w:szCs w:val="20"/>
          <w:color w:val="auto"/>
        </w:rPr>
      </w:pPr>
    </w:p>
    <w:p>
      <w:pPr>
        <w:jc w:val="both"/>
        <w:ind w:left="760" w:hanging="615"/>
        <w:spacing w:after="0" w:line="26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this Registration Statement also covers an indeterminate number of additional securities which may be offered and issued to prevent dilution resulting from stock splits, stock dividends, recapitalizations or similar transactions.</w:t>
      </w:r>
    </w:p>
    <w:p>
      <w:pPr>
        <w:spacing w:after="0" w:line="73" w:lineRule="exact"/>
        <w:rPr>
          <w:rFonts w:ascii="Arial" w:cs="Arial" w:eastAsia="Arial" w:hAnsi="Arial"/>
          <w:sz w:val="18"/>
          <w:szCs w:val="18"/>
          <w:color w:val="auto"/>
        </w:rPr>
      </w:pPr>
    </w:p>
    <w:p>
      <w:pPr>
        <w:ind w:left="760" w:hanging="615"/>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 maximum of 1,100,000 shares of Ordinary Shares that may be delivered in settlement of awards granted under the Arcturus Therapeutics Ltd. 2018 Omnibus Equity Incentive Plan (the “</w:t>
      </w:r>
      <w:r>
        <w:rPr>
          <w:rFonts w:ascii="Arial" w:cs="Arial" w:eastAsia="Arial" w:hAnsi="Arial"/>
          <w:sz w:val="18"/>
          <w:szCs w:val="18"/>
          <w:u w:val="single" w:color="auto"/>
          <w:color w:val="auto"/>
        </w:rPr>
        <w:t>2018 Plan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760" w:hanging="615"/>
        <w:spacing w:after="0" w:line="286" w:lineRule="auto"/>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457(h) of the Securities Act. The proposed maximum aggregate offering price per share and proposed maximum aggregate offering price for the 1,100,000 ordinary shares reserved under the 2018 Plan are calculated using the closing price of an Ordinary Share (defined below) on October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131445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770255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20" w:top="33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This Registration Statement on Form S-8 is filed by Arcturus Therapeutics Ltd. (the “Company,” “Registrant,” “we,” “us,” or “our”) relating to maximum of 1,100,000 shares of the Company’s ordinary shares, NIS 0.07 par value (the “Ordinary Shares”), issuable under the 2018 Plan to our employees (including officers), non-employee consultants and non-employee directors and those of our affiliates.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documents containing the information required in Part I of this Registration Statement have been or will be sent or given to participants in the plan as specified in Rule 428(b)(1) under the Securities Act, in accordance with the rules and regulations of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r>
        <w:rPr>
          <w:rFonts w:ascii="Arial" w:cs="Arial" w:eastAsia="Arial" w:hAnsi="Arial"/>
          <w:sz w:val="18"/>
          <w:szCs w:val="18"/>
          <w:color w:val="auto"/>
        </w:rPr>
        <w:t>.</w:t>
      </w:r>
    </w:p>
    <w:p>
      <w:pPr>
        <w:spacing w:after="0" w:line="22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following documents (including, except where indicated otherwise, all exhibits thereto) filed with or furnished to the Securities and Exchange Commission, or the SEC, by the Registrant are incorporated herein by reference and made a part hereof:</w:t>
      </w:r>
    </w:p>
    <w:p>
      <w:pPr>
        <w:spacing w:after="0" w:line="170" w:lineRule="exact"/>
        <w:rPr>
          <w:sz w:val="20"/>
          <w:szCs w:val="20"/>
          <w:color w:val="auto"/>
        </w:rPr>
      </w:pPr>
    </w:p>
    <w:p>
      <w:pPr>
        <w:ind w:left="1220" w:hanging="402"/>
        <w:spacing w:after="0" w:line="277"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20-F for the fiscal year ended December 31, 2017, filed with the SEC on May 14, 2018 and amended on July 10, 2018;</w:t>
      </w:r>
    </w:p>
    <w:p>
      <w:pPr>
        <w:spacing w:after="0" w:line="170" w:lineRule="exact"/>
        <w:rPr>
          <w:rFonts w:ascii="Arial" w:cs="Arial" w:eastAsia="Arial" w:hAnsi="Arial"/>
          <w:sz w:val="18"/>
          <w:szCs w:val="18"/>
          <w:color w:val="auto"/>
        </w:rPr>
      </w:pPr>
    </w:p>
    <w:p>
      <w:pPr>
        <w:jc w:val="both"/>
        <w:ind w:left="1220" w:hanging="402"/>
        <w:spacing w:after="0" w:line="276"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reports of foreign private issuer on Form 6-K furnished with the Commission on January 24, 2018, January 31, 2018, February 2, 2018, February 5, 2018, February 13, 2018, February 28, 2018, March 13, 2018, March 29, 2018, April 2, 2018, April 9, 2018, May 14, 2018, May 21, 2018, May 24, 2018, May 29, 2018, June 1, 2018, June 15, 2018, July 10, 2018, July 20, 2018, July 27, 2018, August 29, 2018, September 28, 2018, October 1, 2018 and October 15, 2018 (to the extent expressly incorporated by reference into the Registrant’s effective registration statements filed by us under the Securities Act); and</w:t>
      </w:r>
    </w:p>
    <w:p>
      <w:pPr>
        <w:spacing w:after="0" w:line="17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0.07 per share, contained in the Registrant’s registration statement on Form 8-A filed pursuant to the Securities Exchange Act of 1934, as amended, or the Exchange Act, on May 17, 2013 (File No. 001-35932), including any amendment or report filed for the purpose of updating such description.</w:t>
      </w:r>
    </w:p>
    <w:p>
      <w:pPr>
        <w:spacing w:after="0" w:line="181"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furnished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71"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Under the Israeli Companies Law, 5759-1999 (the “</w:t>
      </w:r>
      <w:r>
        <w:rPr>
          <w:rFonts w:ascii="Arial" w:cs="Arial" w:eastAsia="Arial" w:hAnsi="Arial"/>
          <w:sz w:val="18"/>
          <w:szCs w:val="18"/>
          <w:u w:val="single" w:color="auto"/>
          <w:color w:val="auto"/>
        </w:rPr>
        <w:t>Companies Law</w:t>
      </w:r>
      <w:r>
        <w:rPr>
          <w:rFonts w:ascii="Arial" w:cs="Arial" w:eastAsia="Arial" w:hAnsi="Arial"/>
          <w:sz w:val="18"/>
          <w:szCs w:val="18"/>
          <w:color w:val="auto"/>
        </w:rPr>
        <w:t>”) and the Israeli Securities Law, 5728-1968 (the “</w:t>
      </w:r>
      <w:r>
        <w:rPr>
          <w:rFonts w:ascii="Arial" w:cs="Arial" w:eastAsia="Arial" w:hAnsi="Arial"/>
          <w:sz w:val="18"/>
          <w:szCs w:val="18"/>
          <w:u w:val="single" w:color="auto"/>
          <w:color w:val="auto"/>
        </w:rPr>
        <w:t>Securities Law</w:t>
      </w:r>
      <w:r>
        <w:rPr>
          <w:rFonts w:ascii="Arial" w:cs="Arial" w:eastAsia="Arial" w:hAnsi="Arial"/>
          <w:sz w:val="18"/>
          <w:szCs w:val="18"/>
          <w:color w:val="auto"/>
        </w:rPr>
        <w:t>”), a company may indemnify, or undertake in advance to indemnify, an office holder (defined as a director, chief executive officer, deputy chief executive officer or other officer directly subordinate to the chief executive officer of the company) for the following liabilities and expenses, imposed on an office holder or incurred by an office holder due to acts performed by him or her as an office holder, provided its articles of association include a provision authorizing such indemnification:</w:t>
      </w:r>
    </w:p>
    <w:p>
      <w:pPr>
        <w:spacing w:after="0" w:line="188" w:lineRule="exact"/>
        <w:rPr>
          <w:sz w:val="20"/>
          <w:szCs w:val="20"/>
          <w:color w:val="auto"/>
        </w:rPr>
      </w:pPr>
    </w:p>
    <w:p>
      <w:pPr>
        <w:jc w:val="both"/>
        <w:ind w:left="1220" w:hanging="402"/>
        <w:spacing w:after="0" w:line="255"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93" w:lineRule="exact"/>
        <w:rPr>
          <w:rFonts w:ascii="Arial" w:cs="Arial" w:eastAsia="Arial" w:hAnsi="Arial"/>
          <w:sz w:val="18"/>
          <w:szCs w:val="18"/>
          <w:color w:val="auto"/>
        </w:rPr>
      </w:pPr>
    </w:p>
    <w:p>
      <w:pPr>
        <w:jc w:val="both"/>
        <w:ind w:left="1220" w:hanging="402"/>
        <w:spacing w:after="0" w:line="276"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7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Under the Companies Law and the Securities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1220" w:right="20" w:hanging="402"/>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1220" w:hanging="40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 harmed by a breach in an administrative proceeding; and</w:t>
      </w:r>
    </w:p>
    <w:p>
      <w:pPr>
        <w:spacing w:after="0" w:line="225" w:lineRule="exact"/>
        <w:rPr>
          <w:rFonts w:ascii="Arial" w:cs="Arial" w:eastAsia="Arial" w:hAnsi="Arial"/>
          <w:sz w:val="18"/>
          <w:szCs w:val="18"/>
          <w:color w:val="auto"/>
        </w:rPr>
      </w:pPr>
    </w:p>
    <w:p>
      <w:pPr>
        <w:ind w:left="1220" w:right="20" w:hanging="402"/>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administrative proceeding instituted against him or her.</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Nevertheless, under the Companies Law, a company may not indemnify, exculpate or insure an office holder against any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1220" w:right="20" w:hanging="402"/>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1220" w:hanging="402"/>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48" w:lineRule="exact"/>
        <w:rPr>
          <w:rFonts w:ascii="Arial" w:cs="Arial" w:eastAsia="Arial" w:hAnsi="Arial"/>
          <w:sz w:val="16"/>
          <w:szCs w:val="16"/>
          <w:color w:val="auto"/>
        </w:rPr>
      </w:pPr>
    </w:p>
    <w:p>
      <w:pPr>
        <w:ind w:left="1220" w:hanging="40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1220" w:hanging="40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require the approval of the compensation committee, and, generally, the board of directors and, in certain circumstances, the shareholders.</w:t>
      </w:r>
    </w:p>
    <w:p>
      <w:pPr>
        <w:spacing w:after="0" w:line="170"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 Registrant’s amended and restated articles of association permit the Registrant to exculpate, indemnify and insure its office holders to the fullest extent permitted by the Companies Law and the Securities Law.</w:t>
      </w:r>
    </w:p>
    <w:p>
      <w:pPr>
        <w:spacing w:after="0" w:line="170" w:lineRule="exact"/>
        <w:rPr>
          <w:sz w:val="20"/>
          <w:szCs w:val="20"/>
          <w:color w:val="auto"/>
        </w:rPr>
      </w:pPr>
    </w:p>
    <w:p>
      <w:pPr>
        <w:jc w:val="both"/>
        <w:ind w:right="20" w:firstLine="815"/>
        <w:spacing w:after="0" w:line="273" w:lineRule="auto"/>
        <w:rPr>
          <w:sz w:val="20"/>
          <w:szCs w:val="20"/>
          <w:color w:val="auto"/>
        </w:rPr>
      </w:pPr>
      <w:r>
        <w:rPr>
          <w:rFonts w:ascii="Arial" w:cs="Arial" w:eastAsia="Arial" w:hAnsi="Arial"/>
          <w:sz w:val="17"/>
          <w:szCs w:val="17"/>
          <w:color w:val="auto"/>
        </w:rPr>
        <w:t>The Registrant has obtained directors’ and officers’ liability insurance for the benefit of its office holders and intends to continue to maintain such coverage and pay all premiums thereunder to the fullest extent permitted by the Companies Law. In addition, the Registrant intends to enter into agreements with its certain office holders, and may enter into agreements in the future with office holders, exculpating them and undertaking to indemnify them to the fullest extent permitted by Israeli law, including with respect to liabilities resulting from this offering to the extent that these liabilities are not covered by insurance. This indemnification will be limited to events determined as foreseeable by the board of directors based on our activities, and to an amount or according to criteria determined by the board of directors as reasonable under the circumstances.</w:t>
      </w:r>
    </w:p>
    <w:p>
      <w:pPr>
        <w:spacing w:after="0" w:line="178"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There is no current pending litigation or proceeding against any of the Registrant’s office holders as to which indemnification is being sought, nor is the Registrant aware of any pending or threatened litigation that may result in claims for indemnification by any office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10"/>
          </w:tcPr>
          <w:p>
            <w:pPr>
              <w:spacing w:after="0"/>
              <w:rPr>
                <w:rFonts w:ascii="Arial" w:cs="Arial" w:eastAsia="Arial" w:hAnsi="Arial"/>
                <w:sz w:val="18"/>
                <w:szCs w:val="18"/>
                <w:color w:val="0000EE"/>
                <w:w w:val="94"/>
              </w:rPr>
            </w:pPr>
            <w:hyperlink r:id="rId16">
              <w:r>
                <w:rPr>
                  <w:rFonts w:ascii="Arial" w:cs="Arial" w:eastAsia="Arial" w:hAnsi="Arial"/>
                  <w:sz w:val="18"/>
                  <w:szCs w:val="18"/>
                  <w:color w:val="0000EE"/>
                  <w:w w:val="94"/>
                </w:rPr>
                <w:t>Articles of Association of Arcturus Therapeutics Ltd. (filed as Exhibit 4.1 to Form S-8 filed on November 30, 2017 (File No. 333-221830) and</w:t>
              </w:r>
            </w:hyperlink>
          </w:p>
        </w:tc>
      </w:tr>
      <w:tr>
        <w:trPr>
          <w:trHeight w:val="196"/>
        </w:trPr>
        <w:tc>
          <w:tcPr>
            <w:tcW w:w="940" w:type="dxa"/>
            <w:vAlign w:val="bottom"/>
          </w:tcPr>
          <w:p>
            <w:pPr>
              <w:spacing w:after="0"/>
              <w:rPr>
                <w:sz w:val="17"/>
                <w:szCs w:val="17"/>
                <w:color w:val="auto"/>
              </w:rPr>
            </w:pPr>
          </w:p>
        </w:tc>
        <w:tc>
          <w:tcPr>
            <w:tcW w:w="102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incorporated herein by reference.)</w:t>
              </w:r>
            </w:hyperlink>
          </w:p>
        </w:tc>
        <w:tc>
          <w:tcPr>
            <w:tcW w:w="2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5.1</w:t>
            </w:r>
          </w:p>
        </w:tc>
        <w:tc>
          <w:tcPr>
            <w:tcW w:w="2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Opinion of Barnea Jaffa Lande &amp; Co.</w:t>
            </w:r>
          </w:p>
        </w:tc>
        <w:tc>
          <w:tcPr>
            <w:tcW w:w="7780" w:type="dxa"/>
            <w:vAlign w:val="bottom"/>
            <w:gridSpan w:val="7"/>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10"/>
          </w:tcPr>
          <w:p>
            <w:pPr>
              <w:spacing w:after="0"/>
              <w:rPr>
                <w:sz w:val="20"/>
                <w:szCs w:val="20"/>
                <w:color w:val="auto"/>
              </w:rPr>
            </w:pPr>
            <w:r>
              <w:rPr>
                <w:rFonts w:ascii="Arial" w:cs="Arial" w:eastAsia="Arial" w:hAnsi="Arial"/>
                <w:sz w:val="18"/>
                <w:szCs w:val="18"/>
                <w:color w:val="0000EE"/>
              </w:rPr>
              <w:t>Consent of Kost Forer Gabbay &amp; Kasierer, Certified Public Accountants (Israel) (a Member of Ernst &amp; Young Global)</w:t>
            </w: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23.2</w:t>
            </w:r>
          </w:p>
        </w:tc>
        <w:tc>
          <w:tcPr>
            <w:tcW w:w="85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Consent of Ernst &amp; Young LLP, Independent Public Accounting Firm</w:t>
            </w:r>
          </w:p>
        </w:tc>
        <w:tc>
          <w:tcPr>
            <w:tcW w:w="1960" w:type="dxa"/>
            <w:vAlign w:val="bottom"/>
            <w:gridSpan w:val="3"/>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23.3</w:t>
            </w:r>
          </w:p>
        </w:tc>
        <w:tc>
          <w:tcPr>
            <w:tcW w:w="8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Barnea Jaffa Lande &amp; Co. (included in the opinion filed as Exhibit 5.1 to this Registration Statement)</w:t>
            </w:r>
          </w:p>
        </w:tc>
        <w:tc>
          <w:tcPr>
            <w:tcW w:w="2360" w:type="dxa"/>
            <w:vAlign w:val="bottom"/>
            <w:gridSpan w:val="4"/>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34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signature page)</w:t>
              </w:r>
            </w:hyperlink>
          </w:p>
        </w:tc>
        <w:tc>
          <w:tcPr>
            <w:tcW w:w="7060" w:type="dxa"/>
            <w:vAlign w:val="bottom"/>
            <w:gridSpan w:val="6"/>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10"/>
          </w:tcPr>
          <w:p>
            <w:pPr>
              <w:spacing w:after="0"/>
              <w:rPr>
                <w:rFonts w:ascii="Arial" w:cs="Arial" w:eastAsia="Arial" w:hAnsi="Arial"/>
                <w:sz w:val="18"/>
                <w:szCs w:val="18"/>
                <w:color w:val="0000EE"/>
                <w:w w:val="96"/>
              </w:rPr>
            </w:pPr>
            <w:hyperlink r:id="rId17">
              <w:r>
                <w:rPr>
                  <w:rFonts w:ascii="Arial" w:cs="Arial" w:eastAsia="Arial" w:hAnsi="Arial"/>
                  <w:sz w:val="18"/>
                  <w:szCs w:val="18"/>
                  <w:color w:val="0000EE"/>
                  <w:w w:val="96"/>
                </w:rPr>
                <w:t>Arcturus Therapeutics Ltd. 2018 Omnibus Equity Incentive Plan (filed as Exhibit 99.3 to Form 6-K filed on July 27, 2018 and incorporated</w:t>
              </w:r>
            </w:hyperlink>
          </w:p>
        </w:tc>
      </w:tr>
      <w:tr>
        <w:trPr>
          <w:trHeight w:val="196"/>
        </w:trPr>
        <w:tc>
          <w:tcPr>
            <w:tcW w:w="94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herein by reference.)</w:t>
              </w:r>
            </w:hyperlink>
          </w:p>
        </w:tc>
        <w:tc>
          <w:tcPr>
            <w:tcW w:w="8540" w:type="dxa"/>
            <w:vAlign w:val="bottom"/>
            <w:tcBorders>
              <w:top w:val="single" w:sz="8" w:color="0000EE"/>
            </w:tcBorders>
            <w:gridSpan w:val="7"/>
          </w:tcPr>
          <w:p>
            <w:pPr>
              <w:spacing w:after="0"/>
              <w:rPr>
                <w:sz w:val="17"/>
                <w:szCs w:val="17"/>
                <w:color w:val="auto"/>
              </w:rPr>
            </w:pPr>
          </w:p>
        </w:tc>
        <w:tc>
          <w:tcPr>
            <w:tcW w:w="460" w:type="dxa"/>
            <w:vAlign w:val="bottom"/>
            <w:gridSpan w:val="2"/>
          </w:tcPr>
          <w:p>
            <w:pPr>
              <w:spacing w:after="0"/>
              <w:rPr>
                <w:sz w:val="17"/>
                <w:szCs w:val="17"/>
                <w:color w:val="auto"/>
              </w:rPr>
            </w:pPr>
          </w:p>
        </w:tc>
      </w:tr>
      <w:tr>
        <w:trPr>
          <w:trHeight w:val="561"/>
        </w:trPr>
        <w:tc>
          <w:tcPr>
            <w:tcW w:w="940" w:type="dxa"/>
            <w:vAlign w:val="bottom"/>
          </w:tcPr>
          <w:p>
            <w:pPr>
              <w:spacing w:after="0"/>
              <w:rPr>
                <w:sz w:val="24"/>
                <w:szCs w:val="24"/>
                <w:color w:val="auto"/>
              </w:rPr>
            </w:pPr>
          </w:p>
        </w:tc>
        <w:tc>
          <w:tcPr>
            <w:tcW w:w="5020" w:type="dxa"/>
            <w:vAlign w:val="bottom"/>
            <w:gridSpan w:val="5"/>
          </w:tcPr>
          <w:p>
            <w:pPr>
              <w:ind w:left="4720"/>
              <w:spacing w:after="0"/>
              <w:rPr>
                <w:sz w:val="20"/>
                <w:szCs w:val="20"/>
                <w:color w:val="auto"/>
              </w:rPr>
            </w:pPr>
            <w:r>
              <w:rPr>
                <w:rFonts w:ascii="Arial" w:cs="Arial" w:eastAsia="Arial" w:hAnsi="Arial"/>
                <w:sz w:val="18"/>
                <w:szCs w:val="18"/>
                <w:color w:val="auto"/>
              </w:rPr>
              <w:t>5</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540" w:hanging="39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620" w:hanging="396"/>
        <w:spacing w:after="0"/>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620" w:hanging="396"/>
        <w:spacing w:after="0" w:line="264" w:lineRule="auto"/>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w:t>
      </w:r>
    </w:p>
    <w:p>
      <w:pPr>
        <w:spacing w:after="0" w:line="73" w:lineRule="exact"/>
        <w:rPr>
          <w:rFonts w:ascii="Arial" w:cs="Arial" w:eastAsia="Arial" w:hAnsi="Arial"/>
          <w:sz w:val="18"/>
          <w:szCs w:val="18"/>
          <w:color w:val="auto"/>
        </w:rPr>
      </w:pPr>
    </w:p>
    <w:p>
      <w:pPr>
        <w:ind w:left="1620" w:hanging="396"/>
        <w:spacing w:after="0" w:line="277" w:lineRule="auto"/>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subparagraphs (a)(1)(i) and (a)(1)(ii)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57" w:lineRule="exact"/>
        <w:rPr>
          <w:sz w:val="20"/>
          <w:szCs w:val="20"/>
          <w:color w:val="auto"/>
        </w:rPr>
      </w:pPr>
    </w:p>
    <w:p>
      <w:pPr>
        <w:jc w:val="both"/>
        <w:ind w:left="1220" w:hanging="402"/>
        <w:spacing w:after="0" w:line="264"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1220" w:hanging="402"/>
        <w:spacing w:after="0" w:line="277"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left="540" w:hanging="397"/>
        <w:spacing w:after="0" w:line="25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the purposes of determining any liability under the Securities Act,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jc w:val="both"/>
        <w:ind w:left="540" w:hanging="397"/>
        <w:spacing w:after="0" w:line="25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San Diego, State of California, on October 15,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Joseph E. Payne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right="20" w:firstLine="815"/>
        <w:spacing w:after="0" w:line="255" w:lineRule="auto"/>
        <w:rPr>
          <w:sz w:val="20"/>
          <w:szCs w:val="20"/>
          <w:color w:val="auto"/>
        </w:rPr>
      </w:pPr>
      <w:r>
        <w:rPr>
          <w:rFonts w:ascii="Arial" w:cs="Arial" w:eastAsia="Arial" w:hAnsi="Arial"/>
          <w:sz w:val="18"/>
          <w:szCs w:val="18"/>
          <w:color w:val="auto"/>
        </w:rPr>
        <w:t>We, the undersigned officers and directors of Arcturus Therapeutics Ltd.,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ind w:left="1200"/>
              <w:spacing w:after="0"/>
              <w:rPr>
                <w:sz w:val="20"/>
                <w:szCs w:val="20"/>
                <w:color w:val="auto"/>
              </w:rPr>
            </w:pPr>
            <w:r>
              <w:rPr>
                <w:rFonts w:ascii="Arial" w:cs="Arial" w:eastAsia="Arial" w:hAnsi="Arial"/>
                <w:sz w:val="18"/>
                <w:szCs w:val="18"/>
                <w:b w:val="1"/>
                <w:bCs w:val="1"/>
                <w:color w:val="auto"/>
              </w:rPr>
              <w:t>Signature</w:t>
            </w:r>
          </w:p>
        </w:tc>
        <w:tc>
          <w:tcPr>
            <w:tcW w:w="58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Title</w:t>
            </w:r>
          </w:p>
        </w:tc>
        <w:tc>
          <w:tcPr>
            <w:tcW w:w="2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2"/>
              </w:rPr>
              <w:t>President, Chief Executive Officer and Director</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Joseph E. Payne</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4"/>
              </w:rPr>
              <w:t>Chief Scientific Officer,</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Dr. Padmanabh Chivukula</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1"/>
              </w:rPr>
              <w:t>Chief Operating Officer and Secretary</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Peter Farrell</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0"/>
              </w:rPr>
              <w:t>Chairman of the Board</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Dr. Peter Farrell</w:t>
            </w:r>
          </w:p>
        </w:tc>
        <w:tc>
          <w:tcPr>
            <w:tcW w:w="5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Andy Sassine</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Andy Sassine</w:t>
            </w:r>
          </w:p>
        </w:tc>
        <w:tc>
          <w:tcPr>
            <w:tcW w:w="5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Magda Marquet</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Dr. Magda Marquet</w:t>
            </w:r>
          </w:p>
        </w:tc>
        <w:tc>
          <w:tcPr>
            <w:tcW w:w="5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Barlow</w:t>
            </w:r>
          </w:p>
        </w:tc>
        <w:tc>
          <w:tcPr>
            <w:tcW w:w="584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James Barlow</w:t>
            </w:r>
          </w:p>
        </w:tc>
        <w:tc>
          <w:tcPr>
            <w:tcW w:w="5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KC Kummerfeld</w:t>
            </w:r>
          </w:p>
        </w:tc>
        <w:tc>
          <w:tcPr>
            <w:tcW w:w="584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Vice President of Finanace and Corporate Controller</w:t>
            </w:r>
          </w:p>
        </w:tc>
        <w:tc>
          <w:tcPr>
            <w:tcW w:w="248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October 15, 2018</w:t>
            </w:r>
          </w:p>
        </w:tc>
        <w:tc>
          <w:tcPr>
            <w:tcW w:w="0" w:type="dxa"/>
            <w:vAlign w:val="bottom"/>
          </w:tcPr>
          <w:p>
            <w:pPr>
              <w:spacing w:after="0"/>
              <w:rPr>
                <w:sz w:val="1"/>
                <w:szCs w:val="1"/>
                <w:color w:val="auto"/>
              </w:rPr>
            </w:pPr>
          </w:p>
        </w:tc>
      </w:tr>
      <w:tr>
        <w:trPr>
          <w:trHeight w:val="195"/>
        </w:trPr>
        <w:tc>
          <w:tcPr>
            <w:tcW w:w="3120" w:type="dxa"/>
            <w:vAlign w:val="bottom"/>
          </w:tcPr>
          <w:p>
            <w:pPr>
              <w:spacing w:after="0" w:line="195" w:lineRule="exact"/>
              <w:rPr>
                <w:sz w:val="20"/>
                <w:szCs w:val="20"/>
                <w:color w:val="auto"/>
              </w:rPr>
            </w:pPr>
            <w:r>
              <w:rPr>
                <w:rFonts w:ascii="Arial" w:cs="Arial" w:eastAsia="Arial" w:hAnsi="Arial"/>
                <w:sz w:val="18"/>
                <w:szCs w:val="18"/>
                <w:color w:val="auto"/>
              </w:rPr>
              <w:t>KC Kummerfeld</w:t>
            </w:r>
          </w:p>
        </w:tc>
        <w:tc>
          <w:tcPr>
            <w:tcW w:w="5840" w:type="dxa"/>
            <w:vAlign w:val="bottom"/>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5840" w:type="dxa"/>
            <w:vAlign w:val="bottom"/>
          </w:tcPr>
          <w:p>
            <w:pPr>
              <w:jc w:val="center"/>
              <w:ind w:left="7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120" w:type="dxa"/>
            <w:vAlign w:val="bottom"/>
          </w:tcPr>
          <w:p>
            <w:pPr>
              <w:spacing w:after="0"/>
              <w:rPr>
                <w:sz w:val="24"/>
                <w:szCs w:val="24"/>
                <w:color w:val="auto"/>
              </w:rPr>
            </w:pPr>
          </w:p>
        </w:tc>
        <w:tc>
          <w:tcPr>
            <w:tcW w:w="5840" w:type="dxa"/>
            <w:vAlign w:val="bottom"/>
          </w:tcPr>
          <w:p>
            <w:pPr>
              <w:jc w:val="right"/>
              <w:ind w:right="3110"/>
              <w:spacing w:after="0"/>
              <w:rPr>
                <w:sz w:val="20"/>
                <w:szCs w:val="20"/>
                <w:color w:val="auto"/>
              </w:rPr>
            </w:pPr>
            <w:r>
              <w:rPr>
                <w:rFonts w:ascii="Arial" w:cs="Arial" w:eastAsia="Arial" w:hAnsi="Arial"/>
                <w:sz w:val="18"/>
                <w:szCs w:val="18"/>
                <w:color w:val="auto"/>
              </w:rPr>
              <w:t>7</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Arcturus Therapeutics Ltd., has signed this Registration Statement on Form S-8 on October 15, 2018.</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Joseph E. Payne</w:t>
            </w:r>
          </w:p>
        </w:tc>
      </w:tr>
      <w:tr>
        <w:trPr>
          <w:trHeight w:val="230"/>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648"/>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 Harakevet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Aviv-Yafo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11"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Arcturus Therapeutics, Inc.</w:t>
      </w:r>
    </w:p>
    <w:p>
      <w:pPr>
        <w:spacing w:after="0" w:line="23" w:lineRule="exact"/>
        <w:rPr>
          <w:rFonts w:ascii="Arial" w:cs="Arial" w:eastAsia="Arial" w:hAnsi="Arial"/>
          <w:sz w:val="18"/>
          <w:szCs w:val="18"/>
          <w:color w:val="auto"/>
        </w:rPr>
      </w:pPr>
    </w:p>
    <w:p>
      <w:pPr>
        <w:ind w:left="700" w:right="7920"/>
        <w:spacing w:after="0" w:line="250" w:lineRule="auto"/>
        <w:rPr>
          <w:rFonts w:ascii="Arial" w:cs="Arial" w:eastAsia="Arial" w:hAnsi="Arial"/>
          <w:sz w:val="18"/>
          <w:szCs w:val="18"/>
          <w:color w:val="auto"/>
        </w:rPr>
      </w:pPr>
      <w:r>
        <w:rPr>
          <w:rFonts w:ascii="Arial" w:cs="Arial" w:eastAsia="Arial" w:hAnsi="Arial"/>
          <w:sz w:val="18"/>
          <w:szCs w:val="18"/>
          <w:color w:val="auto"/>
        </w:rPr>
        <w:t>10628 Science Center Drive, Suite 200 San Diego, CA 92121</w:t>
      </w:r>
    </w:p>
    <w:p>
      <w:pPr>
        <w:ind w:left="700"/>
        <w:spacing w:after="0"/>
        <w:rPr>
          <w:rFonts w:ascii="Arial" w:cs="Arial" w:eastAsia="Arial" w:hAnsi="Arial"/>
          <w:sz w:val="18"/>
          <w:szCs w:val="18"/>
          <w:color w:val="auto"/>
        </w:rPr>
      </w:pPr>
      <w:r>
        <w:rPr>
          <w:rFonts w:ascii="Arial" w:cs="Arial" w:eastAsia="Arial" w:hAnsi="Arial"/>
          <w:sz w:val="18"/>
          <w:szCs w:val="18"/>
          <w:u w:val="single" w:color="auto"/>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881"/>
        <w:spacing w:after="0" w:line="303" w:lineRule="auto"/>
        <w:rPr>
          <w:sz w:val="20"/>
          <w:szCs w:val="20"/>
          <w:color w:val="auto"/>
        </w:rPr>
      </w:pPr>
      <w:r>
        <w:rPr>
          <w:rFonts w:ascii="Arial" w:cs="Arial" w:eastAsia="Arial" w:hAnsi="Arial"/>
          <w:sz w:val="16"/>
          <w:szCs w:val="16"/>
          <w:color w:val="auto"/>
        </w:rPr>
        <w:t>We have acted as Israeli counsel to Arcturus Therapeutics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its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under the Securities Act of 1933 (the “</w:t>
      </w:r>
      <w:r>
        <w:rPr>
          <w:rFonts w:ascii="Arial" w:cs="Arial" w:eastAsia="Arial" w:hAnsi="Arial"/>
          <w:sz w:val="16"/>
          <w:szCs w:val="16"/>
          <w:b w:val="1"/>
          <w:bCs w:val="1"/>
          <w:color w:val="auto"/>
        </w:rPr>
        <w:t>Securities Act</w:t>
      </w:r>
      <w:r>
        <w:rPr>
          <w:rFonts w:ascii="Arial" w:cs="Arial" w:eastAsia="Arial" w:hAnsi="Arial"/>
          <w:sz w:val="16"/>
          <w:szCs w:val="16"/>
          <w:color w:val="auto"/>
        </w:rPr>
        <w:t>”) registering the offer, issuance and sale of 1,100,000 Ordinary Shares of the Company, par value New Israeli Shekel 0.07 per share (the “</w:t>
      </w:r>
      <w:r>
        <w:rPr>
          <w:rFonts w:ascii="Arial" w:cs="Arial" w:eastAsia="Arial" w:hAnsi="Arial"/>
          <w:sz w:val="16"/>
          <w:szCs w:val="16"/>
          <w:b w:val="1"/>
          <w:bCs w:val="1"/>
          <w:color w:val="auto"/>
        </w:rPr>
        <w:t>Plan Shares</w:t>
      </w:r>
      <w:r>
        <w:rPr>
          <w:rFonts w:ascii="Arial" w:cs="Arial" w:eastAsia="Arial" w:hAnsi="Arial"/>
          <w:sz w:val="16"/>
          <w:szCs w:val="16"/>
          <w:color w:val="auto"/>
        </w:rPr>
        <w:t>”), reserved for issuance under the Arcturus Therapeutics Ltd. 2018 Omnibus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55"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as well as other documents provided to us by the Company as we have deemed necessary or appropriate as a basis for this opinion.</w:t>
      </w:r>
    </w:p>
    <w:p>
      <w:pPr>
        <w:spacing w:after="0" w:line="187" w:lineRule="exact"/>
        <w:rPr>
          <w:sz w:val="20"/>
          <w:szCs w:val="20"/>
          <w:color w:val="auto"/>
        </w:rPr>
      </w:pPr>
    </w:p>
    <w:p>
      <w:pPr>
        <w:jc w:val="both"/>
        <w:ind w:firstLine="911"/>
        <w:spacing w:after="0" w:line="285" w:lineRule="auto"/>
        <w:rPr>
          <w:sz w:val="20"/>
          <w:szCs w:val="20"/>
          <w:color w:val="auto"/>
        </w:rPr>
      </w:pPr>
      <w:r>
        <w:rPr>
          <w:rFonts w:ascii="Arial" w:cs="Arial" w:eastAsia="Arial" w:hAnsi="Arial"/>
          <w:sz w:val="16"/>
          <w:szCs w:val="16"/>
          <w:color w:val="auto"/>
        </w:rPr>
        <w:t>In connection with this opinion, we have relied upon the Registration Statement, the Company’s amended and restated articles of association, and such statutes, regulations, corporate records, documents, certificates and such other instruments that we have deemed relevant and necessary for the basis of our opinions hereinafter expressed. In the course of our examination of the abovementioned documents, we have assumed: (a) the legal capacity of each natural person; (b) the legal existence of all parties referred to in the documents; (c) the power and authority of each person to execute, deliver and perform each document; (d) the authorization, execution and delivery by each person of each document; (e) the legality, validity, binding effect and enforceability as to each person of each document executed and delivered or to be executed or delivered and of each other act done or to be done by such person; (f) the payment of all the required documentary stamp taxes and fees imposed upon the execution, filing or recording of the documents; (g) that there have been no undisclosed modifications of any provision of any of the documents, and no undisclosed prior waiver of any right or remedy contained in the documents; (h) the genuineness of each signature, the completeness of each document, the authenticity of each document reviewed by us as an original, the conformity to the original of each document reviewed by us as a copy and the authenticity of the original of each document received by us as a copy; (i) the truthfulness of each statement contained in the documents as to all factual matters; (j) the accuracy, on the date stated in all governmental certifications of each statement, as to each factual matter contained in such governmental certifications; (k) that no action, discretionary or otherwise, was or will be taken by or on behalf of the Company in the future that might result in a violation of law; (l) that there are no other agreements or understandings of which we are not aware that would modify the terms of the documents; (n) that with respect to the documents, there has been no mutual mistake of fact and there exists no fraud or duress; (m) the truth, accuracy and completeness of the information, representations and warranties contained in the corporate records, documents, certificates and instruments we have reviewed; (o) that prior to the issuance of any of Plan Shares under the Plan, the price, number of Plan Shares and certain other terms of issuance will be authorized and approved by the Company’s board of directors and in accordance with Israeli law (the “</w:t>
      </w:r>
      <w:r>
        <w:rPr>
          <w:rFonts w:ascii="Arial" w:cs="Arial" w:eastAsia="Arial" w:hAnsi="Arial"/>
          <w:sz w:val="16"/>
          <w:szCs w:val="16"/>
          <w:u w:val="single" w:color="auto"/>
          <w:color w:val="auto"/>
        </w:rPr>
        <w:t>Corporate Proceedings</w:t>
      </w:r>
      <w:r>
        <w:rPr>
          <w:rFonts w:ascii="Arial" w:cs="Arial" w:eastAsia="Arial" w:hAnsi="Arial"/>
          <w:sz w:val="16"/>
          <w:szCs w:val="16"/>
          <w:color w:val="auto"/>
        </w:rPr>
        <w:t>”) and (p) that upon the issuance of any Plan Shares, the total number of Ordinary Shares issued and outstanding will not exceed the total number of Ordinary Shares that the Company is then authorized to issue under its Amended and Restated Articles of Association.</w:t>
      </w:r>
    </w:p>
    <w:p>
      <w:pPr>
        <w:spacing w:after="0" w:line="170" w:lineRule="exact"/>
        <w:rPr>
          <w:sz w:val="20"/>
          <w:szCs w:val="20"/>
          <w:color w:val="auto"/>
        </w:rPr>
      </w:pPr>
    </w:p>
    <w:p>
      <w:pPr>
        <w:jc w:val="both"/>
        <w:ind w:firstLine="911"/>
        <w:spacing w:after="0" w:line="342" w:lineRule="auto"/>
        <w:rPr>
          <w:sz w:val="20"/>
          <w:szCs w:val="20"/>
          <w:color w:val="auto"/>
        </w:rPr>
      </w:pPr>
      <w:r>
        <w:rPr>
          <w:rFonts w:ascii="Arial" w:cs="Arial" w:eastAsia="Arial" w:hAnsi="Arial"/>
          <w:sz w:val="16"/>
          <w:szCs w:val="16"/>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jc w:val="both"/>
        <w:ind w:firstLine="881"/>
        <w:spacing w:after="0" w:line="312" w:lineRule="auto"/>
        <w:rPr>
          <w:sz w:val="20"/>
          <w:szCs w:val="20"/>
          <w:color w:val="auto"/>
        </w:rPr>
      </w:pPr>
      <w:r>
        <w:rPr>
          <w:rFonts w:ascii="Arial" w:cs="Arial" w:eastAsia="Arial" w:hAnsi="Arial"/>
          <w:sz w:val="16"/>
          <w:szCs w:val="16"/>
          <w:color w:val="auto"/>
        </w:rPr>
        <w:t>Based upon the foregoing and in reliance thereon, assuming the completion of the Corporate Proceedings in connection with the delivery of a specific placement notice, we are of the opinion that the Plan Shares, have been duly authorized and reserved for issuance, and, when issued and paid for, pursuant to the terms of the Plan, and the terms of any agreements relating to such issuance, will be validly issued, fully paid and non-assessable.</w:t>
      </w:r>
    </w:p>
    <w:p>
      <w:pPr>
        <w:spacing w:after="0" w:line="147" w:lineRule="exact"/>
        <w:rPr>
          <w:sz w:val="20"/>
          <w:szCs w:val="20"/>
          <w:color w:val="auto"/>
        </w:rPr>
      </w:pPr>
    </w:p>
    <w:p>
      <w:pPr>
        <w:jc w:val="both"/>
        <w:ind w:firstLine="911"/>
        <w:spacing w:after="0" w:line="312" w:lineRule="auto"/>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giving such consent, we do not believe that we are “experts” within the meaning of such term as used in the Securities Act, as amended, or the rules and regulations of the Securities and Exchange Commission issued thereunder with respect to any part of the Registration Statement, including this opinion as an exhibit or otherwise.</w:t>
      </w:r>
    </w:p>
    <w:p>
      <w:pPr>
        <w:spacing w:after="0" w:line="1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Barnea, Jaffa, Lande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Barnea, Jaffa, Lande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3584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2018 Omnibus Equity Incentive Plan of Arcturus Therapeutics Ltd. of our report dated May 14, 2018, with respect to the consolidated financial statements of Arcturus Therapeutics Ltd. included in its Annual Report (Form 20-F) for the year ended December 31, 2017, filed with the Securities and Exchange Commission.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Tel-Aviv, Israel</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October 15, 2018</w:t>
            </w:r>
          </w:p>
        </w:tc>
        <w:tc>
          <w:tcPr>
            <w:tcW w:w="570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bl>
    <w:p>
      <w:pPr>
        <w:sectPr>
          <w:pgSz w:w="11900" w:h="16838" w:orient="portrait"/>
          <w:cols w:equalWidth="0" w:num="1">
            <w:col w:w="11420"/>
          </w:cols>
          <w:pgMar w:left="240" w:top="35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Ernst &amp; Young LLP, Independent Registered Public Accounting Firm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Arcturus Therapeutics Ltd. 2018 Omnibus Equity Incentive Plan of our report dated May 14, 2018, with respect to the consolidated financial statements of Arcturus Therapeutics Ltd. audited by us and included in its Annual Report (Form 20-F) for the year ended December 31, 2017, filed with the Securities and Exchange Commission.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San Diego, California</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&amp; Young LLP</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October 15, 2018</w:t>
            </w:r>
          </w:p>
        </w:tc>
        <w:tc>
          <w:tcPr>
            <w:tcW w:w="570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2"/>
    </w:lvl>
    <w:lvl w:ilvl="1">
      <w:lvlJc w:val="left"/>
      <w:lvlText w:val="%2"/>
      <w:numFmt w:val="decimal"/>
      <w:start w:val="1"/>
    </w:lvl>
  </w:abstractNum>
  <w:abstractNum w:abstractNumId="8">
    <w:nsid w:val="5BD062C2"/>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6" Type="http://schemas.openxmlformats.org/officeDocument/2006/relationships/hyperlink" Target="http://www.sec.gov/Archives/edgar/data/1566049/000114420417061720/tv480453_ex4-1.htm" TargetMode="External"/><Relationship Id="rId17" Type="http://schemas.openxmlformats.org/officeDocument/2006/relationships/hyperlink" Target="http://www.sec.gov/Archives/edgar/data/1566049/000119380518001024/e618195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2019-12-08T04:56:48Z</dcterms:created>
  <dcterms:modified xsi:type="dcterms:W3CDTF">2019-12-08T04:56:48Z</dcterms:modified>
</cp:coreProperties>
</file>