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line="236" w:lineRule="auto"/>
        <w:rPr>
          <w:sz w:val="20"/>
          <w:szCs w:val="20"/>
          <w:color w:val="auto"/>
        </w:rPr>
      </w:pPr>
      <w:r>
        <w:rPr>
          <w:rFonts w:ascii="Arial" w:cs="Arial" w:eastAsia="Arial" w:hAnsi="Arial"/>
          <w:sz w:val="22"/>
          <w:szCs w:val="22"/>
          <w:b w:val="1"/>
          <w:bCs w:val="1"/>
          <w:color w:val="auto"/>
        </w:rPr>
        <w:t>Washington, D.C. 20549</w:t>
      </w:r>
    </w:p>
    <w:p>
      <w:pPr>
        <w:ind w:left="4900"/>
        <w:spacing w:after="0"/>
        <w:rPr>
          <w:sz w:val="20"/>
          <w:szCs w:val="20"/>
          <w:color w:val="auto"/>
        </w:rPr>
      </w:pPr>
      <w:r>
        <w:rPr>
          <w:rFonts w:ascii="Arial" w:cs="Arial" w:eastAsia="Arial" w:hAnsi="Arial"/>
          <w:sz w:val="18"/>
          <w:szCs w:val="18"/>
          <w:b w:val="1"/>
          <w:bCs w:val="1"/>
          <w:color w:val="auto"/>
        </w:rPr>
        <w:t>________________</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right="9080" w:hanging="4"/>
        <w:spacing w:after="0" w:line="593" w:lineRule="auto"/>
        <w:tabs>
          <w:tab w:leader="none" w:pos="1137"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Rule 13d-1(b) o Rule 13d-1(c) o Rule 13d-1(d)</w:t>
      </w:r>
    </w:p>
    <w:p>
      <w:pPr>
        <w:spacing w:after="0" w:line="364" w:lineRule="exact"/>
        <w:rPr>
          <w:rFonts w:ascii="MS PGothic" w:cs="MS PGothic" w:eastAsia="MS PGothic" w:hAnsi="MS PGothic"/>
          <w:sz w:val="16"/>
          <w:szCs w:val="16"/>
          <w:color w:val="auto"/>
        </w:rPr>
      </w:pPr>
    </w:p>
    <w:p>
      <w:pPr>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1742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2440" cy="8890"/>
                    </a:xfrm>
                    <a:prstGeom prst="rect">
                      <a:avLst/>
                    </a:prstGeom>
                    <a:noFill/>
                  </pic:spPr>
                </pic:pic>
              </a:graphicData>
            </a:graphic>
          </wp:anchor>
        </w:drawing>
      </w:r>
    </w:p>
    <w:p>
      <w:pPr>
        <w:spacing w:after="0" w:line="15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Page 1 of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21"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
        </w:trPr>
        <w:tc>
          <w:tcPr>
            <w:tcW w:w="6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80" w:type="dxa"/>
            <w:vAlign w:val="bottom"/>
            <w:vMerge w:val="restart"/>
          </w:tcPr>
          <w:p>
            <w:pPr>
              <w:jc w:val="center"/>
              <w:ind w:right="788"/>
              <w:spacing w:after="0"/>
              <w:rPr>
                <w:sz w:val="20"/>
                <w:szCs w:val="20"/>
                <w:color w:val="auto"/>
              </w:rPr>
            </w:pPr>
            <w:r>
              <w:rPr>
                <w:rFonts w:ascii="Arial" w:cs="Arial" w:eastAsia="Arial" w:hAnsi="Arial"/>
                <w:sz w:val="22"/>
                <w:szCs w:val="22"/>
                <w:b w:val="1"/>
                <w:bCs w:val="1"/>
                <w:color w:val="auto"/>
                <w:w w:val="94"/>
              </w:rPr>
              <w:t>13G/A</w:t>
            </w: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CUSIP No. 03969T109</w:t>
            </w:r>
          </w:p>
        </w:tc>
        <w:tc>
          <w:tcPr>
            <w:tcW w:w="680" w:type="dxa"/>
            <w:vAlign w:val="bottom"/>
            <w:tcBorders>
              <w:bottom w:val="single" w:sz="8" w:color="auto"/>
              <w:right w:val="single" w:sz="8" w:color="auto"/>
            </w:tcBorders>
          </w:tcPr>
          <w:p>
            <w:pPr>
              <w:spacing w:after="0"/>
              <w:rPr>
                <w:sz w:val="19"/>
                <w:szCs w:val="19"/>
                <w:color w:val="auto"/>
              </w:rPr>
            </w:pPr>
          </w:p>
        </w:tc>
        <w:tc>
          <w:tcPr>
            <w:tcW w:w="688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1.</w:t>
            </w:r>
          </w:p>
        </w:tc>
        <w:tc>
          <w:tcPr>
            <w:tcW w:w="140" w:type="dxa"/>
            <w:vAlign w:val="bottom"/>
            <w:tcBorders>
              <w:right w:val="single" w:sz="8" w:color="auto"/>
            </w:tcBorders>
          </w:tcPr>
          <w:p>
            <w:pPr>
              <w:spacing w:after="0"/>
              <w:rPr>
                <w:sz w:val="19"/>
                <w:szCs w:val="19"/>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NAMES OF REPORTING PERSONS</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Sumitomo Mitsui Trust Holdings, Inc. (“SMTH”)</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0" w:type="dxa"/>
            <w:vAlign w:val="bottom"/>
            <w:tcBorders>
              <w:left w:val="single" w:sz="8" w:color="auto"/>
            </w:tcBorders>
          </w:tcPr>
          <w:p>
            <w:pPr>
              <w:jc w:val="center"/>
              <w:ind w:left="50"/>
              <w:spacing w:after="0" w:line="195" w:lineRule="exact"/>
              <w:rPr>
                <w:sz w:val="20"/>
                <w:szCs w:val="20"/>
                <w:color w:val="auto"/>
              </w:rPr>
            </w:pPr>
            <w:r>
              <w:rPr>
                <w:rFonts w:ascii="Arial" w:cs="Arial" w:eastAsia="Arial" w:hAnsi="Arial"/>
                <w:sz w:val="18"/>
                <w:szCs w:val="18"/>
                <w:b w:val="1"/>
                <w:bCs w:val="1"/>
                <w:color w:val="auto"/>
                <w:w w:val="79"/>
              </w:rPr>
              <w:t>2.</w:t>
            </w:r>
          </w:p>
        </w:tc>
        <w:tc>
          <w:tcPr>
            <w:tcW w:w="140" w:type="dxa"/>
            <w:vAlign w:val="bottom"/>
            <w:tcBorders>
              <w:right w:val="single" w:sz="8" w:color="auto"/>
            </w:tcBorders>
          </w:tcPr>
          <w:p>
            <w:pPr>
              <w:spacing w:after="0"/>
              <w:rPr>
                <w:sz w:val="16"/>
                <w:szCs w:val="16"/>
                <w:color w:val="auto"/>
              </w:rPr>
            </w:pPr>
          </w:p>
        </w:tc>
        <w:tc>
          <w:tcPr>
            <w:tcW w:w="8920" w:type="dxa"/>
            <w:vAlign w:val="bottom"/>
            <w:gridSpan w:val="4"/>
          </w:tcPr>
          <w:p>
            <w:pPr>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580"/>
              <w:spacing w:after="0" w:line="195"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72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3.</w:t>
            </w:r>
          </w:p>
        </w:tc>
        <w:tc>
          <w:tcPr>
            <w:tcW w:w="140" w:type="dxa"/>
            <w:vAlign w:val="bottom"/>
            <w:tcBorders>
              <w:right w:val="single" w:sz="8" w:color="auto"/>
            </w:tcBorders>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4.</w:t>
            </w:r>
          </w:p>
        </w:tc>
        <w:tc>
          <w:tcPr>
            <w:tcW w:w="140" w:type="dxa"/>
            <w:vAlign w:val="bottom"/>
            <w:tcBorders>
              <w:right w:val="single" w:sz="8" w:color="auto"/>
            </w:tcBorders>
          </w:tcPr>
          <w:p>
            <w:pPr>
              <w:spacing w:after="0"/>
              <w:rPr>
                <w:sz w:val="19"/>
                <w:szCs w:val="19"/>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Japan</w:t>
            </w:r>
          </w:p>
        </w:tc>
        <w:tc>
          <w:tcPr>
            <w:tcW w:w="6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right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rPr>
              <w:t>5.</w:t>
            </w:r>
          </w:p>
        </w:tc>
        <w:tc>
          <w:tcPr>
            <w:tcW w:w="68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0</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880" w:type="dxa"/>
            <w:vAlign w:val="bottom"/>
            <w:vMerge w:val="restart"/>
          </w:tcPr>
          <w:p>
            <w:pPr>
              <w:spacing w:after="0" w:line="191"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60" w:type="dxa"/>
            <w:vAlign w:val="bottom"/>
            <w:tcBorders>
              <w:left w:val="single" w:sz="8" w:color="auto"/>
            </w:tcBorders>
          </w:tcPr>
          <w:p>
            <w:pPr>
              <w:spacing w:after="0"/>
              <w:rPr>
                <w:sz w:val="9"/>
                <w:szCs w:val="9"/>
                <w:color w:val="auto"/>
              </w:rPr>
            </w:pPr>
          </w:p>
        </w:tc>
        <w:tc>
          <w:tcPr>
            <w:tcW w:w="1260" w:type="dxa"/>
            <w:vAlign w:val="bottom"/>
            <w:tcBorders>
              <w:right w:val="single" w:sz="8" w:color="auto"/>
            </w:tcBorders>
            <w:gridSpan w:val="2"/>
            <w:vMerge w:val="restart"/>
          </w:tcPr>
          <w:p>
            <w:pPr>
              <w:jc w:val="center"/>
              <w:ind w:right="410"/>
              <w:spacing w:after="0"/>
              <w:rPr>
                <w:sz w:val="20"/>
                <w:szCs w:val="20"/>
                <w:color w:val="auto"/>
              </w:rPr>
            </w:pPr>
            <w:r>
              <w:rPr>
                <w:rFonts w:ascii="Arial" w:cs="Arial" w:eastAsia="Arial" w:hAnsi="Arial"/>
                <w:sz w:val="18"/>
                <w:szCs w:val="18"/>
                <w:color w:val="auto"/>
                <w:w w:val="91"/>
              </w:rPr>
              <w:t>SHARES</w:t>
            </w:r>
          </w:p>
        </w:tc>
        <w:tc>
          <w:tcPr>
            <w:tcW w:w="24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80" w:type="dxa"/>
            <w:vAlign w:val="bottom"/>
            <w:vMerge w:val="continue"/>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60" w:type="dxa"/>
            <w:vAlign w:val="bottom"/>
            <w:tcBorders>
              <w:left w:val="single" w:sz="8" w:color="auto"/>
            </w:tcBorders>
          </w:tcPr>
          <w:p>
            <w:pPr>
              <w:spacing w:after="0"/>
              <w:rPr>
                <w:sz w:val="9"/>
                <w:szCs w:val="9"/>
                <w:color w:val="auto"/>
              </w:rPr>
            </w:pPr>
          </w:p>
        </w:tc>
        <w:tc>
          <w:tcPr>
            <w:tcW w:w="1260" w:type="dxa"/>
            <w:vAlign w:val="bottom"/>
            <w:tcBorders>
              <w:right w:val="single" w:sz="8" w:color="auto"/>
            </w:tcBorders>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right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rPr>
              <w:t>6.</w:t>
            </w:r>
          </w:p>
        </w:tc>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1,449,060</w:t>
            </w: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80" w:type="dxa"/>
            <w:vAlign w:val="bottom"/>
            <w:vMerge w:val="restart"/>
          </w:tcPr>
          <w:p>
            <w:pPr>
              <w:spacing w:after="0" w:line="195" w:lineRule="exact"/>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6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EACH</w:t>
            </w:r>
          </w:p>
        </w:tc>
        <w:tc>
          <w:tcPr>
            <w:tcW w:w="240" w:type="dxa"/>
            <w:vAlign w:val="bottom"/>
          </w:tcPr>
          <w:p>
            <w:pPr>
              <w:spacing w:after="0"/>
              <w:rPr>
                <w:sz w:val="10"/>
                <w:szCs w:val="10"/>
                <w:color w:val="auto"/>
              </w:rPr>
            </w:pPr>
          </w:p>
        </w:tc>
        <w:tc>
          <w:tcPr>
            <w:tcW w:w="680" w:type="dxa"/>
            <w:vAlign w:val="bottom"/>
            <w:tcBorders>
              <w:right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rPr>
              <w:t>7.</w:t>
            </w:r>
          </w:p>
        </w:tc>
        <w:tc>
          <w:tcPr>
            <w:tcW w:w="688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1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80" w:type="dxa"/>
            <w:vAlign w:val="bottom"/>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6880" w:type="dxa"/>
            <w:vAlign w:val="bottom"/>
            <w:tcBorders>
              <w:bottom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80" w:type="dxa"/>
            <w:vAlign w:val="bottom"/>
            <w:vMerge w:val="restart"/>
          </w:tcPr>
          <w:p>
            <w:pPr>
              <w:spacing w:after="0" w:line="191" w:lineRule="exact"/>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46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88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8.</w:t>
            </w:r>
          </w:p>
        </w:tc>
        <w:tc>
          <w:tcPr>
            <w:tcW w:w="6880" w:type="dxa"/>
            <w:vAlign w:val="bottom"/>
          </w:tcPr>
          <w:p>
            <w:pPr>
              <w:spacing w:after="0"/>
              <w:rPr>
                <w:sz w:val="20"/>
                <w:szCs w:val="20"/>
                <w:color w:val="auto"/>
              </w:rPr>
            </w:pPr>
            <w:r>
              <w:rPr>
                <w:rFonts w:ascii="Arial" w:cs="Arial" w:eastAsia="Arial" w:hAnsi="Arial"/>
                <w:sz w:val="18"/>
                <w:szCs w:val="18"/>
                <w:b w:val="1"/>
                <w:bCs w:val="1"/>
                <w:color w:val="auto"/>
              </w:rPr>
              <w:t>1,449,060</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2"/>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9.</w:t>
            </w:r>
          </w:p>
        </w:tc>
        <w:tc>
          <w:tcPr>
            <w:tcW w:w="140" w:type="dxa"/>
            <w:vAlign w:val="bottom"/>
            <w:tcBorders>
              <w:right w:val="single" w:sz="8" w:color="auto"/>
            </w:tcBorders>
          </w:tcPr>
          <w:p>
            <w:pPr>
              <w:spacing w:after="0"/>
              <w:rPr>
                <w:sz w:val="19"/>
                <w:szCs w:val="19"/>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AGGREGATE AMOUNT</w:t>
            </w:r>
          </w:p>
        </w:tc>
        <w:tc>
          <w:tcPr>
            <w:tcW w:w="6880" w:type="dxa"/>
            <w:vAlign w:val="bottom"/>
          </w:tcPr>
          <w:p>
            <w:pPr>
              <w:spacing w:after="0"/>
              <w:rPr>
                <w:sz w:val="20"/>
                <w:szCs w:val="20"/>
                <w:color w:val="auto"/>
              </w:rPr>
            </w:pPr>
            <w:r>
              <w:rPr>
                <w:rFonts w:ascii="Arial" w:cs="Arial" w:eastAsia="Arial" w:hAnsi="Arial"/>
                <w:sz w:val="18"/>
                <w:szCs w:val="18"/>
                <w:color w:val="auto"/>
              </w:rPr>
              <w:t>BENEFICIALLY OWNED BY EACH REPORTING PERSON</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1,449,060</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920" w:type="dxa"/>
            <w:vAlign w:val="bottom"/>
            <w:tcBorders>
              <w:bottom w:val="single" w:sz="8" w:color="auto"/>
            </w:tcBorders>
            <w:gridSpan w:val="4"/>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5"/>
              </w:rPr>
              <w:t>10.</w:t>
            </w:r>
          </w:p>
        </w:tc>
        <w:tc>
          <w:tcPr>
            <w:tcW w:w="140" w:type="dxa"/>
            <w:vAlign w:val="bottom"/>
            <w:tcBorders>
              <w:right w:val="single" w:sz="8" w:color="auto"/>
            </w:tcBorders>
          </w:tcPr>
          <w:p>
            <w:pPr>
              <w:spacing w:after="0"/>
              <w:rPr>
                <w:sz w:val="19"/>
                <w:szCs w:val="19"/>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w:t>
            </w:r>
          </w:p>
        </w:tc>
        <w:tc>
          <w:tcPr>
            <w:tcW w:w="6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11.</w:t>
            </w:r>
          </w:p>
        </w:tc>
        <w:tc>
          <w:tcPr>
            <w:tcW w:w="140" w:type="dxa"/>
            <w:vAlign w:val="bottom"/>
            <w:tcBorders>
              <w:right w:val="single" w:sz="8" w:color="auto"/>
            </w:tcBorders>
          </w:tcPr>
          <w:p>
            <w:pPr>
              <w:spacing w:after="0"/>
              <w:rPr>
                <w:sz w:val="19"/>
                <w:szCs w:val="19"/>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5.45%</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5"/>
              </w:rPr>
              <w:t>12.</w:t>
            </w:r>
          </w:p>
        </w:tc>
        <w:tc>
          <w:tcPr>
            <w:tcW w:w="140" w:type="dxa"/>
            <w:vAlign w:val="bottom"/>
            <w:tcBorders>
              <w:right w:val="single" w:sz="8" w:color="auto"/>
            </w:tcBorders>
          </w:tcPr>
          <w:p>
            <w:pPr>
              <w:spacing w:after="0"/>
              <w:rPr>
                <w:sz w:val="19"/>
                <w:szCs w:val="19"/>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HC, FI</w:t>
            </w:r>
          </w:p>
        </w:tc>
        <w:tc>
          <w:tcPr>
            <w:tcW w:w="6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jc w:val="center"/>
              <w:ind w:right="808"/>
              <w:spacing w:after="0"/>
              <w:rPr>
                <w:sz w:val="20"/>
                <w:szCs w:val="20"/>
                <w:color w:val="auto"/>
              </w:rPr>
            </w:pPr>
            <w:r>
              <w:rPr>
                <w:rFonts w:ascii="Arial" w:cs="Arial" w:eastAsia="Arial" w:hAnsi="Arial"/>
                <w:sz w:val="18"/>
                <w:szCs w:val="18"/>
                <w:color w:val="auto"/>
                <w:w w:val="89"/>
              </w:rPr>
              <w:t>Page 2 of 9</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3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
        </w:trPr>
        <w:tc>
          <w:tcPr>
            <w:tcW w:w="6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80" w:type="dxa"/>
            <w:vAlign w:val="bottom"/>
            <w:vMerge w:val="restart"/>
          </w:tcPr>
          <w:p>
            <w:pPr>
              <w:jc w:val="center"/>
              <w:ind w:right="788"/>
              <w:spacing w:after="0"/>
              <w:rPr>
                <w:sz w:val="20"/>
                <w:szCs w:val="20"/>
                <w:color w:val="auto"/>
              </w:rPr>
            </w:pPr>
            <w:r>
              <w:rPr>
                <w:rFonts w:ascii="Arial" w:cs="Arial" w:eastAsia="Arial" w:hAnsi="Arial"/>
                <w:sz w:val="22"/>
                <w:szCs w:val="22"/>
                <w:b w:val="1"/>
                <w:bCs w:val="1"/>
                <w:color w:val="auto"/>
                <w:w w:val="94"/>
              </w:rPr>
              <w:t>13G/A</w:t>
            </w: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CUSIP No. 03969T109</w:t>
            </w:r>
          </w:p>
        </w:tc>
        <w:tc>
          <w:tcPr>
            <w:tcW w:w="680" w:type="dxa"/>
            <w:vAlign w:val="bottom"/>
            <w:tcBorders>
              <w:bottom w:val="single" w:sz="8" w:color="auto"/>
              <w:right w:val="single" w:sz="8" w:color="auto"/>
            </w:tcBorders>
          </w:tcPr>
          <w:p>
            <w:pPr>
              <w:spacing w:after="0"/>
              <w:rPr>
                <w:sz w:val="19"/>
                <w:szCs w:val="19"/>
                <w:color w:val="auto"/>
              </w:rPr>
            </w:pPr>
          </w:p>
        </w:tc>
        <w:tc>
          <w:tcPr>
            <w:tcW w:w="688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1.</w:t>
            </w:r>
          </w:p>
        </w:tc>
        <w:tc>
          <w:tcPr>
            <w:tcW w:w="140" w:type="dxa"/>
            <w:vAlign w:val="bottom"/>
            <w:tcBorders>
              <w:right w:val="single" w:sz="8" w:color="auto"/>
            </w:tcBorders>
          </w:tcPr>
          <w:p>
            <w:pPr>
              <w:spacing w:after="0"/>
              <w:rPr>
                <w:sz w:val="19"/>
                <w:szCs w:val="19"/>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NAMES OF REPORTING PERSONS</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Nikko Asset Management Co., Ltd. (“NAM”)</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0" w:type="dxa"/>
            <w:vAlign w:val="bottom"/>
            <w:tcBorders>
              <w:left w:val="single" w:sz="8" w:color="auto"/>
            </w:tcBorders>
          </w:tcPr>
          <w:p>
            <w:pPr>
              <w:jc w:val="center"/>
              <w:ind w:left="50"/>
              <w:spacing w:after="0" w:line="195" w:lineRule="exact"/>
              <w:rPr>
                <w:sz w:val="20"/>
                <w:szCs w:val="20"/>
                <w:color w:val="auto"/>
              </w:rPr>
            </w:pPr>
            <w:r>
              <w:rPr>
                <w:rFonts w:ascii="Arial" w:cs="Arial" w:eastAsia="Arial" w:hAnsi="Arial"/>
                <w:sz w:val="18"/>
                <w:szCs w:val="18"/>
                <w:b w:val="1"/>
                <w:bCs w:val="1"/>
                <w:color w:val="auto"/>
                <w:w w:val="79"/>
              </w:rPr>
              <w:t>2.</w:t>
            </w:r>
          </w:p>
        </w:tc>
        <w:tc>
          <w:tcPr>
            <w:tcW w:w="140" w:type="dxa"/>
            <w:vAlign w:val="bottom"/>
            <w:tcBorders>
              <w:right w:val="single" w:sz="8" w:color="auto"/>
            </w:tcBorders>
          </w:tcPr>
          <w:p>
            <w:pPr>
              <w:spacing w:after="0"/>
              <w:rPr>
                <w:sz w:val="16"/>
                <w:szCs w:val="16"/>
                <w:color w:val="auto"/>
              </w:rPr>
            </w:pPr>
          </w:p>
        </w:tc>
        <w:tc>
          <w:tcPr>
            <w:tcW w:w="8920" w:type="dxa"/>
            <w:vAlign w:val="bottom"/>
            <w:gridSpan w:val="4"/>
          </w:tcPr>
          <w:p>
            <w:pPr>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580"/>
              <w:spacing w:after="0" w:line="195"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72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3.</w:t>
            </w:r>
          </w:p>
        </w:tc>
        <w:tc>
          <w:tcPr>
            <w:tcW w:w="140" w:type="dxa"/>
            <w:vAlign w:val="bottom"/>
            <w:tcBorders>
              <w:right w:val="single" w:sz="8" w:color="auto"/>
            </w:tcBorders>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4.</w:t>
            </w:r>
          </w:p>
        </w:tc>
        <w:tc>
          <w:tcPr>
            <w:tcW w:w="140" w:type="dxa"/>
            <w:vAlign w:val="bottom"/>
            <w:tcBorders>
              <w:right w:val="single" w:sz="8" w:color="auto"/>
            </w:tcBorders>
          </w:tcPr>
          <w:p>
            <w:pPr>
              <w:spacing w:after="0"/>
              <w:rPr>
                <w:sz w:val="19"/>
                <w:szCs w:val="19"/>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Japan</w:t>
            </w:r>
          </w:p>
        </w:tc>
        <w:tc>
          <w:tcPr>
            <w:tcW w:w="6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right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rPr>
              <w:t>5.</w:t>
            </w:r>
          </w:p>
        </w:tc>
        <w:tc>
          <w:tcPr>
            <w:tcW w:w="68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0</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880" w:type="dxa"/>
            <w:vAlign w:val="bottom"/>
            <w:vMerge w:val="restart"/>
          </w:tcPr>
          <w:p>
            <w:pPr>
              <w:spacing w:after="0" w:line="191"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60" w:type="dxa"/>
            <w:vAlign w:val="bottom"/>
            <w:tcBorders>
              <w:left w:val="single" w:sz="8" w:color="auto"/>
            </w:tcBorders>
          </w:tcPr>
          <w:p>
            <w:pPr>
              <w:spacing w:after="0"/>
              <w:rPr>
                <w:sz w:val="9"/>
                <w:szCs w:val="9"/>
                <w:color w:val="auto"/>
              </w:rPr>
            </w:pPr>
          </w:p>
        </w:tc>
        <w:tc>
          <w:tcPr>
            <w:tcW w:w="1260" w:type="dxa"/>
            <w:vAlign w:val="bottom"/>
            <w:tcBorders>
              <w:right w:val="single" w:sz="8" w:color="auto"/>
            </w:tcBorders>
            <w:gridSpan w:val="2"/>
            <w:vMerge w:val="restart"/>
          </w:tcPr>
          <w:p>
            <w:pPr>
              <w:jc w:val="center"/>
              <w:ind w:right="410"/>
              <w:spacing w:after="0"/>
              <w:rPr>
                <w:sz w:val="20"/>
                <w:szCs w:val="20"/>
                <w:color w:val="auto"/>
              </w:rPr>
            </w:pPr>
            <w:r>
              <w:rPr>
                <w:rFonts w:ascii="Arial" w:cs="Arial" w:eastAsia="Arial" w:hAnsi="Arial"/>
                <w:sz w:val="18"/>
                <w:szCs w:val="18"/>
                <w:color w:val="auto"/>
                <w:w w:val="91"/>
              </w:rPr>
              <w:t>SHARES</w:t>
            </w:r>
          </w:p>
        </w:tc>
        <w:tc>
          <w:tcPr>
            <w:tcW w:w="24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80" w:type="dxa"/>
            <w:vAlign w:val="bottom"/>
            <w:vMerge w:val="continue"/>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60" w:type="dxa"/>
            <w:vAlign w:val="bottom"/>
            <w:tcBorders>
              <w:left w:val="single" w:sz="8" w:color="auto"/>
            </w:tcBorders>
          </w:tcPr>
          <w:p>
            <w:pPr>
              <w:spacing w:after="0"/>
              <w:rPr>
                <w:sz w:val="9"/>
                <w:szCs w:val="9"/>
                <w:color w:val="auto"/>
              </w:rPr>
            </w:pPr>
          </w:p>
        </w:tc>
        <w:tc>
          <w:tcPr>
            <w:tcW w:w="1260" w:type="dxa"/>
            <w:vAlign w:val="bottom"/>
            <w:tcBorders>
              <w:right w:val="single" w:sz="8" w:color="auto"/>
            </w:tcBorders>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right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rPr>
              <w:t>6.</w:t>
            </w:r>
          </w:p>
        </w:tc>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1,449,060</w:t>
            </w: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80" w:type="dxa"/>
            <w:vAlign w:val="bottom"/>
            <w:vMerge w:val="restart"/>
          </w:tcPr>
          <w:p>
            <w:pPr>
              <w:spacing w:after="0" w:line="195" w:lineRule="exact"/>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6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EACH</w:t>
            </w:r>
          </w:p>
        </w:tc>
        <w:tc>
          <w:tcPr>
            <w:tcW w:w="240" w:type="dxa"/>
            <w:vAlign w:val="bottom"/>
          </w:tcPr>
          <w:p>
            <w:pPr>
              <w:spacing w:after="0"/>
              <w:rPr>
                <w:sz w:val="10"/>
                <w:szCs w:val="10"/>
                <w:color w:val="auto"/>
              </w:rPr>
            </w:pPr>
          </w:p>
        </w:tc>
        <w:tc>
          <w:tcPr>
            <w:tcW w:w="680" w:type="dxa"/>
            <w:vAlign w:val="bottom"/>
            <w:tcBorders>
              <w:right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rPr>
              <w:t>7.</w:t>
            </w:r>
          </w:p>
        </w:tc>
        <w:tc>
          <w:tcPr>
            <w:tcW w:w="688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1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80" w:type="dxa"/>
            <w:vAlign w:val="bottom"/>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6880" w:type="dxa"/>
            <w:vAlign w:val="bottom"/>
            <w:tcBorders>
              <w:bottom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80" w:type="dxa"/>
            <w:vAlign w:val="bottom"/>
            <w:vMerge w:val="restart"/>
          </w:tcPr>
          <w:p>
            <w:pPr>
              <w:spacing w:after="0" w:line="191" w:lineRule="exact"/>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46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88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8.</w:t>
            </w:r>
          </w:p>
        </w:tc>
        <w:tc>
          <w:tcPr>
            <w:tcW w:w="6880" w:type="dxa"/>
            <w:vAlign w:val="bottom"/>
          </w:tcPr>
          <w:p>
            <w:pPr>
              <w:spacing w:after="0"/>
              <w:rPr>
                <w:sz w:val="20"/>
                <w:szCs w:val="20"/>
                <w:color w:val="auto"/>
              </w:rPr>
            </w:pPr>
            <w:r>
              <w:rPr>
                <w:rFonts w:ascii="Arial" w:cs="Arial" w:eastAsia="Arial" w:hAnsi="Arial"/>
                <w:sz w:val="18"/>
                <w:szCs w:val="18"/>
                <w:b w:val="1"/>
                <w:bCs w:val="1"/>
                <w:color w:val="auto"/>
              </w:rPr>
              <w:t>1,449,060</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2"/>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9.</w:t>
            </w:r>
          </w:p>
        </w:tc>
        <w:tc>
          <w:tcPr>
            <w:tcW w:w="140" w:type="dxa"/>
            <w:vAlign w:val="bottom"/>
            <w:tcBorders>
              <w:right w:val="single" w:sz="8" w:color="auto"/>
            </w:tcBorders>
          </w:tcPr>
          <w:p>
            <w:pPr>
              <w:spacing w:after="0"/>
              <w:rPr>
                <w:sz w:val="19"/>
                <w:szCs w:val="19"/>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AGGREGATE AMOUNT</w:t>
            </w:r>
          </w:p>
        </w:tc>
        <w:tc>
          <w:tcPr>
            <w:tcW w:w="6880" w:type="dxa"/>
            <w:vAlign w:val="bottom"/>
          </w:tcPr>
          <w:p>
            <w:pPr>
              <w:spacing w:after="0"/>
              <w:rPr>
                <w:sz w:val="20"/>
                <w:szCs w:val="20"/>
                <w:color w:val="auto"/>
              </w:rPr>
            </w:pPr>
            <w:r>
              <w:rPr>
                <w:rFonts w:ascii="Arial" w:cs="Arial" w:eastAsia="Arial" w:hAnsi="Arial"/>
                <w:sz w:val="18"/>
                <w:szCs w:val="18"/>
                <w:color w:val="auto"/>
              </w:rPr>
              <w:t>BENEFICIALLY OWNED BY EACH REPORTING PERSON</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1,449,060</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920" w:type="dxa"/>
            <w:vAlign w:val="bottom"/>
            <w:tcBorders>
              <w:bottom w:val="single" w:sz="8" w:color="auto"/>
            </w:tcBorders>
            <w:gridSpan w:val="4"/>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5"/>
              </w:rPr>
              <w:t>10.</w:t>
            </w:r>
          </w:p>
        </w:tc>
        <w:tc>
          <w:tcPr>
            <w:tcW w:w="140" w:type="dxa"/>
            <w:vAlign w:val="bottom"/>
            <w:tcBorders>
              <w:right w:val="single" w:sz="8" w:color="auto"/>
            </w:tcBorders>
          </w:tcPr>
          <w:p>
            <w:pPr>
              <w:spacing w:after="0"/>
              <w:rPr>
                <w:sz w:val="19"/>
                <w:szCs w:val="19"/>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w:t>
            </w:r>
          </w:p>
        </w:tc>
        <w:tc>
          <w:tcPr>
            <w:tcW w:w="6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11.</w:t>
            </w:r>
          </w:p>
        </w:tc>
        <w:tc>
          <w:tcPr>
            <w:tcW w:w="140" w:type="dxa"/>
            <w:vAlign w:val="bottom"/>
            <w:tcBorders>
              <w:right w:val="single" w:sz="8" w:color="auto"/>
            </w:tcBorders>
          </w:tcPr>
          <w:p>
            <w:pPr>
              <w:spacing w:after="0"/>
              <w:rPr>
                <w:sz w:val="19"/>
                <w:szCs w:val="19"/>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5.45%</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5"/>
              </w:rPr>
              <w:t>12.</w:t>
            </w:r>
          </w:p>
        </w:tc>
        <w:tc>
          <w:tcPr>
            <w:tcW w:w="140" w:type="dxa"/>
            <w:vAlign w:val="bottom"/>
            <w:tcBorders>
              <w:right w:val="single" w:sz="8" w:color="auto"/>
            </w:tcBorders>
          </w:tcPr>
          <w:p>
            <w:pPr>
              <w:spacing w:after="0"/>
              <w:rPr>
                <w:sz w:val="19"/>
                <w:szCs w:val="19"/>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IA, HC, FI</w:t>
            </w:r>
          </w:p>
        </w:tc>
        <w:tc>
          <w:tcPr>
            <w:tcW w:w="6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jc w:val="center"/>
              <w:ind w:right="808"/>
              <w:spacing w:after="0"/>
              <w:rPr>
                <w:sz w:val="20"/>
                <w:szCs w:val="20"/>
                <w:color w:val="auto"/>
              </w:rPr>
            </w:pPr>
            <w:r>
              <w:rPr>
                <w:rFonts w:ascii="Arial" w:cs="Arial" w:eastAsia="Arial" w:hAnsi="Arial"/>
                <w:sz w:val="18"/>
                <w:szCs w:val="18"/>
                <w:color w:val="auto"/>
                <w:w w:val="89"/>
              </w:rPr>
              <w:t>Page 3 of 9</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Item 1(a). Name of Issuer:</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1(b). Address of Issuer’s Principal Executive Offices: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10628 Science Center Drive, Suite 250 San Diego, California 92121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2(a). Name of Person Filing: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Sumitomo Mitsui Trust Holdings, Inc.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Nikko Asset Management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2(b). Address of Principal Business Office or, if None, Residence: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SMTH: 1-4-1 Marunouchi, Chiyoda-ku, Tokyo 100-8233, Japan</w:t>
      </w:r>
    </w:p>
    <w:p>
      <w:pPr>
        <w:spacing w:after="0" w:line="225" w:lineRule="exact"/>
        <w:rPr>
          <w:sz w:val="20"/>
          <w:szCs w:val="20"/>
          <w:color w:val="auto"/>
        </w:rPr>
      </w:pPr>
    </w:p>
    <w:p>
      <w:pPr>
        <w:ind w:right="4359" w:firstLine="324"/>
        <w:spacing w:after="0" w:line="500" w:lineRule="auto"/>
        <w:rPr>
          <w:sz w:val="20"/>
          <w:szCs w:val="20"/>
          <w:color w:val="auto"/>
        </w:rPr>
      </w:pPr>
      <w:r>
        <w:rPr>
          <w:rFonts w:ascii="Arial" w:cs="Arial" w:eastAsia="Arial" w:hAnsi="Arial"/>
          <w:sz w:val="18"/>
          <w:szCs w:val="18"/>
          <w:color w:val="auto"/>
        </w:rPr>
        <w:t>NAM: Midtown Tower, 9-7-1 Akasaka, Minato-ku, Tokyo 107-6242, Japan Item 2(c). Citizenship:</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SMTH: Japan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 Japan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2(d). Title of Class of Securities: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2(e). CUSIP Number:</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03969T109</w:t>
      </w:r>
    </w:p>
    <w:p>
      <w:pPr>
        <w:spacing w:after="0" w:line="364" w:lineRule="exact"/>
        <w:rPr>
          <w:sz w:val="20"/>
          <w:szCs w:val="20"/>
          <w:color w:val="auto"/>
        </w:rPr>
      </w:pPr>
    </w:p>
    <w:p>
      <w:pPr>
        <w:jc w:val="right"/>
        <w:ind w:right="4099"/>
        <w:spacing w:after="0"/>
        <w:rPr>
          <w:sz w:val="20"/>
          <w:szCs w:val="20"/>
          <w:color w:val="auto"/>
        </w:rPr>
      </w:pPr>
      <w:r>
        <w:rPr>
          <w:rFonts w:ascii="Arial" w:cs="Arial" w:eastAsia="Arial" w:hAnsi="Arial"/>
          <w:sz w:val="18"/>
          <w:szCs w:val="18"/>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6" w:right="1440" w:bottom="1440" w:gutter="0" w:footer="0" w:header="0"/>
        </w:sectPr>
      </w:pPr>
    </w:p>
    <w:bookmarkStart w:id="4" w:name="page5"/>
    <w:bookmarkEnd w:id="4"/>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 13d-1(b), or 13d-2(b) or (c), Check Whether the Person Filing is 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SMTH:</w:t>
      </w:r>
    </w:p>
    <w:p>
      <w:pPr>
        <w:spacing w:after="0" w:line="225"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192"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§240.13d-1(b)(1)(ii)(G);</w:t>
      </w:r>
    </w:p>
    <w:p>
      <w:pPr>
        <w:spacing w:after="0" w:line="257" w:lineRule="exact"/>
        <w:rPr>
          <w:rFonts w:ascii="Arial" w:cs="Arial" w:eastAsia="Arial" w:hAnsi="Arial"/>
          <w:sz w:val="18"/>
          <w:szCs w:val="18"/>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260" w:hanging="1252"/>
        <w:spacing w:after="0" w:line="277" w:lineRule="auto"/>
        <w:tabs>
          <w:tab w:leader="none" w:pos="693" w:val="left"/>
        </w:tabs>
        <w:numPr>
          <w:ilvl w:val="0"/>
          <w:numId w:val="2"/>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37"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§240.13d-1(b)(1)(ii)(J);</w:t>
      </w:r>
    </w:p>
    <w:p>
      <w:pPr>
        <w:spacing w:after="0" w:line="257" w:lineRule="exact"/>
        <w:rPr>
          <w:rFonts w:ascii="Arial" w:cs="Arial" w:eastAsia="Arial" w:hAnsi="Arial"/>
          <w:sz w:val="18"/>
          <w:szCs w:val="18"/>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§240.13d-1(b)(1)(ii)(K).</w:t>
      </w:r>
    </w:p>
    <w:p>
      <w:pPr>
        <w:spacing w:after="0" w:line="225" w:lineRule="exact"/>
        <w:rPr>
          <w:sz w:val="20"/>
          <w:szCs w:val="20"/>
          <w:color w:val="auto"/>
        </w:rPr>
      </w:pPr>
    </w:p>
    <w:p>
      <w:pPr>
        <w:ind w:left="340" w:right="580"/>
        <w:spacing w:after="0" w:line="500" w:lineRule="auto"/>
        <w:rPr>
          <w:sz w:val="20"/>
          <w:szCs w:val="20"/>
          <w:color w:val="auto"/>
        </w:rPr>
      </w:pPr>
      <w:r>
        <w:rPr>
          <w:rFonts w:ascii="Arial" w:cs="Arial" w:eastAsia="Arial" w:hAnsi="Arial"/>
          <w:sz w:val="18"/>
          <w:szCs w:val="18"/>
          <w:color w:val="auto"/>
        </w:rPr>
        <w:t>If filing as a non-U.S. institution in accordance with §240.13d-1(b)(1)(ii)(J), please specify the type of institution: Parent Holding Company NAM:</w:t>
      </w:r>
    </w:p>
    <w:p>
      <w:pPr>
        <w:spacing w:after="0" w:line="2"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192"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257" w:lineRule="exact"/>
        <w:rPr>
          <w:rFonts w:ascii="Arial" w:cs="Arial" w:eastAsia="Arial" w:hAnsi="Arial"/>
          <w:sz w:val="18"/>
          <w:szCs w:val="18"/>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192"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§240.13d-1(b)(1)(ii)(G);</w:t>
      </w:r>
    </w:p>
    <w:p>
      <w:pPr>
        <w:spacing w:after="0" w:line="257" w:lineRule="exact"/>
        <w:rPr>
          <w:rFonts w:ascii="Arial" w:cs="Arial" w:eastAsia="Arial" w:hAnsi="Arial"/>
          <w:sz w:val="18"/>
          <w:szCs w:val="18"/>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260" w:hanging="1252"/>
        <w:spacing w:after="0" w:line="277" w:lineRule="auto"/>
        <w:tabs>
          <w:tab w:leader="none" w:pos="693" w:val="left"/>
        </w:tabs>
        <w:numPr>
          <w:ilvl w:val="0"/>
          <w:numId w:val="3"/>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37"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§240.13d-1(b)(1)(ii)(J);</w:t>
      </w:r>
    </w:p>
    <w:p>
      <w:pPr>
        <w:spacing w:after="0" w:line="257" w:lineRule="exact"/>
        <w:rPr>
          <w:rFonts w:ascii="Arial" w:cs="Arial" w:eastAsia="Arial" w:hAnsi="Arial"/>
          <w:sz w:val="18"/>
          <w:szCs w:val="18"/>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§240.13d-1(b)(1)(ii)(K).</w:t>
      </w:r>
    </w:p>
    <w:p>
      <w:pPr>
        <w:spacing w:after="0" w:line="36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746" w:right="599" w:bottom="1440" w:gutter="0" w:footer="0" w:header="0"/>
        </w:sectPr>
      </w:pPr>
    </w:p>
    <w:bookmarkStart w:id="5" w:name="page6"/>
    <w:bookmarkEnd w:id="5"/>
    <w:p>
      <w:pPr>
        <w:ind w:right="400"/>
        <w:spacing w:after="0" w:line="277" w:lineRule="auto"/>
        <w:rPr>
          <w:sz w:val="20"/>
          <w:szCs w:val="20"/>
          <w:color w:val="auto"/>
        </w:rPr>
      </w:pPr>
      <w:r>
        <w:rPr>
          <w:rFonts w:ascii="Arial" w:cs="Arial" w:eastAsia="Arial" w:hAnsi="Arial"/>
          <w:sz w:val="18"/>
          <w:szCs w:val="18"/>
          <w:color w:val="auto"/>
        </w:rPr>
        <w:t>If filing as a non-U.S. institution in accordance with §240.13d-1(b)(1)(ii)(J), please specify the type of institution: Investment Adviser, Parent Holding Company</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issuer identified in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SMTH: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r>
              <w:rPr>
                <w:rFonts w:ascii="Arial" w:cs="Arial" w:eastAsia="Arial" w:hAnsi="Arial"/>
                <w:sz w:val="18"/>
                <w:szCs w:val="18"/>
                <w:color w:val="auto"/>
              </w:rPr>
              <w:t>(a)</w:t>
            </w:r>
          </w:p>
        </w:tc>
        <w:tc>
          <w:tcPr>
            <w:tcW w:w="9680" w:type="dxa"/>
            <w:vAlign w:val="bottom"/>
          </w:tcPr>
          <w:p>
            <w:pPr>
              <w:ind w:left="100"/>
              <w:spacing w:after="0"/>
              <w:rPr>
                <w:sz w:val="20"/>
                <w:szCs w:val="20"/>
                <w:color w:val="auto"/>
              </w:rPr>
            </w:pPr>
            <w:r>
              <w:rPr>
                <w:rFonts w:ascii="Arial" w:cs="Arial" w:eastAsia="Arial" w:hAnsi="Arial"/>
                <w:sz w:val="18"/>
                <w:szCs w:val="18"/>
                <w:color w:val="auto"/>
              </w:rPr>
              <w:t xml:space="preserve">Amount beneficially owned: </w:t>
            </w:r>
            <w:r>
              <w:rPr>
                <w:rFonts w:ascii="Arial" w:cs="Arial" w:eastAsia="Arial" w:hAnsi="Arial"/>
                <w:sz w:val="18"/>
                <w:szCs w:val="18"/>
                <w:b w:val="1"/>
                <w:bCs w:val="1"/>
                <w:color w:val="auto"/>
              </w:rPr>
              <w:t>1,449,060</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(b)</w:t>
            </w:r>
          </w:p>
        </w:tc>
        <w:tc>
          <w:tcPr>
            <w:tcW w:w="9680" w:type="dxa"/>
            <w:vAlign w:val="bottom"/>
          </w:tcPr>
          <w:p>
            <w:pPr>
              <w:ind w:left="100"/>
              <w:spacing w:after="0"/>
              <w:rPr>
                <w:sz w:val="20"/>
                <w:szCs w:val="20"/>
                <w:color w:val="auto"/>
              </w:rPr>
            </w:pPr>
            <w:r>
              <w:rPr>
                <w:rFonts w:ascii="Arial" w:cs="Arial" w:eastAsia="Arial" w:hAnsi="Arial"/>
                <w:sz w:val="18"/>
                <w:szCs w:val="18"/>
                <w:color w:val="auto"/>
              </w:rPr>
              <w:t xml:space="preserve">Percent of class: </w:t>
            </w:r>
            <w:r>
              <w:rPr>
                <w:rFonts w:ascii="Arial" w:cs="Arial" w:eastAsia="Arial" w:hAnsi="Arial"/>
                <w:sz w:val="18"/>
                <w:szCs w:val="18"/>
                <w:b w:val="1"/>
                <w:bCs w:val="1"/>
                <w:color w:val="auto"/>
              </w:rPr>
              <w:t>5.45%</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(c)</w:t>
            </w:r>
          </w:p>
        </w:tc>
        <w:tc>
          <w:tcPr>
            <w:tcW w:w="9680" w:type="dxa"/>
            <w:vAlign w:val="bottom"/>
          </w:tcPr>
          <w:p>
            <w:pPr>
              <w:ind w:left="100"/>
              <w:spacing w:after="0"/>
              <w:rPr>
                <w:sz w:val="20"/>
                <w:szCs w:val="20"/>
                <w:color w:val="auto"/>
              </w:rPr>
            </w:pPr>
            <w:r>
              <w:rPr>
                <w:rFonts w:ascii="Arial" w:cs="Arial" w:eastAsia="Arial" w:hAnsi="Arial"/>
                <w:sz w:val="18"/>
                <w:szCs w:val="18"/>
                <w:color w:val="auto"/>
              </w:rPr>
              <w:t>Number of shares as to which such person has:</w:t>
            </w:r>
          </w:p>
        </w:tc>
      </w:tr>
      <w:tr>
        <w:trPr>
          <w:trHeight w:val="432"/>
        </w:trPr>
        <w:tc>
          <w:tcPr>
            <w:tcW w:w="1560" w:type="dxa"/>
            <w:vAlign w:val="bottom"/>
          </w:tcPr>
          <w:p>
            <w:pPr>
              <w:jc w:val="right"/>
              <w:ind w:right="10"/>
              <w:spacing w:after="0"/>
              <w:rPr>
                <w:sz w:val="20"/>
                <w:szCs w:val="20"/>
                <w:color w:val="auto"/>
              </w:rPr>
            </w:pPr>
            <w:r>
              <w:rPr>
                <w:rFonts w:ascii="Arial" w:cs="Arial" w:eastAsia="Arial" w:hAnsi="Arial"/>
                <w:sz w:val="18"/>
                <w:szCs w:val="18"/>
                <w:color w:val="auto"/>
              </w:rPr>
              <w:t>(i)</w:t>
            </w:r>
          </w:p>
        </w:tc>
        <w:tc>
          <w:tcPr>
            <w:tcW w:w="9680" w:type="dxa"/>
            <w:vAlign w:val="bottom"/>
          </w:tcPr>
          <w:p>
            <w:pPr>
              <w:ind w:left="100"/>
              <w:spacing w:after="0"/>
              <w:rPr>
                <w:sz w:val="20"/>
                <w:szCs w:val="20"/>
                <w:color w:val="auto"/>
              </w:rPr>
            </w:pPr>
            <w:r>
              <w:rPr>
                <w:rFonts w:ascii="Arial" w:cs="Arial" w:eastAsia="Arial" w:hAnsi="Arial"/>
                <w:sz w:val="18"/>
                <w:szCs w:val="18"/>
                <w:color w:val="auto"/>
              </w:rPr>
              <w:t>Sole power to vote or to direct the vote: 0</w:t>
            </w:r>
          </w:p>
        </w:tc>
      </w:tr>
      <w:tr>
        <w:trPr>
          <w:trHeight w:val="432"/>
        </w:trPr>
        <w:tc>
          <w:tcPr>
            <w:tcW w:w="1560" w:type="dxa"/>
            <w:vAlign w:val="bottom"/>
          </w:tcPr>
          <w:p>
            <w:pPr>
              <w:jc w:val="right"/>
              <w:ind w:right="10"/>
              <w:spacing w:after="0"/>
              <w:rPr>
                <w:sz w:val="20"/>
                <w:szCs w:val="20"/>
                <w:color w:val="auto"/>
              </w:rPr>
            </w:pPr>
            <w:r>
              <w:rPr>
                <w:rFonts w:ascii="Arial" w:cs="Arial" w:eastAsia="Arial" w:hAnsi="Arial"/>
                <w:sz w:val="18"/>
                <w:szCs w:val="18"/>
                <w:color w:val="auto"/>
              </w:rPr>
              <w:t>(ii)</w:t>
            </w:r>
          </w:p>
        </w:tc>
        <w:tc>
          <w:tcPr>
            <w:tcW w:w="9680" w:type="dxa"/>
            <w:vAlign w:val="bottom"/>
          </w:tcPr>
          <w:p>
            <w:pPr>
              <w:ind w:left="100"/>
              <w:spacing w:after="0"/>
              <w:rPr>
                <w:sz w:val="20"/>
                <w:szCs w:val="20"/>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b w:val="1"/>
                <w:bCs w:val="1"/>
                <w:color w:val="auto"/>
              </w:rPr>
              <w:t>1,449,060</w:t>
            </w:r>
          </w:p>
        </w:tc>
      </w:tr>
      <w:tr>
        <w:trPr>
          <w:trHeight w:val="432"/>
        </w:trPr>
        <w:tc>
          <w:tcPr>
            <w:tcW w:w="1560" w:type="dxa"/>
            <w:vAlign w:val="bottom"/>
          </w:tcPr>
          <w:p>
            <w:pPr>
              <w:jc w:val="right"/>
              <w:ind w:right="10"/>
              <w:spacing w:after="0"/>
              <w:rPr>
                <w:sz w:val="20"/>
                <w:szCs w:val="20"/>
                <w:color w:val="auto"/>
              </w:rPr>
            </w:pPr>
            <w:r>
              <w:rPr>
                <w:rFonts w:ascii="Arial" w:cs="Arial" w:eastAsia="Arial" w:hAnsi="Arial"/>
                <w:sz w:val="18"/>
                <w:szCs w:val="18"/>
                <w:color w:val="auto"/>
              </w:rPr>
              <w:t>(iii)</w:t>
            </w:r>
          </w:p>
        </w:tc>
        <w:tc>
          <w:tcPr>
            <w:tcW w:w="9680" w:type="dxa"/>
            <w:vAlign w:val="bottom"/>
          </w:tcPr>
          <w:p>
            <w:pPr>
              <w:ind w:left="100"/>
              <w:spacing w:after="0"/>
              <w:rPr>
                <w:sz w:val="20"/>
                <w:szCs w:val="20"/>
                <w:color w:val="auto"/>
              </w:rPr>
            </w:pPr>
            <w:r>
              <w:rPr>
                <w:rFonts w:ascii="Arial" w:cs="Arial" w:eastAsia="Arial" w:hAnsi="Arial"/>
                <w:sz w:val="18"/>
                <w:szCs w:val="18"/>
                <w:color w:val="auto"/>
              </w:rPr>
              <w:t>Sole power to dispose or to direct the disposition of: 0</w:t>
            </w:r>
          </w:p>
        </w:tc>
      </w:tr>
      <w:tr>
        <w:trPr>
          <w:trHeight w:val="432"/>
        </w:trPr>
        <w:tc>
          <w:tcPr>
            <w:tcW w:w="1560" w:type="dxa"/>
            <w:vAlign w:val="bottom"/>
          </w:tcPr>
          <w:p>
            <w:pPr>
              <w:jc w:val="right"/>
              <w:ind w:right="10"/>
              <w:spacing w:after="0"/>
              <w:rPr>
                <w:sz w:val="20"/>
                <w:szCs w:val="20"/>
                <w:color w:val="auto"/>
              </w:rPr>
            </w:pPr>
            <w:r>
              <w:rPr>
                <w:rFonts w:ascii="Arial" w:cs="Arial" w:eastAsia="Arial" w:hAnsi="Arial"/>
                <w:sz w:val="18"/>
                <w:szCs w:val="18"/>
                <w:color w:val="auto"/>
              </w:rPr>
              <w:t>(iv)</w:t>
            </w:r>
          </w:p>
        </w:tc>
        <w:tc>
          <w:tcPr>
            <w:tcW w:w="9680" w:type="dxa"/>
            <w:vAlign w:val="bottom"/>
          </w:tcPr>
          <w:p>
            <w:pPr>
              <w:ind w:left="100"/>
              <w:spacing w:after="0"/>
              <w:rPr>
                <w:sz w:val="20"/>
                <w:szCs w:val="20"/>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b w:val="1"/>
                <w:bCs w:val="1"/>
                <w:color w:val="auto"/>
              </w:rPr>
              <w:t>1,449,060</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NAM:</w:t>
            </w:r>
          </w:p>
        </w:tc>
        <w:tc>
          <w:tcPr>
            <w:tcW w:w="9680" w:type="dxa"/>
            <w:vAlign w:val="bottom"/>
          </w:tcPr>
          <w:p>
            <w:pPr>
              <w:spacing w:after="0"/>
              <w:rPr>
                <w:sz w:val="24"/>
                <w:szCs w:val="24"/>
                <w:color w:val="auto"/>
              </w:rPr>
            </w:pP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(a)</w:t>
            </w:r>
          </w:p>
        </w:tc>
        <w:tc>
          <w:tcPr>
            <w:tcW w:w="9680" w:type="dxa"/>
            <w:vAlign w:val="bottom"/>
          </w:tcPr>
          <w:p>
            <w:pPr>
              <w:ind w:left="100"/>
              <w:spacing w:after="0"/>
              <w:rPr>
                <w:sz w:val="20"/>
                <w:szCs w:val="20"/>
                <w:color w:val="auto"/>
              </w:rPr>
            </w:pPr>
            <w:r>
              <w:rPr>
                <w:rFonts w:ascii="Arial" w:cs="Arial" w:eastAsia="Arial" w:hAnsi="Arial"/>
                <w:sz w:val="18"/>
                <w:szCs w:val="18"/>
                <w:color w:val="auto"/>
              </w:rPr>
              <w:t xml:space="preserve">Amount beneficially owned: </w:t>
            </w:r>
            <w:r>
              <w:rPr>
                <w:rFonts w:ascii="Arial" w:cs="Arial" w:eastAsia="Arial" w:hAnsi="Arial"/>
                <w:sz w:val="18"/>
                <w:szCs w:val="18"/>
                <w:b w:val="1"/>
                <w:bCs w:val="1"/>
                <w:color w:val="auto"/>
              </w:rPr>
              <w:t>1,449,060</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(b)</w:t>
            </w:r>
          </w:p>
        </w:tc>
        <w:tc>
          <w:tcPr>
            <w:tcW w:w="9680" w:type="dxa"/>
            <w:vAlign w:val="bottom"/>
          </w:tcPr>
          <w:p>
            <w:pPr>
              <w:ind w:left="100"/>
              <w:spacing w:after="0"/>
              <w:rPr>
                <w:sz w:val="20"/>
                <w:szCs w:val="20"/>
                <w:color w:val="auto"/>
              </w:rPr>
            </w:pPr>
            <w:r>
              <w:rPr>
                <w:rFonts w:ascii="Arial" w:cs="Arial" w:eastAsia="Arial" w:hAnsi="Arial"/>
                <w:sz w:val="18"/>
                <w:szCs w:val="18"/>
                <w:color w:val="auto"/>
              </w:rPr>
              <w:t xml:space="preserve">Percent of class: </w:t>
            </w:r>
            <w:r>
              <w:rPr>
                <w:rFonts w:ascii="Arial" w:cs="Arial" w:eastAsia="Arial" w:hAnsi="Arial"/>
                <w:sz w:val="18"/>
                <w:szCs w:val="18"/>
                <w:b w:val="1"/>
                <w:bCs w:val="1"/>
                <w:color w:val="auto"/>
              </w:rPr>
              <w:t>5.45%</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(c)</w:t>
            </w:r>
          </w:p>
        </w:tc>
        <w:tc>
          <w:tcPr>
            <w:tcW w:w="9680" w:type="dxa"/>
            <w:vAlign w:val="bottom"/>
          </w:tcPr>
          <w:p>
            <w:pPr>
              <w:ind w:left="100"/>
              <w:spacing w:after="0"/>
              <w:rPr>
                <w:sz w:val="20"/>
                <w:szCs w:val="20"/>
                <w:color w:val="auto"/>
              </w:rPr>
            </w:pPr>
            <w:r>
              <w:rPr>
                <w:rFonts w:ascii="Arial" w:cs="Arial" w:eastAsia="Arial" w:hAnsi="Arial"/>
                <w:sz w:val="18"/>
                <w:szCs w:val="18"/>
                <w:color w:val="auto"/>
              </w:rPr>
              <w:t>Number of shares as to which such person has:</w:t>
            </w:r>
          </w:p>
        </w:tc>
      </w:tr>
      <w:tr>
        <w:trPr>
          <w:trHeight w:val="432"/>
        </w:trPr>
        <w:tc>
          <w:tcPr>
            <w:tcW w:w="1560" w:type="dxa"/>
            <w:vAlign w:val="bottom"/>
          </w:tcPr>
          <w:p>
            <w:pPr>
              <w:jc w:val="right"/>
              <w:ind w:right="10"/>
              <w:spacing w:after="0"/>
              <w:rPr>
                <w:sz w:val="20"/>
                <w:szCs w:val="20"/>
                <w:color w:val="auto"/>
              </w:rPr>
            </w:pPr>
            <w:r>
              <w:rPr>
                <w:rFonts w:ascii="Arial" w:cs="Arial" w:eastAsia="Arial" w:hAnsi="Arial"/>
                <w:sz w:val="18"/>
                <w:szCs w:val="18"/>
                <w:color w:val="auto"/>
              </w:rPr>
              <w:t>(i)</w:t>
            </w:r>
          </w:p>
        </w:tc>
        <w:tc>
          <w:tcPr>
            <w:tcW w:w="9680" w:type="dxa"/>
            <w:vAlign w:val="bottom"/>
          </w:tcPr>
          <w:p>
            <w:pPr>
              <w:ind w:left="100"/>
              <w:spacing w:after="0"/>
              <w:rPr>
                <w:sz w:val="20"/>
                <w:szCs w:val="20"/>
                <w:color w:val="auto"/>
              </w:rPr>
            </w:pPr>
            <w:r>
              <w:rPr>
                <w:rFonts w:ascii="Arial" w:cs="Arial" w:eastAsia="Arial" w:hAnsi="Arial"/>
                <w:sz w:val="18"/>
                <w:szCs w:val="18"/>
                <w:color w:val="auto"/>
              </w:rPr>
              <w:t>Sole power to vote or to direct the vote: 0</w:t>
            </w:r>
          </w:p>
        </w:tc>
      </w:tr>
      <w:tr>
        <w:trPr>
          <w:trHeight w:val="432"/>
        </w:trPr>
        <w:tc>
          <w:tcPr>
            <w:tcW w:w="1560" w:type="dxa"/>
            <w:vAlign w:val="bottom"/>
          </w:tcPr>
          <w:p>
            <w:pPr>
              <w:jc w:val="right"/>
              <w:ind w:right="10"/>
              <w:spacing w:after="0"/>
              <w:rPr>
                <w:sz w:val="20"/>
                <w:szCs w:val="20"/>
                <w:color w:val="auto"/>
              </w:rPr>
            </w:pPr>
            <w:r>
              <w:rPr>
                <w:rFonts w:ascii="Arial" w:cs="Arial" w:eastAsia="Arial" w:hAnsi="Arial"/>
                <w:sz w:val="18"/>
                <w:szCs w:val="18"/>
                <w:color w:val="auto"/>
              </w:rPr>
              <w:t>(ii)</w:t>
            </w:r>
          </w:p>
        </w:tc>
        <w:tc>
          <w:tcPr>
            <w:tcW w:w="9680" w:type="dxa"/>
            <w:vAlign w:val="bottom"/>
          </w:tcPr>
          <w:p>
            <w:pPr>
              <w:ind w:left="100"/>
              <w:spacing w:after="0"/>
              <w:rPr>
                <w:sz w:val="20"/>
                <w:szCs w:val="20"/>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b w:val="1"/>
                <w:bCs w:val="1"/>
                <w:color w:val="auto"/>
              </w:rPr>
              <w:t>1,449,060</w:t>
            </w:r>
          </w:p>
        </w:tc>
      </w:tr>
      <w:tr>
        <w:trPr>
          <w:trHeight w:val="432"/>
        </w:trPr>
        <w:tc>
          <w:tcPr>
            <w:tcW w:w="1560" w:type="dxa"/>
            <w:vAlign w:val="bottom"/>
          </w:tcPr>
          <w:p>
            <w:pPr>
              <w:jc w:val="right"/>
              <w:ind w:right="10"/>
              <w:spacing w:after="0"/>
              <w:rPr>
                <w:sz w:val="20"/>
                <w:szCs w:val="20"/>
                <w:color w:val="auto"/>
              </w:rPr>
            </w:pPr>
            <w:r>
              <w:rPr>
                <w:rFonts w:ascii="Arial" w:cs="Arial" w:eastAsia="Arial" w:hAnsi="Arial"/>
                <w:sz w:val="18"/>
                <w:szCs w:val="18"/>
                <w:color w:val="auto"/>
              </w:rPr>
              <w:t>(iii)</w:t>
            </w:r>
          </w:p>
        </w:tc>
        <w:tc>
          <w:tcPr>
            <w:tcW w:w="9680" w:type="dxa"/>
            <w:vAlign w:val="bottom"/>
          </w:tcPr>
          <w:p>
            <w:pPr>
              <w:ind w:left="100"/>
              <w:spacing w:after="0"/>
              <w:rPr>
                <w:sz w:val="20"/>
                <w:szCs w:val="20"/>
                <w:color w:val="auto"/>
              </w:rPr>
            </w:pPr>
            <w:r>
              <w:rPr>
                <w:rFonts w:ascii="Arial" w:cs="Arial" w:eastAsia="Arial" w:hAnsi="Arial"/>
                <w:sz w:val="18"/>
                <w:szCs w:val="18"/>
                <w:color w:val="auto"/>
              </w:rPr>
              <w:t>Sole power to dispose or to direct the disposition of: 0</w:t>
            </w:r>
          </w:p>
        </w:tc>
      </w:tr>
      <w:tr>
        <w:trPr>
          <w:trHeight w:val="432"/>
        </w:trPr>
        <w:tc>
          <w:tcPr>
            <w:tcW w:w="1560" w:type="dxa"/>
            <w:vAlign w:val="bottom"/>
          </w:tcPr>
          <w:p>
            <w:pPr>
              <w:jc w:val="right"/>
              <w:ind w:right="10"/>
              <w:spacing w:after="0"/>
              <w:rPr>
                <w:sz w:val="20"/>
                <w:szCs w:val="20"/>
                <w:color w:val="auto"/>
              </w:rPr>
            </w:pPr>
            <w:r>
              <w:rPr>
                <w:rFonts w:ascii="Arial" w:cs="Arial" w:eastAsia="Arial" w:hAnsi="Arial"/>
                <w:sz w:val="18"/>
                <w:szCs w:val="18"/>
                <w:color w:val="auto"/>
              </w:rPr>
              <w:t>(iv)</w:t>
            </w:r>
          </w:p>
        </w:tc>
        <w:tc>
          <w:tcPr>
            <w:tcW w:w="9680" w:type="dxa"/>
            <w:vAlign w:val="bottom"/>
          </w:tcPr>
          <w:p>
            <w:pPr>
              <w:ind w:left="100"/>
              <w:spacing w:after="0"/>
              <w:rPr>
                <w:sz w:val="20"/>
                <w:szCs w:val="20"/>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b w:val="1"/>
                <w:bCs w:val="1"/>
                <w:color w:val="auto"/>
              </w:rPr>
              <w:t>1,449,060</w:t>
            </w:r>
          </w:p>
        </w:tc>
      </w:tr>
      <w:tr>
        <w:trPr>
          <w:trHeight w:val="574"/>
        </w:trPr>
        <w:tc>
          <w:tcPr>
            <w:tcW w:w="1560" w:type="dxa"/>
            <w:vAlign w:val="bottom"/>
            <w:tcBorders>
              <w:bottom w:val="single" w:sz="8" w:color="auto"/>
            </w:tcBorders>
          </w:tcPr>
          <w:p>
            <w:pPr>
              <w:spacing w:after="0"/>
              <w:rPr>
                <w:sz w:val="24"/>
                <w:szCs w:val="24"/>
                <w:color w:val="auto"/>
              </w:rPr>
            </w:pPr>
          </w:p>
        </w:tc>
        <w:tc>
          <w:tcPr>
            <w:tcW w:w="9680" w:type="dxa"/>
            <w:vAlign w:val="bottom"/>
            <w:tcBorders>
              <w:bottom w:val="single" w:sz="8" w:color="auto"/>
            </w:tcBorders>
          </w:tcPr>
          <w:p>
            <w:pPr>
              <w:ind w:left="3660"/>
              <w:spacing w:after="0"/>
              <w:rPr>
                <w:sz w:val="20"/>
                <w:szCs w:val="20"/>
                <w:color w:val="auto"/>
              </w:rPr>
            </w:pPr>
            <w:r>
              <w:rPr>
                <w:rFonts w:ascii="Arial" w:cs="Arial" w:eastAsia="Arial" w:hAnsi="Arial"/>
                <w:sz w:val="18"/>
                <w:szCs w:val="18"/>
                <w:color w:val="auto"/>
              </w:rPr>
              <w:t>Page 6 of 9</w:t>
            </w:r>
          </w:p>
        </w:tc>
      </w:tr>
    </w:tbl>
    <w:p>
      <w:pPr>
        <w:sectPr>
          <w:pgSz w:w="11900" w:h="16838" w:orient="portrait"/>
          <w:cols w:equalWidth="0" w:num="1">
            <w:col w:w="11240"/>
          </w:cols>
          <w:pgMar w:left="320" w:top="746" w:right="339" w:bottom="1440" w:gutter="0" w:footer="0" w:header="0"/>
        </w:sectPr>
      </w:pPr>
    </w:p>
    <w:bookmarkStart w:id="6" w:name="page7"/>
    <w:bookmarkEnd w:id="6"/>
    <w:p>
      <w:pPr>
        <w:spacing w:after="0"/>
        <w:tabs>
          <w:tab w:leader="none" w:pos="8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Exhibit A.</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Exhibit A.</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746" w:right="539"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February 3, 2023</w:t>
      </w:r>
    </w:p>
    <w:p>
      <w:pPr>
        <w:spacing w:after="0" w:line="225"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Sumitomo Mitsui Trust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(Company)</w:t>
      </w:r>
    </w:p>
    <w:p>
      <w:pPr>
        <w:spacing w:after="0" w:line="224"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/s/ Hideaki Takamiya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7380"/>
        <w:spacing w:after="0"/>
        <w:rPr>
          <w:sz w:val="20"/>
          <w:szCs w:val="20"/>
          <w:color w:val="auto"/>
        </w:rPr>
      </w:pPr>
      <w:r>
        <w:rPr>
          <w:rFonts w:ascii="Arial" w:cs="Arial" w:eastAsia="Arial" w:hAnsi="Arial"/>
          <w:sz w:val="17"/>
          <w:szCs w:val="17"/>
          <w:color w:val="auto"/>
        </w:rPr>
        <w:t>Hideaki Takamiya / Senior Manager of Risk</w:t>
      </w:r>
    </w:p>
    <w:p>
      <w:pPr>
        <w:spacing w:after="0" w:line="35"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Management Dept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jc w:val="center"/>
        <w:ind w:left="616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jc w:val="center"/>
        <w:ind w:left="6120"/>
        <w:spacing w:after="0"/>
        <w:rPr>
          <w:sz w:val="20"/>
          <w:szCs w:val="20"/>
          <w:color w:val="auto"/>
        </w:rPr>
      </w:pPr>
      <w:r>
        <w:rPr>
          <w:rFonts w:ascii="Arial" w:cs="Arial" w:eastAsia="Arial" w:hAnsi="Arial"/>
          <w:sz w:val="18"/>
          <w:szCs w:val="18"/>
          <w:color w:val="auto"/>
        </w:rPr>
        <w:t>Nikko Asset Management Co.,Ltd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(Company)</w:t>
      </w:r>
    </w:p>
    <w:p>
      <w:pPr>
        <w:spacing w:after="0" w:line="224"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/s/ Atsushi Ohya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6120"/>
        <w:spacing w:after="0"/>
        <w:rPr>
          <w:sz w:val="20"/>
          <w:szCs w:val="20"/>
          <w:color w:val="auto"/>
        </w:rPr>
      </w:pPr>
      <w:r>
        <w:rPr>
          <w:rFonts w:ascii="Arial" w:cs="Arial" w:eastAsia="Arial" w:hAnsi="Arial"/>
          <w:sz w:val="16"/>
          <w:szCs w:val="16"/>
          <w:color w:val="auto"/>
        </w:rPr>
        <w:t>Atsushi Ohya / Head of Business Regulatory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29210</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6"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(Name/Title)</w:t>
      </w:r>
    </w:p>
    <w:p>
      <w:pPr>
        <w:spacing w:after="0" w:line="35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742" w:right="799" w:bottom="1440" w:gutter="0" w:footer="0" w:header="0"/>
        </w:sectPr>
      </w:pPr>
    </w:p>
    <w:bookmarkStart w:id="8" w:name="page9"/>
    <w:bookmarkEnd w:id="8"/>
    <w:p>
      <w:pPr>
        <w:jc w:val="center"/>
        <w:ind w:right="-43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Pursuant to the instructions in Item 6 and Item 7 of Schedule 13G, the securities being reported on by each of SMTH and NAM, as parent holding companies, are owned, or may be deemed to be beneficially owned, by their subsidiary Nikko Asset Management Americas, Inc., which is classified as an investment adviser in accordance with §240.13d-1(b)(1)(ii)(E).</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9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74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2023-02-03T05:29:09Z</dcterms:created>
  <dcterms:modified xsi:type="dcterms:W3CDTF">2023-02-03T05:29:09Z</dcterms:modified>
</cp:coreProperties>
</file>