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94615</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95" w:lineRule="exact"/>
        <w:rPr>
          <w:sz w:val="24"/>
          <w:szCs w:val="24"/>
          <w:color w:val="auto"/>
        </w:rPr>
      </w:pPr>
    </w:p>
    <w:p>
      <w:pPr>
        <w:ind w:left="5220"/>
        <w:spacing w:after="0"/>
        <w:rPr>
          <w:sz w:val="20"/>
          <w:szCs w:val="20"/>
          <w:color w:val="auto"/>
        </w:rPr>
      </w:pPr>
      <w:r>
        <w:rPr>
          <w:rFonts w:ascii="Arial" w:cs="Arial" w:eastAsia="Arial" w:hAnsi="Arial"/>
          <w:sz w:val="20"/>
          <w:szCs w:val="20"/>
          <w:b w:val="1"/>
          <w:bCs w:val="1"/>
          <w:color w:val="auto"/>
        </w:rPr>
        <w:t>FORM 8-K</w:t>
      </w:r>
    </w:p>
    <w:p>
      <w:pPr>
        <w:spacing w:after="0" w:line="175" w:lineRule="exact"/>
        <w:rPr>
          <w:sz w:val="24"/>
          <w:szCs w:val="24"/>
          <w:color w:val="auto"/>
        </w:rPr>
      </w:pPr>
    </w:p>
    <w:p>
      <w:pPr>
        <w:ind w:left="4800"/>
        <w:spacing w:after="0"/>
        <w:rPr>
          <w:sz w:val="20"/>
          <w:szCs w:val="20"/>
          <w:color w:val="auto"/>
        </w:rPr>
      </w:pPr>
      <w:r>
        <w:rPr>
          <w:rFonts w:ascii="Arial" w:cs="Arial" w:eastAsia="Arial" w:hAnsi="Arial"/>
          <w:sz w:val="20"/>
          <w:szCs w:val="20"/>
          <w:b w:val="1"/>
          <w:bCs w:val="1"/>
          <w:color w:val="auto"/>
        </w:rPr>
        <w:t>CURRENT REPORT</w:t>
      </w:r>
    </w:p>
    <w:p>
      <w:pPr>
        <w:spacing w:after="0" w:line="189"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114300</wp:posOffset>
            </wp:positionV>
            <wp:extent cx="1689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ARCTURUS THERAPEUTICS LTD.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440"/>
          </w:cols>
          <w:pgMar w:left="240" w:top="886" w:right="219" w:bottom="1440" w:gutter="0" w:footer="0" w:header="0"/>
        </w:sectPr>
      </w:pPr>
    </w:p>
    <w:p>
      <w:pPr>
        <w:spacing w:after="0" w:line="20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State of Israel</w:t>
      </w:r>
    </w:p>
    <w:p>
      <w:pPr>
        <w:spacing w:after="0" w:line="68" w:lineRule="exact"/>
        <w:rPr>
          <w:sz w:val="24"/>
          <w:szCs w:val="24"/>
          <w:color w:val="auto"/>
        </w:rPr>
      </w:pPr>
    </w:p>
    <w:p>
      <w:pPr>
        <w:ind w:left="1520"/>
        <w:spacing w:after="0"/>
        <w:rPr>
          <w:sz w:val="20"/>
          <w:szCs w:val="20"/>
          <w:color w:val="auto"/>
        </w:rPr>
      </w:pPr>
      <w:r>
        <w:rPr>
          <w:rFonts w:ascii="Arial" w:cs="Arial" w:eastAsia="Arial" w:hAnsi="Arial"/>
          <w:sz w:val="16"/>
          <w:szCs w:val="16"/>
          <w:color w:val="auto"/>
        </w:rPr>
        <w:t>(State or Other</w:t>
      </w:r>
    </w:p>
    <w:p>
      <w:pPr>
        <w:spacing w:after="0" w:line="46"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20"/>
          <w:szCs w:val="20"/>
          <w:b w:val="1"/>
          <w:bCs w:val="1"/>
          <w:color w:val="auto"/>
        </w:rPr>
        <w:t>001-35932</w:t>
      </w:r>
    </w:p>
    <w:p>
      <w:pPr>
        <w:spacing w:after="0" w:line="22" w:lineRule="exact"/>
        <w:rPr>
          <w:sz w:val="24"/>
          <w:szCs w:val="24"/>
          <w:color w:val="auto"/>
        </w:rPr>
      </w:pPr>
    </w:p>
    <w:p>
      <w:pPr>
        <w:jc w:val="center"/>
        <w:ind w:right="144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4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80"/>
        <w:spacing w:after="0"/>
        <w:rPr>
          <w:sz w:val="20"/>
          <w:szCs w:val="20"/>
          <w:color w:val="auto"/>
        </w:rPr>
      </w:pPr>
      <w:r>
        <w:rPr>
          <w:rFonts w:ascii="Arial" w:cs="Arial" w:eastAsia="Arial" w:hAnsi="Arial"/>
          <w:sz w:val="20"/>
          <w:szCs w:val="20"/>
          <w:b w:val="1"/>
          <w:bCs w:val="1"/>
          <w:color w:val="auto"/>
        </w:rPr>
        <w:t>46-1981974</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20"/>
          <w:szCs w:val="20"/>
          <w:color w:val="auto"/>
        </w:rPr>
        <w:t>(I.R.S. Employer</w:t>
      </w:r>
    </w:p>
    <w:p>
      <w:pPr>
        <w:jc w:val="center"/>
        <w:ind w:right="1380"/>
        <w:spacing w:after="0"/>
        <w:rPr>
          <w:sz w:val="20"/>
          <w:szCs w:val="20"/>
          <w:color w:val="auto"/>
        </w:rPr>
      </w:pPr>
      <w:r>
        <w:rPr>
          <w:rFonts w:ascii="Arial" w:cs="Arial" w:eastAsia="Arial" w:hAnsi="Arial"/>
          <w:sz w:val="19"/>
          <w:szCs w:val="19"/>
          <w:color w:val="auto"/>
        </w:rPr>
        <w:t>Identification No.)</w:t>
      </w:r>
    </w:p>
    <w:p>
      <w:pPr>
        <w:spacing w:after="0" w:line="15" w:lineRule="exact"/>
        <w:rPr>
          <w:sz w:val="24"/>
          <w:szCs w:val="24"/>
          <w:color w:val="auto"/>
        </w:rPr>
      </w:pPr>
    </w:p>
    <w:p>
      <w:pPr>
        <w:sectPr>
          <w:pgSz w:w="11900" w:h="16838" w:orient="portrait"/>
          <w:cols w:equalWidth="0" w:num="3">
            <w:col w:w="4280" w:space="720"/>
            <w:col w:w="2860" w:space="720"/>
            <w:col w:w="2860"/>
          </w:cols>
          <w:pgMar w:left="240" w:top="886" w:right="219" w:bottom="1440" w:gutter="0" w:footer="0" w:header="0"/>
          <w:type w:val="continuous"/>
        </w:sectPr>
      </w:pPr>
    </w:p>
    <w:p>
      <w:pPr>
        <w:ind w:left="152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40"/>
          </w:cols>
          <w:pgMar w:left="240" w:top="886" w:right="219" w:bottom="1440" w:gutter="0" w:footer="0" w:header="0"/>
          <w:type w:val="continuous"/>
        </w:sectPr>
      </w:pPr>
    </w:p>
    <w:p>
      <w:pPr>
        <w:spacing w:after="0" w:line="225"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10628 Science Center Drive, Suite 250</w:t>
      </w:r>
    </w:p>
    <w:p>
      <w:pPr>
        <w:spacing w:after="0" w:line="67" w:lineRule="exact"/>
        <w:rPr>
          <w:sz w:val="24"/>
          <w:szCs w:val="24"/>
          <w:color w:val="auto"/>
        </w:rPr>
      </w:pPr>
    </w:p>
    <w:p>
      <w:pPr>
        <w:jc w:val="center"/>
        <w:ind w:right="1260"/>
        <w:spacing w:after="0"/>
        <w:rPr>
          <w:sz w:val="20"/>
          <w:szCs w:val="20"/>
          <w:color w:val="auto"/>
        </w:rPr>
      </w:pPr>
      <w:r>
        <w:rPr>
          <w:rFonts w:ascii="Arial" w:cs="Arial" w:eastAsia="Arial" w:hAnsi="Arial"/>
          <w:sz w:val="20"/>
          <w:szCs w:val="20"/>
          <w:b w:val="1"/>
          <w:bCs w:val="1"/>
          <w:color w:val="auto"/>
        </w:rPr>
        <w:t>San Diego, California</w:t>
      </w:r>
    </w:p>
    <w:p>
      <w:pPr>
        <w:jc w:val="center"/>
        <w:ind w:right="12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jc w:val="center"/>
        <w:ind w:right="2580"/>
        <w:spacing w:after="0"/>
        <w:rPr>
          <w:sz w:val="20"/>
          <w:szCs w:val="20"/>
          <w:color w:val="auto"/>
        </w:rPr>
      </w:pPr>
      <w:r>
        <w:rPr>
          <w:rFonts w:ascii="Arial" w:cs="Arial" w:eastAsia="Arial" w:hAnsi="Arial"/>
          <w:sz w:val="20"/>
          <w:szCs w:val="20"/>
          <w:b w:val="1"/>
          <w:bCs w:val="1"/>
          <w:color w:val="auto"/>
        </w:rPr>
        <w:t>92121</w:t>
      </w:r>
    </w:p>
    <w:p>
      <w:pPr>
        <w:spacing w:after="0" w:line="22" w:lineRule="exact"/>
        <w:rPr>
          <w:sz w:val="24"/>
          <w:szCs w:val="24"/>
          <w:color w:val="auto"/>
        </w:rPr>
      </w:pPr>
    </w:p>
    <w:p>
      <w:pPr>
        <w:jc w:val="center"/>
        <w:ind w:right="2580"/>
        <w:spacing w:after="0"/>
        <w:rPr>
          <w:sz w:val="20"/>
          <w:szCs w:val="20"/>
          <w:color w:val="auto"/>
        </w:rPr>
      </w:pPr>
      <w:r>
        <w:rPr>
          <w:rFonts w:ascii="Arial" w:cs="Arial" w:eastAsia="Arial" w:hAnsi="Arial"/>
          <w:sz w:val="18"/>
          <w:szCs w:val="18"/>
          <w:color w:val="auto"/>
        </w:rPr>
        <w:t>(Zip Code)</w:t>
      </w:r>
    </w:p>
    <w:p>
      <w:pPr>
        <w:spacing w:after="0" w:line="109" w:lineRule="exact"/>
        <w:rPr>
          <w:sz w:val="24"/>
          <w:szCs w:val="24"/>
          <w:color w:val="auto"/>
        </w:rPr>
      </w:pPr>
    </w:p>
    <w:p>
      <w:pPr>
        <w:sectPr>
          <w:pgSz w:w="11900" w:h="16838" w:orient="portrait"/>
          <w:cols w:equalWidth="0" w:num="2">
            <w:col w:w="7260" w:space="720"/>
            <w:col w:w="3460"/>
          </w:cols>
          <w:pgMar w:left="240" w:top="886" w:right="219" w:bottom="1440" w:gutter="0" w:footer="0" w:header="0"/>
          <w:type w:val="continuous"/>
        </w:sectPr>
      </w:pPr>
    </w:p>
    <w:p>
      <w:pPr>
        <w:jc w:val="center"/>
        <w:ind w:right="2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(858) 900-2660</w:t>
      </w:r>
    </w:p>
    <w:p>
      <w:pPr>
        <w:spacing w:after="0" w:line="235" w:lineRule="exact"/>
        <w:rPr>
          <w:sz w:val="24"/>
          <w:szCs w:val="24"/>
          <w:color w:val="auto"/>
        </w:rPr>
      </w:pPr>
    </w:p>
    <w:p>
      <w:pPr>
        <w:ind w:right="12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88"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88"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0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175" w:lineRule="exact"/>
        <w:rPr>
          <w:sz w:val="24"/>
          <w:szCs w:val="24"/>
          <w:color w:val="auto"/>
        </w:rPr>
      </w:pPr>
    </w:p>
    <w:p>
      <w:pPr>
        <w:ind w:right="18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6" w:lineRule="exact"/>
        <w:rPr>
          <w:sz w:val="24"/>
          <w:szCs w:val="24"/>
          <w:color w:val="auto"/>
        </w:rPr>
      </w:pPr>
    </w:p>
    <w:p>
      <w:pPr>
        <w:ind w:right="380"/>
        <w:spacing w:after="0" w:line="25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33"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Ordinary Shares, par value NIS 0.07 per share</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ARCT</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86"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and Financial Conditions.</w:t>
      </w:r>
    </w:p>
    <w:p>
      <w:pPr>
        <w:jc w:val="both"/>
        <w:ind w:right="20" w:firstLine="761"/>
        <w:spacing w:after="0" w:line="239" w:lineRule="auto"/>
        <w:rPr>
          <w:sz w:val="20"/>
          <w:szCs w:val="20"/>
          <w:color w:val="auto"/>
        </w:rPr>
      </w:pPr>
      <w:r>
        <w:rPr>
          <w:rFonts w:ascii="Arial" w:cs="Arial" w:eastAsia="Arial" w:hAnsi="Arial"/>
          <w:sz w:val="20"/>
          <w:szCs w:val="20"/>
          <w:color w:val="auto"/>
        </w:rPr>
        <w:t>On May 13, 2019, Arcturus Therapeutics Ltd. (the “Company” or “Arcturus”) issued a press release, a copy of which is furnished herewith as Exhibit 99.1, announcing the Company’s financial results for the quarter ended March 31, 2019 and providing a corporate update (the “Press Release”).</w:t>
      </w:r>
    </w:p>
    <w:p>
      <w:pPr>
        <w:spacing w:after="0" w:line="2" w:lineRule="exact"/>
        <w:rPr>
          <w:sz w:val="20"/>
          <w:szCs w:val="20"/>
          <w:color w:val="auto"/>
        </w:rPr>
      </w:pPr>
    </w:p>
    <w:p>
      <w:pPr>
        <w:ind w:right="20" w:firstLine="761"/>
        <w:spacing w:after="0"/>
        <w:rPr>
          <w:sz w:val="20"/>
          <w:szCs w:val="20"/>
          <w:color w:val="auto"/>
        </w:rPr>
      </w:pPr>
      <w:r>
        <w:rPr>
          <w:rFonts w:ascii="Arial" w:cs="Arial" w:eastAsia="Arial" w:hAnsi="Arial"/>
          <w:sz w:val="20"/>
          <w:szCs w:val="20"/>
          <w:color w:val="auto"/>
        </w:rPr>
        <w:t>The information contained in Item 2.02 of this Current Report on Form 8-K, including the Press Release attached hereto as Exhibit 99.1,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ind w:right="360" w:firstLine="761"/>
        <w:spacing w:after="0" w:line="287" w:lineRule="auto"/>
        <w:rPr>
          <w:sz w:val="20"/>
          <w:szCs w:val="20"/>
          <w:color w:val="auto"/>
        </w:rPr>
      </w:pPr>
      <w:r>
        <w:rPr>
          <w:rFonts w:ascii="Arial" w:cs="Arial" w:eastAsia="Arial" w:hAnsi="Arial"/>
          <w:sz w:val="19"/>
          <w:szCs w:val="19"/>
          <w:color w:val="auto"/>
        </w:rPr>
        <w:t>Certain statements in this communication and the Press Release are forward-looking statements” that involve substantial risks and uncertainties for purposes of the safe harbor provided by the Private Securities Litigation Reform Act of 1995.</w:t>
      </w:r>
    </w:p>
    <w:p>
      <w:pPr>
        <w:spacing w:after="0" w:line="166" w:lineRule="exact"/>
        <w:rPr>
          <w:sz w:val="20"/>
          <w:szCs w:val="20"/>
          <w:color w:val="auto"/>
        </w:rPr>
      </w:pPr>
    </w:p>
    <w:p>
      <w:pPr>
        <w:ind w:right="20" w:firstLine="761"/>
        <w:spacing w:after="0" w:line="269" w:lineRule="auto"/>
        <w:rPr>
          <w:sz w:val="20"/>
          <w:szCs w:val="20"/>
          <w:color w:val="auto"/>
        </w:rPr>
      </w:pPr>
      <w:r>
        <w:rPr>
          <w:rFonts w:ascii="Arial" w:cs="Arial" w:eastAsia="Arial" w:hAnsi="Arial"/>
          <w:sz w:val="18"/>
          <w:szCs w:val="18"/>
          <w:color w:val="auto"/>
        </w:rPr>
        <w:t>The Press Release contains “forward-looking statements” that involve substantial risks and uncertainties for purposes of the safe harbor provided by the Private Securities Litigation Reform Act of 1995. Any statements, other than statements of historical fact, included in the Press Release regarding strategy, future operations, collaborations, future financial position, prospects, plans and objectives of management, statements relating to the completion and timing of the redomiciliation of the Company from Israel to Delaware, the likelihood of success of the Company’s technology or potential development of any products, including statements relating to the status of the preclinical development program for ARCT-810 or the other clinical development programs of Arcturus, the date that an IND may be filed with the FDA, the potential for ARCT-810 or the other clinical development programs of Arcturus, current standards of care, and the Company’s future cash position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Quarterly Report on Form 10-Q for the quarter ended March 31, 2019, filed with the SEC on May 10,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9" w:lineRule="exact"/>
        <w:rPr>
          <w:sz w:val="20"/>
          <w:szCs w:val="20"/>
          <w:color w:val="auto"/>
        </w:rPr>
      </w:pPr>
    </w:p>
    <w:p>
      <w:pPr>
        <w:ind w:right="180" w:firstLine="761"/>
        <w:spacing w:after="0" w:line="260" w:lineRule="auto"/>
        <w:rPr>
          <w:sz w:val="20"/>
          <w:szCs w:val="20"/>
          <w:color w:val="auto"/>
        </w:rPr>
      </w:pPr>
      <w:r>
        <w:rPr>
          <w:rFonts w:ascii="Arial" w:cs="Arial" w:eastAsia="Arial" w:hAnsi="Arial"/>
          <w:sz w:val="19"/>
          <w:szCs w:val="19"/>
          <w:color w:val="auto"/>
        </w:rPr>
        <w:t>The statements made in this Current Report on Form 8-K and the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780" w:type="dxa"/>
            <w:vAlign w:val="bottom"/>
            <w:gridSpan w:val="4"/>
          </w:tcPr>
          <w:p>
            <w:pPr>
              <w:ind w:left="260"/>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39"/>
        </w:trPr>
        <w:tc>
          <w:tcPr>
            <w:tcW w:w="1380" w:type="dxa"/>
            <w:vAlign w:val="bottom"/>
          </w:tcPr>
          <w:p>
            <w:pPr>
              <w:jc w:val="right"/>
              <w:ind w:right="701"/>
              <w:spacing w:after="0"/>
              <w:rPr>
                <w:sz w:val="20"/>
                <w:szCs w:val="20"/>
                <w:color w:val="auto"/>
              </w:rPr>
            </w:pPr>
            <w:r>
              <w:rPr>
                <w:rFonts w:ascii="Arial" w:cs="Arial" w:eastAsia="Arial" w:hAnsi="Arial"/>
                <w:sz w:val="20"/>
                <w:szCs w:val="20"/>
                <w:color w:val="auto"/>
              </w:rPr>
              <w:t>99.1</w:t>
            </w:r>
          </w:p>
        </w:tc>
        <w:tc>
          <w:tcPr>
            <w:tcW w:w="280" w:type="dxa"/>
            <w:vAlign w:val="bottom"/>
          </w:tcPr>
          <w:p>
            <w:pPr>
              <w:spacing w:after="0"/>
              <w:rPr>
                <w:sz w:val="24"/>
                <w:szCs w:val="24"/>
                <w:color w:val="auto"/>
              </w:rPr>
            </w:pPr>
          </w:p>
        </w:tc>
        <w:tc>
          <w:tcPr>
            <w:tcW w:w="9780" w:type="dxa"/>
            <w:vAlign w:val="bottom"/>
            <w:gridSpan w:val="4"/>
          </w:tcPr>
          <w:p>
            <w:pPr>
              <w:ind w:left="260"/>
              <w:spacing w:after="0"/>
              <w:rPr>
                <w:rFonts w:ascii="Arial" w:cs="Arial" w:eastAsia="Arial" w:hAnsi="Arial"/>
                <w:sz w:val="20"/>
                <w:szCs w:val="20"/>
                <w:color w:val="0000EE"/>
              </w:rPr>
            </w:pPr>
            <w:hyperlink w:anchor="page4">
              <w:r>
                <w:rPr>
                  <w:rFonts w:ascii="Arial" w:cs="Arial" w:eastAsia="Arial" w:hAnsi="Arial"/>
                  <w:sz w:val="20"/>
                  <w:szCs w:val="20"/>
                  <w:color w:val="0000EE"/>
                </w:rPr>
                <w:t>Press Release of Arcturus Therapeutics Ltd., dated M</w:t>
              </w:r>
              <w:r>
                <w:rPr>
                  <w:rFonts w:ascii="Arial" w:cs="Arial" w:eastAsia="Arial" w:hAnsi="Arial"/>
                  <w:sz w:val="18"/>
                  <w:szCs w:val="18"/>
                  <w:color w:val="0000EE"/>
                </w:rPr>
                <w:t>ay 13</w:t>
              </w:r>
              <w:r>
                <w:rPr>
                  <w:rFonts w:ascii="Arial" w:cs="Arial" w:eastAsia="Arial" w:hAnsi="Arial"/>
                  <w:sz w:val="20"/>
                  <w:szCs w:val="20"/>
                  <w:color w:val="0000EE"/>
                </w:rPr>
                <w:t>, 2019</w:t>
              </w:r>
            </w:hyperlink>
          </w:p>
        </w:tc>
      </w:tr>
      <w:tr>
        <w:trPr>
          <w:trHeight w:val="682"/>
        </w:trPr>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20" w:type="dxa"/>
            <w:vAlign w:val="bottom"/>
            <w:tcBorders>
              <w:top w:val="single" w:sz="8" w:color="0000EE"/>
            </w:tcBorders>
            <w:gridSpan w:val="2"/>
          </w:tcPr>
          <w:p>
            <w:pPr>
              <w:jc w:val="right"/>
              <w:ind w:right="1280"/>
              <w:spacing w:after="0"/>
              <w:rPr>
                <w:sz w:val="20"/>
                <w:szCs w:val="20"/>
                <w:color w:val="auto"/>
              </w:rPr>
            </w:pPr>
            <w:r>
              <w:rPr>
                <w:rFonts w:ascii="Arial" w:cs="Arial" w:eastAsia="Arial" w:hAnsi="Arial"/>
                <w:sz w:val="18"/>
                <w:szCs w:val="18"/>
                <w:color w:val="auto"/>
              </w:rPr>
              <w:t>2</w:t>
            </w:r>
          </w:p>
        </w:tc>
        <w:tc>
          <w:tcPr>
            <w:tcW w:w="440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SIGNATURES</w:t>
      </w:r>
    </w:p>
    <w:p>
      <w:pPr>
        <w:spacing w:after="0" w:line="181" w:lineRule="exact"/>
        <w:rPr>
          <w:sz w:val="20"/>
          <w:szCs w:val="20"/>
          <w:color w:val="auto"/>
        </w:rPr>
      </w:pPr>
    </w:p>
    <w:p>
      <w:pPr>
        <w:ind w:firstLine="76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ARCTURUS THERAPEUTICS LTD.</w:t>
      </w:r>
    </w:p>
    <w:p>
      <w:pPr>
        <w:spacing w:after="0" w:line="200" w:lineRule="exact"/>
        <w:rPr>
          <w:sz w:val="20"/>
          <w:szCs w:val="20"/>
          <w:color w:val="auto"/>
        </w:rPr>
      </w:pPr>
    </w:p>
    <w:p>
      <w:pPr>
        <w:spacing w:after="0" w:line="265"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10160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0"/>
          <w:szCs w:val="20"/>
          <w:color w:val="auto"/>
        </w:rPr>
        <w:t>Joseph E. Payne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20"/>
          <w:szCs w:val="20"/>
          <w:color w:val="auto"/>
        </w:rPr>
        <w:t>Dated: May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346"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Arcturus Therapeutics Announces First Quarter Financial Results and Provides a Corporate Update</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 xml:space="preserve">San Diego, Calif, May 13, 2019 </w:t>
      </w:r>
      <w:r>
        <w:rPr>
          <w:rFonts w:ascii="Arial" w:cs="Arial" w:eastAsia="Arial" w:hAnsi="Arial"/>
          <w:sz w:val="20"/>
          <w:szCs w:val="20"/>
          <w:color w:val="auto"/>
        </w:rPr>
        <w:t>– Arcturus Therapeutics Ltd. (NASDAQ: ARCT), a leading messenger RNA medicines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the discovery, development and commercialization of therapeutics for rare diseases, today reported its financial results for the quarter ended March 31, 2019 and provided a corporate update.</w:t>
      </w:r>
    </w:p>
    <w:p>
      <w:pPr>
        <w:spacing w:after="0" w:line="19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“We are pleased with our progress in 2019, as we continue to work to strengthen our leadership position in intravenous and inhaled mRNA medicines,” said Joseph Payne, President &amp; CEO of Arcturus Therapeutics. “The development of our preclinical product pipeline continues to move forward, and we have several target milestones that we aim to reach later this year, including the planned Investigational New Drug (IND) Application submission for ARCT-810 as a treatment for OTC Deficiency, in the fourth quarter of the year.”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229" w:lineRule="exact"/>
        <w:rPr>
          <w:sz w:val="20"/>
          <w:szCs w:val="20"/>
          <w:color w:val="auto"/>
        </w:rPr>
      </w:pPr>
    </w:p>
    <w:p>
      <w:pPr>
        <w:ind w:right="2780"/>
        <w:spacing w:after="0" w:line="384" w:lineRule="auto"/>
        <w:rPr>
          <w:sz w:val="20"/>
          <w:szCs w:val="20"/>
          <w:color w:val="auto"/>
        </w:rPr>
      </w:pPr>
      <w:r>
        <w:rPr>
          <w:rFonts w:ascii="Arial" w:cs="Arial" w:eastAsia="Arial" w:hAnsi="Arial"/>
          <w:sz w:val="18"/>
          <w:szCs w:val="18"/>
          <w:b w:val="1"/>
          <w:bCs w:val="1"/>
          <w:color w:val="auto"/>
        </w:rPr>
        <w:t xml:space="preserve">Continued Progress with Flagship mRNA Program for Ornithine Transcarbamylase (OTC) Deficiency </w:t>
      </w:r>
      <w:r>
        <w:rPr>
          <w:rFonts w:ascii="Arial" w:cs="Arial" w:eastAsia="Arial" w:hAnsi="Arial"/>
          <w:sz w:val="18"/>
          <w:szCs w:val="18"/>
          <w:color w:val="auto"/>
        </w:rPr>
        <w:t>ARCT-810 remains on track to file an IND with the U.S. Food and Drug Administration (FDA) in 4Q 2019. Completed manufacture of Drug Substance and Drug Product using Arcturus proprietary processes:</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GMP-grade OTC mRNA Drug Substance (&gt; 10 grams)</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Multiple batches of LUNAR®-formulated OTC mRNA Drug Product (&gt; 10 grams each)</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Current inventory is sufficient to support IND-enabling studies and early clinical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Developments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Arcturus remains on track to redomicile from an Israeli limited company to a Delaware corporation:</w:t>
      </w:r>
    </w:p>
    <w:p>
      <w:pPr>
        <w:spacing w:after="0" w:line="15" w:lineRule="exact"/>
        <w:rPr>
          <w:sz w:val="20"/>
          <w:szCs w:val="20"/>
          <w:color w:val="auto"/>
        </w:rPr>
      </w:pP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Redomiciliation is subject to a vote at a shareholder meeting May 17, 2019</w:t>
      </w: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Arcturus has already received proxies representing a majority (&gt; 50%) of shareholder votes in favor</w:t>
      </w:r>
    </w:p>
    <w:p>
      <w:pPr>
        <w:ind w:left="880" w:right="100" w:hanging="440"/>
        <w:spacing w:after="0" w:line="244"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Following formal approval by shareholders on May 17, the Company will seek ratification from the Israeli Court, expected to occur within several weeks thereafter</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for the Quarter Ended March 31, 2019</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Revenues in conjunction with strategic alliances and collaborations: </w:t>
      </w:r>
      <w:r>
        <w:rPr>
          <w:rFonts w:ascii="Arial" w:cs="Arial" w:eastAsia="Arial" w:hAnsi="Arial"/>
          <w:sz w:val="20"/>
          <w:szCs w:val="20"/>
          <w:color w:val="auto"/>
        </w:rPr>
        <w:t>Collaboration revenue was $4.4 million during the three months ended</w:t>
      </w:r>
      <w:r>
        <w:rPr>
          <w:rFonts w:ascii="Arial" w:cs="Arial" w:eastAsia="Arial" w:hAnsi="Arial"/>
          <w:sz w:val="20"/>
          <w:szCs w:val="20"/>
          <w:b w:val="1"/>
          <w:bCs w:val="1"/>
          <w:color w:val="auto"/>
        </w:rPr>
        <w:t xml:space="preserve"> </w:t>
      </w:r>
      <w:r>
        <w:rPr>
          <w:rFonts w:ascii="Arial" w:cs="Arial" w:eastAsia="Arial" w:hAnsi="Arial"/>
          <w:sz w:val="20"/>
          <w:szCs w:val="20"/>
          <w:color w:val="auto"/>
        </w:rPr>
        <w:t>March 31, 2019, compared to $2.4 million in the three months ended March 31, 2018.</w:t>
      </w:r>
    </w:p>
    <w:p>
      <w:pPr>
        <w:spacing w:after="0" w:line="177"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Operating expenses were $10.9 million in the three months ended March 31, 2019, an increase of approximately 20%</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$9.0 million in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780"/>
        <w:spacing w:after="0" w:line="395" w:lineRule="auto"/>
        <w:rPr>
          <w:sz w:val="20"/>
          <w:szCs w:val="20"/>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for the three months ended March 31, 2019 was approximately $6.9 million, or ($0.68) per basic and diluted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with a net loss of $6.6 million, or ($0.66) per basic and diluted share, in the three-month period ended March 31, 2018.</w:t>
      </w:r>
    </w:p>
    <w:p>
      <w:pPr>
        <w:spacing w:after="0" w:line="84"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 xml:space="preserve">Cash: </w:t>
      </w:r>
      <w:r>
        <w:rPr>
          <w:rFonts w:ascii="Arial" w:cs="Arial" w:eastAsia="Arial" w:hAnsi="Arial"/>
          <w:sz w:val="20"/>
          <w:szCs w:val="20"/>
          <w:color w:val="auto"/>
        </w:rPr>
        <w:t>At March 31, 2019, Arcturus had cash and cash equivalents totaling $31.2 million, compared to cash, cash equivalents of $36.7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at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Arcturus Therapeutics Ltd.</w:t>
      </w:r>
    </w:p>
    <w:p>
      <w:pPr>
        <w:spacing w:after="0" w:line="2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Founded in 2013 and based in San Diego, California,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(152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w:t>
      </w:r>
    </w:p>
    <w:p>
      <w:pPr>
        <w:spacing w:after="0" w:line="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 xml:space="preserve">Inc. and the Cystic Fibrosis Foundation. For more information, visit </w:t>
      </w:r>
      <w:r>
        <w:rPr>
          <w:rFonts w:ascii="Arial" w:cs="Arial" w:eastAsia="Arial" w:hAnsi="Arial"/>
          <w:sz w:val="20"/>
          <w:szCs w:val="20"/>
          <w:u w:val="single" w:color="auto"/>
          <w:color w:val="auto"/>
        </w:rPr>
        <w:t>www.Arcturusrx.com</w:t>
      </w:r>
      <w:r>
        <w:rPr>
          <w:rFonts w:ascii="Arial" w:cs="Arial" w:eastAsia="Arial" w:hAnsi="Arial"/>
          <w:sz w:val="20"/>
          <w:szCs w:val="20"/>
          <w:color w:val="auto"/>
        </w:rPr>
        <w:t>, the content of which is not incorporated herein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the likelihood of success of the Company’s technology or potential development of any products, including statements relating to the completion and timing of the Redomiciliation from Israel to Delaware, the status of the preclinical development program for any of the clinical development programs of Arcturus, the date that an IND may be filed with the FDA, the potential market or success for the clinical development programs of Arcturus, current standards of care, and the Company’s future cash and financial position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Neda Safarzadeh</w:t>
      </w:r>
    </w:p>
    <w:p>
      <w:pPr>
        <w:spacing w:after="0"/>
        <w:rPr>
          <w:sz w:val="20"/>
          <w:szCs w:val="20"/>
          <w:color w:val="auto"/>
        </w:rPr>
      </w:pPr>
      <w:r>
        <w:rPr>
          <w:rFonts w:ascii="Arial" w:cs="Arial" w:eastAsia="Arial" w:hAnsi="Arial"/>
          <w:sz w:val="20"/>
          <w:szCs w:val="20"/>
          <w:color w:val="auto"/>
        </w:rPr>
        <w:t>Arcturus Therapeutics</w:t>
      </w: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900-2682</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IR@ArcturusRx.com</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Arcturus 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Michael Wood</w:t>
      </w:r>
    </w:p>
    <w:p>
      <w:pPr>
        <w:spacing w:after="0"/>
        <w:rPr>
          <w:sz w:val="20"/>
          <w:szCs w:val="20"/>
          <w:color w:val="auto"/>
        </w:rPr>
      </w:pPr>
      <w:r>
        <w:rPr>
          <w:rFonts w:ascii="Arial" w:cs="Arial" w:eastAsia="Arial" w:hAnsi="Arial"/>
          <w:sz w:val="20"/>
          <w:szCs w:val="20"/>
          <w:color w:val="auto"/>
        </w:rPr>
        <w:t>LifeSci Advisors LLC</w:t>
      </w:r>
    </w:p>
    <w:p>
      <w:pPr>
        <w:ind w:right="7899" w:firstLine="8"/>
        <w:spacing w:after="0" w:line="298" w:lineRule="auto"/>
        <w:tabs>
          <w:tab w:leader="none" w:pos="47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597-6983 </w:t>
      </w:r>
      <w:r>
        <w:rPr>
          <w:rFonts w:ascii="Arial" w:cs="Arial" w:eastAsia="Arial" w:hAnsi="Arial"/>
          <w:sz w:val="18"/>
          <w:szCs w:val="18"/>
          <w:u w:val="single" w:color="auto"/>
          <w:color w:val="auto"/>
        </w:rPr>
        <w:t>mwood@lifesciadvisors.com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5" w:right="1440"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BALANCE SHEETS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U.S. dollars in thousands, except par value information)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41,828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1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4,118</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4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38,065</w:t>
            </w:r>
          </w:p>
        </w:tc>
        <w:tc>
          <w:tcPr>
            <w:tcW w:w="28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30,556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14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8"/>
                <w:szCs w:val="18"/>
                <w:color w:val="auto"/>
              </w:rPr>
              <w:t>Ordinary shares: NIS 0.07 par value; 30,000 shares authorized,</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80"/>
              <w:spacing w:after="0"/>
              <w:rPr>
                <w:sz w:val="20"/>
                <w:szCs w:val="20"/>
                <w:color w:val="auto"/>
              </w:rPr>
            </w:pPr>
            <w:r>
              <w:rPr>
                <w:rFonts w:ascii="Arial" w:cs="Arial" w:eastAsia="Arial" w:hAnsi="Arial"/>
                <w:sz w:val="18"/>
                <w:szCs w:val="18"/>
                <w:color w:val="auto"/>
              </w:rPr>
              <w:t>10,762 issued, 10,719 outstanding and 43 held in treasury at</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80"/>
              <w:spacing w:after="0"/>
              <w:rPr>
                <w:sz w:val="20"/>
                <w:szCs w:val="20"/>
                <w:color w:val="auto"/>
              </w:rPr>
            </w:pPr>
            <w:r>
              <w:rPr>
                <w:rFonts w:ascii="Arial" w:cs="Arial" w:eastAsia="Arial" w:hAnsi="Arial"/>
                <w:sz w:val="18"/>
                <w:szCs w:val="18"/>
                <w:color w:val="auto"/>
              </w:rPr>
              <w:t>March 31, 2019; NIS 0.07 par value; 30,000 shares authorized,</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80"/>
              <w:spacing w:after="0"/>
              <w:rPr>
                <w:sz w:val="20"/>
                <w:szCs w:val="20"/>
                <w:color w:val="auto"/>
              </w:rPr>
            </w:pPr>
            <w:r>
              <w:rPr>
                <w:rFonts w:ascii="Arial" w:cs="Arial" w:eastAsia="Arial" w:hAnsi="Arial"/>
                <w:sz w:val="18"/>
                <w:szCs w:val="18"/>
                <w:color w:val="auto"/>
              </w:rPr>
              <w:t>10,762 issued, 10,719 outstanding and 43 held in treasury at</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December 31, 2018</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(52,561)</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(44,874)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14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13,642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44,419</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44,198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0"/>
        </w:trPr>
        <w:tc>
          <w:tcPr>
            <w:tcW w:w="6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 w:name="page8"/>
    <w:bookmarkEnd w:id="7"/>
    <w:p>
      <w:pPr>
        <w:jc w:val="center"/>
        <w:ind w:left="260" w:right="2780"/>
        <w:spacing w:after="0" w:line="428" w:lineRule="auto"/>
        <w:rPr>
          <w:sz w:val="20"/>
          <w:szCs w:val="20"/>
          <w:color w:val="auto"/>
        </w:rPr>
      </w:pPr>
      <w:r>
        <w:rPr>
          <w:rFonts w:ascii="Arial" w:cs="Arial" w:eastAsia="Arial" w:hAnsi="Arial"/>
          <w:sz w:val="19"/>
          <w:szCs w:val="19"/>
          <w:b w:val="1"/>
          <w:bCs w:val="1"/>
          <w:color w:val="auto"/>
        </w:rPr>
        <w:t>ARCTURUS THERAPEUTICS LTD. AND ITS SUBSIDIARIES STATEMENTS OF OPERATIONS AND COMPREHENSIVE LOSS (In U.S. dollars in thousands, except par value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1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1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Finance (expense) income, net</w:t>
            </w: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8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Borders>
              <w:top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Comprehensive loss:</w:t>
            </w: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FF0FC"/>
          </w:tcPr>
          <w:p>
            <w:pPr>
              <w:jc w:val="right"/>
              <w:ind w:right="102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(6,884)</w:t>
            </w:r>
          </w:p>
        </w:tc>
        <w:tc>
          <w:tcPr>
            <w:tcW w:w="76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70"/>
        </w:trPr>
        <w:tc>
          <w:tcPr>
            <w:tcW w:w="5640" w:type="dxa"/>
            <w:vAlign w:val="bottom"/>
          </w:tcPr>
          <w:p>
            <w:pPr>
              <w:ind w:left="260"/>
              <w:spacing w:after="0"/>
              <w:rPr>
                <w:sz w:val="20"/>
                <w:szCs w:val="20"/>
                <w:color w:val="auto"/>
              </w:rPr>
            </w:pPr>
            <w:r>
              <w:rPr>
                <w:rFonts w:ascii="Arial" w:cs="Arial" w:eastAsia="Arial" w:hAnsi="Arial"/>
                <w:sz w:val="18"/>
                <w:szCs w:val="18"/>
                <w:color w:val="auto"/>
              </w:rPr>
              <w:t>Unrealized loss on short-term investments</w:t>
            </w:r>
          </w:p>
        </w:tc>
        <w:tc>
          <w:tcPr>
            <w:tcW w:w="1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6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164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58"/>
    </w:lvl>
  </w:abstractNum>
  <w:abstractNum w:abstractNumId="4">
    <w:nsid w:val="46E87CC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2019-12-28T11:47:39Z</dcterms:created>
  <dcterms:modified xsi:type="dcterms:W3CDTF">2019-12-28T11:47:39Z</dcterms:modified>
</cp:coreProperties>
</file>