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333-232281 and 333-237703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29, 2019)</w:t>
      </w:r>
    </w:p>
    <w:p>
      <w:pPr>
        <w:spacing w:after="0" w:line="207"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4,117,650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0255"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______________________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We are offering 4,117,650 shares of our common stock.</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“ARCT” On April 15, 2020, the last reported sale price of our common stock on the Nasdaq Global Market was $18.00 per share.</w:t>
      </w:r>
    </w:p>
    <w:p>
      <w:pPr>
        <w:spacing w:after="0" w:line="166"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w:t>
      </w:r>
    </w:p>
    <w:p>
      <w:pPr>
        <w:spacing w:after="0" w:line="200" w:lineRule="exact"/>
        <w:rPr>
          <w:sz w:val="24"/>
          <w:szCs w:val="24"/>
          <w:color w:val="auto"/>
        </w:rPr>
      </w:pPr>
    </w:p>
    <w:p>
      <w:pPr>
        <w:spacing w:after="0" w:line="241" w:lineRule="exact"/>
        <w:rPr>
          <w:sz w:val="24"/>
          <w:szCs w:val="24"/>
          <w:color w:val="auto"/>
        </w:rPr>
      </w:pPr>
    </w:p>
    <w:p>
      <w:pPr>
        <w:ind w:right="300"/>
        <w:spacing w:after="0" w:line="289" w:lineRule="auto"/>
        <w:rPr>
          <w:sz w:val="20"/>
          <w:szCs w:val="20"/>
          <w:color w:val="auto"/>
        </w:rPr>
      </w:pPr>
      <w:r>
        <w:rPr>
          <w:rFonts w:ascii="Arial" w:cs="Arial" w:eastAsia="Arial" w:hAnsi="Arial"/>
          <w:sz w:val="17"/>
          <w:szCs w:val="17"/>
          <w:b w:val="1"/>
          <w:bCs w:val="1"/>
          <w:color w:val="auto"/>
        </w:rPr>
        <w:t>Investing in our securities involves significant risks. Please read the information contained in or incorporated by reference under the heading “Risk Factors” beginning on page S-5 of this prospectus supplement, and under similar headings in other documents filed after the date hereof and incorporated by reference into this prospectus supplement and the accompanying prospectus.</w:t>
      </w:r>
    </w:p>
    <w:p>
      <w:pPr>
        <w:spacing w:after="0" w:line="162"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20"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PER SHARE</w:t>
            </w:r>
          </w:p>
        </w:tc>
        <w:tc>
          <w:tcPr>
            <w:tcW w:w="2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70,000,050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4,200,003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65,800,047</w:t>
            </w:r>
          </w:p>
        </w:tc>
      </w:tr>
    </w:tbl>
    <w:p>
      <w:pPr>
        <w:spacing w:after="0" w:line="229" w:lineRule="exact"/>
        <w:rPr>
          <w:sz w:val="24"/>
          <w:szCs w:val="24"/>
          <w:color w:val="auto"/>
        </w:rPr>
      </w:pPr>
    </w:p>
    <w:p>
      <w:pPr>
        <w:ind w:left="460" w:right="5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We refer you to “Underwriting” beginning on page S-17 of this prospectus supplement for additional information regarding total underwriting compensation.</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Delivery of the shares of common stock is expected to be made on or about April 20, 2020.</w:t>
      </w:r>
    </w:p>
    <w:p>
      <w:pPr>
        <w:spacing w:after="0" w:line="225" w:lineRule="exact"/>
        <w:rPr>
          <w:sz w:val="24"/>
          <w:szCs w:val="24"/>
          <w:color w:val="auto"/>
        </w:rPr>
      </w:pPr>
    </w:p>
    <w:p>
      <w:pPr>
        <w:ind w:right="420"/>
        <w:spacing w:after="0" w:line="263" w:lineRule="auto"/>
        <w:rPr>
          <w:sz w:val="20"/>
          <w:szCs w:val="20"/>
          <w:color w:val="auto"/>
        </w:rPr>
      </w:pPr>
      <w:r>
        <w:rPr>
          <w:rFonts w:ascii="Arial" w:cs="Arial" w:eastAsia="Arial" w:hAnsi="Arial"/>
          <w:sz w:val="18"/>
          <w:szCs w:val="18"/>
          <w:color w:val="auto"/>
        </w:rPr>
        <w:t>We have granted the underwriters an option for a period of 30 days to purchase an additional 617,647 shares of our common stock. If the underwriters exercise the option in full, the total underwriting discounts and commissions payable by us will be $4,830,003, and the total proceeds to us, before expenses, will be $75,670,046.</w:t>
      </w:r>
    </w:p>
    <w:p>
      <w:pPr>
        <w:spacing w:after="0" w:line="180"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Guggenheim Securities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Baird</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221" w:lineRule="exact"/>
        <w:rPr>
          <w:sz w:val="24"/>
          <w:szCs w:val="24"/>
          <w:color w:val="auto"/>
        </w:rPr>
      </w:pPr>
    </w:p>
    <w:p>
      <w:pPr>
        <w:ind w:left="3620"/>
        <w:spacing w:after="0"/>
        <w:tabs>
          <w:tab w:leader="none" w:pos="5880" w:val="left"/>
        </w:tabs>
        <w:rPr>
          <w:sz w:val="20"/>
          <w:szCs w:val="20"/>
          <w:color w:val="auto"/>
        </w:rPr>
      </w:pPr>
      <w:r>
        <w:rPr>
          <w:rFonts w:ascii="Arial" w:cs="Arial" w:eastAsia="Arial" w:hAnsi="Arial"/>
          <w:sz w:val="18"/>
          <w:szCs w:val="18"/>
          <w:b w:val="1"/>
          <w:bCs w:val="1"/>
          <w:color w:val="auto"/>
        </w:rPr>
        <w:t>Roth Capital Partners</w:t>
      </w:r>
      <w:r>
        <w:rPr>
          <w:sz w:val="20"/>
          <w:szCs w:val="20"/>
          <w:color w:val="auto"/>
        </w:rPr>
        <w:tab/>
      </w:r>
      <w:r>
        <w:rPr>
          <w:rFonts w:ascii="Arial" w:cs="Arial" w:eastAsia="Arial" w:hAnsi="Arial"/>
          <w:sz w:val="16"/>
          <w:szCs w:val="16"/>
          <w:b w:val="1"/>
          <w:bCs w:val="1"/>
          <w:color w:val="auto"/>
        </w:rPr>
        <w:t>Ladenburg Thalmann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April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0" w:type="dxa"/>
            <w:vAlign w:val="bottom"/>
          </w:tcPr>
          <w:p>
            <w:pPr>
              <w:jc w:val="center"/>
              <w:ind w:left="2350"/>
              <w:spacing w:after="0"/>
              <w:rPr>
                <w:sz w:val="20"/>
                <w:szCs w:val="20"/>
                <w:color w:val="auto"/>
              </w:rPr>
            </w:pPr>
            <w:r>
              <w:rPr>
                <w:rFonts w:ascii="Arial" w:cs="Arial" w:eastAsia="Arial" w:hAnsi="Arial"/>
                <w:sz w:val="18"/>
                <w:szCs w:val="18"/>
                <w:b w:val="1"/>
                <w:bCs w:val="1"/>
                <w:color w:val="auto"/>
                <w:w w:val="98"/>
              </w:rPr>
              <w:t>TABLE OF CONTENTS</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0" w:type="dxa"/>
            <w:vAlign w:val="bottom"/>
          </w:tcPr>
          <w:p>
            <w:pPr>
              <w:jc w:val="center"/>
              <w:ind w:left="2350"/>
              <w:spacing w:after="0"/>
              <w:rPr>
                <w:sz w:val="20"/>
                <w:szCs w:val="20"/>
                <w:color w:val="auto"/>
              </w:rPr>
            </w:pPr>
            <w:r>
              <w:rPr>
                <w:rFonts w:ascii="Arial" w:cs="Arial" w:eastAsia="Arial" w:hAnsi="Arial"/>
                <w:sz w:val="18"/>
                <w:szCs w:val="18"/>
                <w:b w:val="1"/>
                <w:bCs w:val="1"/>
                <w:color w:val="auto"/>
                <w:w w:val="87"/>
              </w:rPr>
              <w:t>Prospectus Supplement</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0" w:type="dxa"/>
            <w:vAlign w:val="bottom"/>
          </w:tcPr>
          <w:p>
            <w:pPr>
              <w:spacing w:after="0"/>
              <w:rPr>
                <w:sz w:val="24"/>
                <w:szCs w:val="24"/>
                <w:color w:val="auto"/>
              </w:rPr>
            </w:pPr>
          </w:p>
        </w:tc>
        <w:tc>
          <w:tcPr>
            <w:tcW w:w="2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RISK FACTORS</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S-5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NOTE REGARDING FORWARD-LOOKING STATEMENTS</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USE OF PROCEEDS</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DILUTION</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MATERIAL U.S. FEDERAL INCOME TAX CONSEQUENCES TO NON-U.S. HOLDERS</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S-13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UNDERWRITING</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S-17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EXPERTS</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S-22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8800" w:type="dxa"/>
            <w:vAlign w:val="bottom"/>
          </w:tcPr>
          <w:p>
            <w:pPr>
              <w:jc w:val="center"/>
              <w:ind w:left="2350"/>
              <w:spacing w:after="0"/>
              <w:rPr>
                <w:sz w:val="20"/>
                <w:szCs w:val="20"/>
                <w:color w:val="auto"/>
              </w:rPr>
            </w:pPr>
            <w:r>
              <w:rPr>
                <w:rFonts w:ascii="Arial" w:cs="Arial" w:eastAsia="Arial" w:hAnsi="Arial"/>
                <w:sz w:val="18"/>
                <w:szCs w:val="18"/>
                <w:b w:val="1"/>
                <w:bCs w:val="1"/>
                <w:color w:val="auto"/>
                <w:w w:val="85"/>
              </w:rPr>
              <w:t>Prospectus</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0" w:type="dxa"/>
            <w:vAlign w:val="bottom"/>
          </w:tcPr>
          <w:p>
            <w:pPr>
              <w:spacing w:after="0"/>
              <w:rPr>
                <w:sz w:val="24"/>
                <w:szCs w:val="24"/>
                <w:color w:val="auto"/>
              </w:rPr>
            </w:pPr>
          </w:p>
        </w:tc>
        <w:tc>
          <w:tcPr>
            <w:tcW w:w="2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PROSPECTUS SUMMARY</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DESCRIPTION OF UNITS WE MAY OFFER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LEGAL MATTERS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8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88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prospectus supplement and the accompanying prospectus are part of a shelf registration statement on Form S-3 (File No. 333-232281) that we initially filed with the Securities and Exchange Commission, or SEC, on June 21, 2019 and was declared effective by the SEC on July 29, 2019, and a related registration statement filed pursuant to Rule 462(b) under the Securities Act of 1933, as amended.</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and also adds to and updates information contained in the accompanying prospectus and the documents incorporated by reference herein or therein. The second part, the accompanying prospectus, including the documents incorporated by reference into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Neither we nor the underwriters have authorized anyone to provide information different from that contained in this prospectus supplement, the accompanying prospectus and any free writing prospectus that we have authorized for use in this offering. If anyone provides you with different or inconsistent information, you should not rely on it. Neither we nor the underwriters take any responsibility for, and can provide no assurance as to the reliability of, any other information that others may give you. Neither the delivery of this prospectus supplement, the accompanying prospectus and any free writing prospectus that we have authorized for use in this offering, nor the sale of our common stock means that information contained in this prospectus supplement, the accompanying prospectus and any free writing prospectus that we have authorized for use in this offering, is correct after their respective dates. It is important for you to read and consider all information contained in this prospectus supplement and the accompanying prospectus, including the information incorporated by reference into this prospectus supplement, the accompanying prospectus and any free writing prospectus that we have authorized for use in connection with this offering in making your investment decision.</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This prospectus supplement does not contain all of the information that is important to you. You should also read and consider the information in the documents to which we have referred you in the sections entitled “Where You Can Find More Information” and “Incorporation of Certain Documents by Reference” in this prospectus supplement. You should rely only on the information contained or incorporated by reference in this document. You should assume that the information in this prospectus supplement and the accompanying prospectus, as well as the information we have filed with the SEC and incorporated by reference in this document, is accurate only as of its date or the date which is specified in those documents.</w:t>
      </w:r>
    </w:p>
    <w:p>
      <w:pPr>
        <w:spacing w:after="0" w:line="19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are offering to sell, and seeking offers to buy, and the underwriters are soliciting offers to buy, these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This prospectus supplement and the information incorporated herein by reference include trademarks, service marks and trade names owned by us or other companies. All trademarks, service marks and trade names included or incorporated by reference herein are the property of their respective owners.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this prospectus supplement, unless otherwise indicated, the terms the “Company,” “Arcturus Therapeutics,” “we,” “us” and “our” refer to Arcturus Therapeutics Holdings Inc., a Delaware corporation, and its predecessors and consolidated subsidiaries.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This summary highlights certain information about us, this offering and information appearing elsewhere in this prospectus supplement or the accompanying prospectus and in the documents we incorporate by reference. This summary is not complete and does not contain all of the information that you should consider before investing in our securities. The following summary is qualified in its entirety by, and should be read in conjunction with, the more detailed information and financial statements and notes thereto appearing elsewhere in this prospectus supplement and the accompanying prospectus. Before you decide to invest in our securities, to fully understand this offering and its consequences to you, you should carefully read the entire prospectus supplement carefully, including the matters set forth under the caption “Risk Factors” beginning on page S-5 of this prospectus supplement and page 3 of the accompanying prospectus, and the consolidated financial statements and related notes included or incorporated by reference in this prospectus supplement, the accompanying prospectus and the other documents incorporated by reference herein and therein.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and vaccines with a current focus on liver and respiratory diseases. In addition to our internal mRNA platform, our proprietary lipid nanoparticle deliver system, LUNAR®, is designed to enable multiple nucleic acid medicines. We have deep expertise in the discovery and development of RNA medicines, including key experience in the production of RNA drug substance and nanoparticle-formulated drug product.</w:t>
      </w:r>
    </w:p>
    <w:p>
      <w:pPr>
        <w:spacing w:after="0" w:line="187" w:lineRule="exact"/>
        <w:rPr>
          <w:sz w:val="20"/>
          <w:szCs w:val="20"/>
          <w:color w:val="auto"/>
        </w:rPr>
      </w:pPr>
    </w:p>
    <w:p>
      <w:pPr>
        <w:ind w:left="680" w:right="320" w:hanging="335"/>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pipeline of five drug candidates in late-stage discovery and early-stage development: two wholly-owned and five pharma partnered programs.</w:t>
      </w:r>
    </w:p>
    <w:p>
      <w:pPr>
        <w:spacing w:after="0" w:line="170" w:lineRule="exact"/>
        <w:rPr>
          <w:rFonts w:ascii="Arial" w:cs="Arial" w:eastAsia="Arial" w:hAnsi="Arial"/>
          <w:sz w:val="18"/>
          <w:szCs w:val="18"/>
          <w:color w:val="auto"/>
        </w:rPr>
      </w:pPr>
    </w:p>
    <w:p>
      <w:pPr>
        <w:ind w:left="680" w:right="540" w:hanging="335"/>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 which draws from a growing library of over 200 proprietary lipids designed to enable safer and more efficient delivery of RNA medicines.</w:t>
      </w:r>
    </w:p>
    <w:p>
      <w:pPr>
        <w:spacing w:after="0" w:line="170" w:lineRule="exact"/>
        <w:rPr>
          <w:rFonts w:ascii="Arial" w:cs="Arial" w:eastAsia="Arial" w:hAnsi="Arial"/>
          <w:sz w:val="18"/>
          <w:szCs w:val="18"/>
          <w:color w:val="auto"/>
        </w:rPr>
      </w:pPr>
    </w:p>
    <w:p>
      <w:pPr>
        <w:ind w:left="680" w:right="40" w:hanging="335"/>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187 patents and patent applications, issued in the United States, China, Europe, Japan and other countries.</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We believe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develop and deliver on the next generation of nucleic medicines.</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2020, our LUNAR-OTC investigational new drug (“IND”) submission to the U.S. Food and Drug Administration (“FDA”) for a Phase 1b study in patients with OTC deficiency was allowed to proceed by the FDA, and an additional Clinical Trial Application (CTA) for a Phase 1 study in healthy volunteers was approved by the New Zealand Medicines and Medical Devices Safety Authority (Medsafe). We also announced that the primary endpoint for both studies includes evaluation of safety and tolerability. Multiple biomarkers, including ureagenesis assay, plasma OTC activity, plasma ammonia and orotic acid in the urine, are being evaluated as exploratory endpoints. We further announced that the program plans to enroll up to 30 healthy volunteers in the Auckland Clinical Studies (ACS) site in New Zealand, and up to 12 OTC-deficient patients recruited across several sites in the U.S.OTC deficiency is a life-threatening genetic disease that results in high blood ammonia levels and can cause seizures, coma, and death in untreated patients.</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40"/>
        <w:spacing w:after="0" w:line="269" w:lineRule="auto"/>
        <w:rPr>
          <w:sz w:val="20"/>
          <w:szCs w:val="20"/>
          <w:color w:val="auto"/>
        </w:rPr>
      </w:pPr>
      <w:r>
        <w:rPr>
          <w:rFonts w:ascii="Arial" w:cs="Arial" w:eastAsia="Arial" w:hAnsi="Arial"/>
          <w:sz w:val="17"/>
          <w:szCs w:val="17"/>
          <w:color w:val="auto"/>
        </w:rPr>
        <w:t>In April 2020, we announced plans to initiate a first-in-human clinical trial in the summer of 2020 in Singapore for our pending COVID-19 vaccine, also known as LUNAR-COV19. Under the guidance of the Singapore Health Sciences Authority (HSA), the trial plans to enroll up to 76 healthy volunteer adults including elderly individuals, with follow-up over several months to evaluate extent and duration of immune response. This trial follows the March 2020 grant (the “Grant”) from the Singapore Economic Development Board, or EDB, to support the co-development of a COVID-19 vaccine with the National University of Singapore in conjunction with a partnership with Duke NUS-Medical School. The grant provides for up to approximately US$10 million using the March 4, 2020 exchange rate in grants to support the development of the vaccine. A portion of the Grant will be paid by the EDB in advance and the remainder of the Grant will be paid to us incrementally upon the achievement of certain milestones related to the progress of the development of the vaccine, as set forth in the agreement under which we received the Grant. We agreed to pay Duke NUS-Medical School a royalty based on annual net sales of the vaccine in markets or jurisdictions outside of Singapore. We only intend to seek approval initially of LUNAR-COV19 from the HSA and will not be working initially with the FDA. Accordingly, we do not anticipate sales of the vaccine, if successfully developed, to occur in the United States.</w:t>
      </w:r>
    </w:p>
    <w:p>
      <w:pPr>
        <w:spacing w:after="0" w:line="18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established Friday, June 5, 2020 as the date of our 2020 Annual Meeting of Stockholders (the “2020 Annual Meeting”). The record date for the determination of our stockholders entitled to receive notice of and to vote at the 2020 Annual Meeting is the close of business on Wednesday, April 8,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March 31, 2020 we estimate that we had approximately $59.5 million of cash and cash equivalents. Our consolidated financial statements as of and for the three months ended March 31, 2020 are not expected to be available until after this offering is completed. Our estimated cash and cash equivalents have been prepared by, and are the responsibility of, our management. Neither the Company’s independent auditors nor any other independent accountants have audited, reviewed, compiled, examined, or performed any procedures with respect to this estimate as of and for the three months ended March 31, 2020 contained herein, nor have such persons expressed any opinion or any other form of assurance on such information and, as such, such persons assume no responsibility for, and disclaim any association with, such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At-The-Market Facility</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15, 2020 we terminated our sales agreement, dated as of March 27, 2020 (the “Stifel Sales Agreement”), with Stifel, Nicolaus &amp; Company, Incorporated (“Stifel”). Under the Stifel Sales Agreement, we were permitted to offer and sell our common stock from time to time during the term of the Stifel Sales Agreement through Stifel, acting as agent, in the amount of up to $40.0 million. As of the date of this prospectus supplement, no shares were sold by us under the Stifel Sales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or Arcturus Inc., pursuant to a merger between the companies. Immediately after giving effect to the merger, on November 15, 2017, Alcobra Ltd. changed its name to Arcturus Therapeutics Ltd., or Arcturus Ltd.</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principal executive offices are located at 10628 Science Center Drive, Suite 250, San Diego, California 92121, and our telephone number is (858) 900-2660. Our website is located at https://arcturusrx.com. We do not incorporate by reference into this prospectus supplement the information on, or accessible through, our website, and you should not consider it as part of this prospectus supplement. Our common stock trades on The Nasdaq Global Market under the symbol “ARCT”.</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4,117,650 shares</w:t>
      </w:r>
    </w:p>
    <w:p>
      <w:pPr>
        <w:spacing w:after="0" w:line="23" w:lineRule="exact"/>
        <w:rPr>
          <w:sz w:val="20"/>
          <w:szCs w:val="20"/>
          <w:color w:val="auto"/>
        </w:rPr>
      </w:pPr>
    </w:p>
    <w:p>
      <w:pPr>
        <w:ind w:left="680" w:right="80"/>
        <w:spacing w:after="0" w:line="253" w:lineRule="auto"/>
        <w:rPr>
          <w:sz w:val="20"/>
          <w:szCs w:val="20"/>
          <w:color w:val="auto"/>
        </w:rPr>
      </w:pPr>
      <w:r>
        <w:rPr>
          <w:rFonts w:ascii="Arial" w:cs="Arial" w:eastAsia="Arial" w:hAnsi="Arial"/>
          <w:sz w:val="18"/>
          <w:szCs w:val="18"/>
          <w:color w:val="auto"/>
        </w:rPr>
        <w:t>We have granted the underwriters an option for a period of up to 30 days from the date of this prospectus supplement to purchase up to an additional 617,647 shares of our common stock at the public offering price less the underwriting discounts and commissions.</w:t>
      </w:r>
    </w:p>
    <w:p>
      <w:pPr>
        <w:spacing w:after="0" w:line="193" w:lineRule="exact"/>
        <w:rPr>
          <w:sz w:val="20"/>
          <w:szCs w:val="20"/>
          <w:color w:val="auto"/>
        </w:rPr>
      </w:pPr>
    </w:p>
    <w:p>
      <w:pPr>
        <w:sectPr>
          <w:pgSz w:w="11900" w:h="16838" w:orient="portrait"/>
          <w:cols w:equalWidth="0" w:num="2">
            <w:col w:w="4220" w:space="720"/>
            <w:col w:w="6180"/>
          </w:cols>
          <w:pgMar w:left="320" w:top="337" w:right="459" w:bottom="1440" w:gutter="0" w:footer="0" w:header="0"/>
        </w:sectPr>
      </w:pPr>
    </w:p>
    <w:p>
      <w:pPr>
        <w:spacing w:after="0"/>
        <w:tabs>
          <w:tab w:leader="none" w:pos="5600" w:val="left"/>
        </w:tabs>
        <w:rPr>
          <w:sz w:val="20"/>
          <w:szCs w:val="20"/>
          <w:color w:val="auto"/>
        </w:rPr>
      </w:pPr>
      <w:r>
        <w:rPr>
          <w:rFonts w:ascii="Arial" w:cs="Arial" w:eastAsia="Arial" w:hAnsi="Arial"/>
          <w:sz w:val="18"/>
          <w:szCs w:val="18"/>
          <w:color w:val="auto"/>
        </w:rPr>
        <w:t>Common stock to be outstanding after the offering:</w:t>
      </w:r>
      <w:r>
        <w:rPr>
          <w:sz w:val="20"/>
          <w:szCs w:val="20"/>
          <w:color w:val="auto"/>
        </w:rPr>
        <w:tab/>
      </w:r>
      <w:r>
        <w:rPr>
          <w:rFonts w:ascii="Arial" w:cs="Arial" w:eastAsia="Arial" w:hAnsi="Arial"/>
          <w:sz w:val="16"/>
          <w:szCs w:val="16"/>
          <w:color w:val="auto"/>
        </w:rPr>
        <w:t>19,255,614 shares (or 19,873,261 shares assuming the underwriters exercise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 full their option to purchase additional shares).</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currently expect to use the net proceeds from this offering for working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and general corporate purposes, which may include capital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expenditures and research and development expenditures related to the</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advancement of LUNAR-OTC, LUNAR-COV19 and our other product</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candidates and clinical trial expenditures. See “Use of Proceeds” on page 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 of this prospectus supplement.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7"/>
          <w:szCs w:val="17"/>
          <w:color w:val="auto"/>
        </w:rPr>
        <w:t>ARCT</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An investment in our securities involves a high degree of risk. See “Risk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Factors” beginning on page S-5 of this prospectus supplement, page 3 of the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accompanying prospectus and in the documents incorporated by reference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into this prospectus supplement and the accompanying prospectus for a</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discussion of factors you should consider carefully when making 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investment decision.</w:t>
      </w:r>
    </w:p>
    <w:p>
      <w:pPr>
        <w:spacing w:after="0" w:line="23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number of shares our common stock to be outstanding after the offering is based on 15,137,964 shares of our common stock outstanding as of December 31, 2019 and excludes 2,249,076 shares issuable upon exercise of currently outstanding options or other rights to purchase our common stock.</w:t>
      </w:r>
    </w:p>
    <w:p>
      <w:pPr>
        <w:spacing w:after="0" w:line="12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Except as otherwise indicated herein, all information in this prospectus supplement, including the number of shares that will be outstanding after this offering, does not assume or give effect to the exercise of the underwriters’ option to purchase additional shares in this offering.</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supplement and the accompanying prospectus, including the risk factors incorporated by reference herein from our Annual Report on Form 10-K for the year ended December 31, 2019, filed with the Securities and Exchange Commission, or SEC, on March 16, 2020, as updated by annual, quarterly and other reports and documents we file with the SEC after the date of this prospectus supplement and that are incorporated by reference in the this prospectus supplement.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pursuit of a COVID-19 vaccine candidate is at an early stage. We may be unable to produce a vaccine that successfully treats the virus in a timely manner, if at all.</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response to the global outbreak of coronavirus, in March 2020, we entered into a partnership with Duke-NUS Medical School in Singapore to develop a novel coronavirus (COVID-19) vaccine for Singapore. Our development of the vaccine is in early stages, and we may be unable to produce a vaccine that successfully treats the virus in a timely manner, if at all. We are also committing financial resources and personnel to the development of a COVID-19 vaccine which may cause delays in or otherwise negatively impact our other development programs, despite uncertainties surrounding the longevity and extent of coronavirus as a global health concern. Our business could be negatively impacted by our allocation of significant resources to a global health threat that is unpredictable and could rapidly dissipate or against which our vaccine, if developed, may not be partially or fully effective. In addition, another party may be successful in producing a more efficacious vaccine or other treatment for COVID-19 which may also lead to the diversion of governmental and quasi-governmental funding away from us and toward other companies.</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a coronavirus outbreak occurs and is classified as a pandemic or large epidemic by public health authorities, it is possible that one or more government entities may take actions that directly or indirectly have the effect of abrogating some of our rights or opportunities. If we were to develop a COVID-19 vaccine, the economic value of such a vaccine to us could be limited.</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i w:val="1"/>
          <w:iCs w:val="1"/>
          <w:color w:val="auto"/>
        </w:rPr>
        <w:t>The recent coronavirus outbreak has caused interruptions or delays of our business plan and may have a significant adverse effect on our business.</w:t>
      </w:r>
    </w:p>
    <w:p>
      <w:pPr>
        <w:spacing w:after="0" w:line="2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but the development of clinical supply materials could be delayed and enrollment of patients in our study for LUNAR-OTC and LUNAR-COV19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 Government-imposed quarantines and restrictions may also require us to temporarily terminate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or securities, continue to slow down the overall economy or curtail consumer spending.</w:t>
      </w:r>
    </w:p>
    <w:p>
      <w:pPr>
        <w:spacing w:after="0" w:line="19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intend to conduct foreign clinical trials (FCT) only for our pending COVID-19 vaccine. While costs of FCTs are significantly lower than the costs of an equivalent trial in the United States, there are risks associated with FCTs which may ultimately inhibit FDA approval.</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Costs associated with FCTs are significantly lower than the costs of equivalent trials in the United States. However, any clinical data from the FCT may not be adequate to support FDA approval without further preclinical studies, clinical trials, or both. Other companies have in the past encountered various problems with FCTs. The occurrence of any of these could have a material adverse effect on the ultimate path to FDA approval of any COVID-19 vaccine we may develop, which may negatively impact our financial condition and our business.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Related to this Offering and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 offering, you will suffer immediate and substantial dilution of $12.26 per share in the net tangible book value of the common stock. See the section entitled “Dilution” below for a more detailed discussion of the dilution you will incur if you purchase common stock in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currently intend to use the net proceeds from this offering for working capital and other general corporate purposes. We have not determined the amounts we plan to spend for various working capital and general corporate purposes or the timing of these expenditures. Accordingly, our management will have considerable discretion in the application of the net proceeds from this offering, and you will not have the opportunity, as part of your investment decision, to assess whether the proceeds from this offering are being used appropriately. The net proceeds may be used for corporate purposes that do not increase our operating results or market value. Until the net proceeds are used, they may be placed in investments that do not produce income or that lose value.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which could reduce the market price of our common stock.</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 The COVID-19 pandemic has resulted in significant financial market volatility and uncertainty in recent weeks. A continuation or worsening of the levels of market disruption and volatility seen in the recent past could have an adverse effect on our ability to access capital, on our business, results of operations and financial condition, and on the market price of our common stock.</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Sales of substantial additional shares of our common stock in the public market, or the perception that these sales may occur, may significantly lower the market price of our common stock. We are unable to estimate the 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2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paying dividends and will likely not pay dividends for the foreseeable future.</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our stock price and trading volume could decline.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680" w:right="460" w:hanging="335"/>
        <w:spacing w:after="0" w:line="291"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cost, timing, progress and results of, and our expected ability to undertake certain activities and accomplish certain goals with respect to, our research and development activities, preclinical studies and clinical trials, including as a result of the COVID-19 pandemic;</w:t>
      </w:r>
    </w:p>
    <w:p>
      <w:pPr>
        <w:ind w:left="680" w:right="180" w:hanging="335"/>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auto"/>
        </w:rPr>
      </w:pPr>
    </w:p>
    <w:p>
      <w:pPr>
        <w:ind w:left="680" w:right="60" w:hanging="335"/>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 including our ability to develop adequate clinical supply of our product candidates for use in clinical trials without delays or interruptions due to the COVID-19 pandemic;</w:t>
      </w:r>
    </w:p>
    <w:p>
      <w:pPr>
        <w:ind w:left="680" w:right="200" w:hanging="335"/>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80" w:right="20" w:hanging="335"/>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 w:name="page12"/>
    <w:bookmarkEnd w:id="11"/>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3"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proceeds from this offering;</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 and</w:t>
      </w:r>
    </w:p>
    <w:p>
      <w:pPr>
        <w:spacing w:after="0" w:line="20" w:lineRule="exact"/>
        <w:rPr>
          <w:rFonts w:ascii="Arial" w:cs="Arial" w:eastAsia="Arial" w:hAnsi="Arial"/>
          <w:sz w:val="17"/>
          <w:szCs w:val="17"/>
          <w:color w:val="auto"/>
        </w:rPr>
      </w:pPr>
    </w:p>
    <w:p>
      <w:pPr>
        <w:ind w:left="680" w:hanging="335"/>
        <w:spacing w:after="0" w:line="255"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described in “Risk Factors” beginning on page S-5 of this prospectus supplement and in Part I, Item 1A, Risk Factors of our Annual Report on Form 10-K for the fiscal year ended December 31, 2019, which is incorporated by reference in this prospectus supplement and the accompanying prospectus.</w:t>
      </w:r>
    </w:p>
    <w:p>
      <w:pPr>
        <w:spacing w:after="0" w:line="1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68" w:right="5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estimate that the net proceeds from our issuance and sale of 4,117,650 shares of our common stock in this offering will be approximately $65.4 million, or approximately $75.3 million if the underwriters exercise their option to purchase additional shares in full, after deducting the estimated underwriting discounts and commissions and the estimated offering expenses payable by us.</w:t>
      </w:r>
    </w:p>
    <w:p>
      <w:pPr>
        <w:spacing w:after="0" w:line="1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will retain broad discretion over the use of the net proceeds from this offering. We currently expect to use the net proceeds from this offering for working capital and general corporate purposes, which may include capital expenditures and research and development expenditures related to the advancement of LUNAR-OTC, LUNAR-COV19 and our other product candidates and clinical trial expenditures. This anticipated use of net proceeds represents our intentions based upon our current plans and business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Pending the use of the net proceeds, we expect to invest the net proceeds in investment grade, interest-bearing securities.</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net tangible book value as of December 31, 2019 was approximately $25.8 million or $1.70 per share. Net tangible book value per share is determined by dividing our total tangible assets, less total liabilities, by the number of shares of our common stock outstanding as of December 31, 2019.</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Dilution with respect to net tangible book value per share represents the difference between the amount per share paid by purchasers of our shares in this offering and the pro forma net tangible book value per share of our shares immediately after this offering.</w:t>
      </w:r>
    </w:p>
    <w:p>
      <w:pPr>
        <w:spacing w:after="0" w:line="170"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After giving effect to the sale of 4,117,650 shares in this offering at the offering price of $17.00 per share, and after deducting underwriting discounts and commissions and the estimated offering expenses payable by us for this offering, our as adjusted net tangible book value as of December 31, 2019, would have been approximately $91.2 million, or $4.74 per share. This represents an immediate increase in net tangible book value of $3.04 per share to existing stockholders and immediate dilution in net tangible book value of $12.26 per share to investors purchasing our shares in this offering at the offering price. The following table illustrates this dilution on a per share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 in this offering</w:t>
            </w:r>
          </w:p>
        </w:tc>
        <w:tc>
          <w:tcPr>
            <w:tcW w:w="2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Net tangible book value per share of as December 31, 2019</w:t>
            </w:r>
          </w:p>
        </w:tc>
        <w:tc>
          <w:tcPr>
            <w:tcW w:w="2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investors in this offering</w:t>
            </w:r>
          </w:p>
        </w:tc>
        <w:tc>
          <w:tcPr>
            <w:tcW w:w="2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2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r>
    </w:tbl>
    <w:p>
      <w:pPr>
        <w:spacing w:after="0" w:line="20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If the underwriters exercise their option in full to purchase an additional 617,647 shares of our common stock in this offering at the public offering price of $17.00 per share, the as adjusted net tangible book value per share after the offering would be $5.09 per share, the increase in the net tangible book value per share to existing stockholders would be $3.39 per share and the dilution to purchasers in this offering would be $11.91 per share.</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number of shares to be outstanding after the offering is based on the number of shares outstanding as of December 31, 2019. As of that date, we had 15,137,964 shares outstanding, excluding 2,249,076 shares issuable upon exercise of currently outstanding options or other rights to purchase our common stock.</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that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discussion is a summary of the material U.S. federal income tax consequences to a non-U.S. holder, as defined below, of the purchase, ownership and disposition of shares of our common stock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Internal Revenue Code of 1986, as amended, or the Code, Treasury Regulations promulgated thereunder, judicial decisions, and published rulings and administrative pronouncements of the U.S. Internal Revenue Service, or IRS, in effect as of the date of this offering. These authorities may change or be subject to differing interpretations. Any such change or differing interpretation may be applied retroactively in a manner that could adversely affect a holder of our common stock. There can be no assurance the IRS or a court will not take a contrary position regarding the tax consequences of the purchase, ownership and disposition of our common stock.</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discussion does not address all U.S. federal income tax consequences relevant to a non U.S. holder’s particular circumstances, including, without limitation:</w:t>
      </w:r>
    </w:p>
    <w:p>
      <w:pPr>
        <w:spacing w:after="0" w:line="170" w:lineRule="exact"/>
        <w:rPr>
          <w:sz w:val="20"/>
          <w:szCs w:val="20"/>
          <w:color w:val="auto"/>
        </w:rPr>
      </w:pPr>
    </w:p>
    <w:p>
      <w:pPr>
        <w:ind w:left="880" w:hanging="42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U.S.;</w:t>
      </w:r>
    </w:p>
    <w:p>
      <w:pPr>
        <w:spacing w:after="0" w:line="252" w:lineRule="exact"/>
        <w:rPr>
          <w:rFonts w:ascii="Arial" w:cs="Arial" w:eastAsia="Arial" w:hAnsi="Arial"/>
          <w:sz w:val="18"/>
          <w:szCs w:val="18"/>
          <w:color w:val="auto"/>
        </w:rPr>
      </w:pPr>
    </w:p>
    <w:p>
      <w:pPr>
        <w:ind w:left="880" w:right="420" w:hanging="427"/>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880" w:hanging="427"/>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 and</w:t>
      </w:r>
    </w:p>
    <w:p>
      <w:pPr>
        <w:spacing w:after="0" w:line="236" w:lineRule="exact"/>
        <w:rPr>
          <w:rFonts w:ascii="Arial" w:cs="Arial" w:eastAsia="Arial" w:hAnsi="Arial"/>
          <w:sz w:val="17"/>
          <w:szCs w:val="17"/>
          <w:color w:val="auto"/>
        </w:rPr>
      </w:pPr>
    </w:p>
    <w:p>
      <w:pPr>
        <w:ind w:left="880" w:right="280" w:hanging="427"/>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897(1)(2) of the Code and entities, all of the interests of which are held by qualified foreign pension funds.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THIS DISCUSSION IS FOR INFORMATION PURPOSES ONLY AND IS NOT INTENDED AS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common stock that is neither a U.S. holder nor an entity treated as a partnership for U.S. federal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any beneficial owner of our common stock that, for U.S. federal income tax purposes, is:</w:t>
      </w:r>
    </w:p>
    <w:p>
      <w:pPr>
        <w:spacing w:after="0" w:line="225" w:lineRule="exact"/>
        <w:rPr>
          <w:sz w:val="20"/>
          <w:szCs w:val="20"/>
          <w:color w:val="auto"/>
        </w:rPr>
      </w:pPr>
    </w:p>
    <w:p>
      <w:pPr>
        <w:ind w:left="1000" w:hanging="439"/>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5" w:name="page16"/>
    <w:bookmarkEnd w:id="15"/>
    <w:p>
      <w:pPr>
        <w:ind w:left="1000" w:right="220" w:hanging="439"/>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U.S., any state thereof, or the District of Columbia;</w:t>
      </w:r>
    </w:p>
    <w:p>
      <w:pPr>
        <w:spacing w:after="0" w:line="197" w:lineRule="exact"/>
        <w:rPr>
          <w:rFonts w:ascii="Arial" w:cs="Arial" w:eastAsia="Arial" w:hAnsi="Arial"/>
          <w:sz w:val="18"/>
          <w:szCs w:val="18"/>
          <w:color w:val="auto"/>
        </w:rPr>
      </w:pPr>
    </w:p>
    <w:p>
      <w:pPr>
        <w:ind w:left="1000" w:hanging="439"/>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000" w:right="200" w:hanging="439"/>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U.S. persons (within the meaning of Section 7701(a)(30) of the Code), or (2) has made a valid election under applicable Treasury Regulations to continue to be treated as a U.S.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do not anticipate declaring or paying distributions to holders of our common stock in the foreseeable future. However, if we do make distributions on our common stock, such distributions of cash or property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in the section relating to the sale or disposition of our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Subject to the discussion below on backup withholding and FATCA, dividends paid to a non-U.S. holder of our common stock that are not effectively connected with the non-U.S. holder’s conduct of a trade or business within the United States will be subject to U.S. federal withholding tax at a rate of 30% of the gross amount of the dividends (or such lower rate specified by an applicable income tax treaty).</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Non-U.S. holders may be entitled to a reduction in or an exemption from withholding on dividends as a result of either (a) an applicable income tax treaty or (b) the non-U.S. holder holding our common stock in connection with the conduct of a trade or business within the United States and dividends being effectively connected with that trade or business. To claim such a reduction in or exemption from withholding, the non-U.S. holder must provide the applicable withholding agent with a properly executed (a) IRS Form W-8BEN or W-8BEN-E (or other applicable documentation) claiming an exemption from or reduction of the withholding tax under the benefit of an income tax treaty between the U.S. and the country in which the non-U.S. holder resides or is established, or (b) IRS Form W-8ECI stating that the dividends are not subject to withholding tax because they are effectively connected with the conduct by the non-U.S. holder of a trade or business within the U.S., as may be applicable. These certifications must be provided to the applicable withholding agent prior to the payment of dividends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although exempt from U.S. federal withholding tax (provided the non-U.S. holder provides appropriate certification, as described above), the non-U.S. holder will be subject to U.S. federal income tax on such dividends on a net income basis at the regular graduated U.S. federal income tax rates. In addition, a non-U.S. holder that is a corporation may be subject to a branch profits tax at a rate of 30% (or such lower rate specified by an applicable income tax treaty) on its effectively connected earnings and profits for the taxable year that are attributable to such dividends, as adjusted for certain items. Non-U.S. holders should consult their tax advisors regarding their entitlement to benefits under any applicable income tax treaty.</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Sale or Other Disposition of Common Stock</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the discussions below on backup withholding and foreign accounts, a non-U.S. holder will not be subject to U.S. federal income tax on any gain realized upon the sale or other disposition of our common stock unless:</w:t>
      </w:r>
    </w:p>
    <w:p>
      <w:pPr>
        <w:spacing w:after="0" w:line="170" w:lineRule="exact"/>
        <w:rPr>
          <w:sz w:val="20"/>
          <w:szCs w:val="20"/>
          <w:color w:val="auto"/>
        </w:rPr>
      </w:pPr>
    </w:p>
    <w:p>
      <w:pPr>
        <w:ind w:left="1000" w:hanging="439"/>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50" w:lineRule="exact"/>
        <w:rPr>
          <w:rFonts w:ascii="Arial" w:cs="Arial" w:eastAsia="Arial" w:hAnsi="Arial"/>
          <w:sz w:val="16"/>
          <w:szCs w:val="16"/>
          <w:color w:val="auto"/>
        </w:rPr>
      </w:pPr>
    </w:p>
    <w:p>
      <w:pPr>
        <w:ind w:left="1000" w:right="740" w:hanging="439"/>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000" w:right="160" w:hanging="439"/>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common stock constitutes U.S. real property interests, or USRPIs, by reason of our status as a U.S. real property holding corporation, or USRPHC, for U.S. federal income tax purposes.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Gain described in the first bullet point above will generally be subject to U.S. federal income tax on a net income basis at the regular graduated U.S. federal income tax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U.S.) provided the non-U.S. holder has timely filed U.S. federal income tax returns with respect to such losses.</w:t>
      </w:r>
    </w:p>
    <w:p>
      <w:pPr>
        <w:spacing w:after="0" w:line="18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such as the Nasdaq Global Market, and such non-U.S. Holder owned, actually and constructively, 5% or less of our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Subject to the discussion below on foreign accounts, a non-U.S. holder will not be subject to backup withholding with respect to distributions on our common stock we make to the non-U.S. holder, provided the applicable withholding agent does not have actual knowledge or reason to know such holder is a U.S. person and the holder certifies its non-U.S. status, such as by providing a valid IRS Form W-8BEN, W-8BEN-E or W-8ECI, or other applicable certification. However, information returns generally will be filed with the IRS in connection with any distributions (including deemed distributions) made on our common stock to the non-U.S. holder, regardless of whether any tax was actually withheld. These information returns may also be made available under the provisions of a specific treaty or agreement to the tax authorities of the country in which the non-U.S. holder resides or is established.</w:t>
      </w:r>
    </w:p>
    <w:p>
      <w:pPr>
        <w:spacing w:after="0" w:line="1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Information reporting and backup withholding may apply to the proceeds of a sale or other taxable disposition of our common stock within the United States, and information reporting may (although backup withholding generally will not) apply to the proceeds of a sale or other taxable disposition of our common stock outside the United States conducted through certain U.S.-related financial intermediaries, in each case, unless the beneficial owner certifies under penalty of perjury that it is a non-U.S. holder on IRS Form W-8BEN or W-8BEN-E, or other applicable form (and the payor does not have actual knowledge or reason to know that the beneficial owner is a U.S. person) or such owner otherwise establishes an exemption. Proceeds of a disposition of our common stock conducted through a non-U.S. office of a non-U.S. broker generally will not be subject to backup withholding or information reporting.</w:t>
      </w:r>
    </w:p>
    <w:p>
      <w:pPr>
        <w:spacing w:after="0" w:line="1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Withholding Tax on Payments Made to Foreign Accounts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Withholding taxes may be imposed under the Foreign Account Tax Compliance Act, or FATCA, on certain types of payments made to non-U.S. financial institutions and certain other non-U.S. entities. Specifically, a 30% withholding tax may be imposed on dividends (including deemed dividends) paid on our common stock,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Foreign financial institutions located in jurisdictions that have an intergovernmental agreement with the U.S. governing FATCA may be subject to the reporting rules of that intergovernmental agreement. Because we may not know the extent to which a distribution is a dividend for U.S. federal income tax purposes at the time it is made, for purposes of these withholding rules we or the applicable withholding agent may treat the entire distribution as a dividend. Although withholding under FATCA would have applied also to payments of gross proceeds from the sale or other disposition of stock on or after January 1, 2019, recently proposed Treasury Regulations would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Guggenheim Securities, LLC is acting as representative of each of the underwriters named below. Subject to the terms and conditions set forth in the underwriting agreement between us and the underwriters, each of the underwriters has agreed, severally and not jointly, to purchase from us, the number of shares of common stock set forth opposite its name below.</w:t>
      </w:r>
    </w:p>
    <w:p>
      <w:pPr>
        <w:spacing w:after="0" w:line="396"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w:t>
            </w:r>
          </w:p>
        </w:tc>
      </w:t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of Shares</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3,088,238</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920" w:type="dxa"/>
            <w:vAlign w:val="bottom"/>
          </w:tcPr>
          <w:p>
            <w:pPr>
              <w:jc w:val="right"/>
              <w:spacing w:after="0"/>
              <w:rPr>
                <w:sz w:val="20"/>
                <w:szCs w:val="20"/>
                <w:color w:val="auto"/>
              </w:rPr>
            </w:pPr>
            <w:r>
              <w:rPr>
                <w:rFonts w:ascii="Arial" w:cs="Arial" w:eastAsia="Arial" w:hAnsi="Arial"/>
                <w:sz w:val="18"/>
                <w:szCs w:val="18"/>
                <w:color w:val="auto"/>
              </w:rPr>
              <w:t>514,706</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308,824</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920" w:type="dxa"/>
            <w:vAlign w:val="bottom"/>
          </w:tcPr>
          <w:p>
            <w:pPr>
              <w:jc w:val="right"/>
              <w:spacing w:after="0"/>
              <w:rPr>
                <w:sz w:val="20"/>
                <w:szCs w:val="20"/>
                <w:color w:val="auto"/>
              </w:rPr>
            </w:pPr>
            <w:r>
              <w:rPr>
                <w:rFonts w:ascii="Arial" w:cs="Arial" w:eastAsia="Arial" w:hAnsi="Arial"/>
                <w:sz w:val="18"/>
                <w:szCs w:val="18"/>
                <w:color w:val="auto"/>
              </w:rPr>
              <w:t>205,882</w:t>
            </w:r>
          </w:p>
        </w:tc>
      </w:tr>
      <w:tr>
        <w:trPr>
          <w:trHeight w:val="216"/>
        </w:trPr>
        <w:tc>
          <w:tcPr>
            <w:tcW w:w="6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4,117,650</w:t>
            </w: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underwriters are offering the shares subject to their acceptance of the shares of common stock from us and subject to prior sale. The underwriters reserve the right to withdraw, cancel or modify offers to the public and to reject orders in whole or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 Expenses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set forth on the cover of this prospectus supplement and to dealers at that price less a concession not in excess of $0.612 per share. After the initial offering, the public offering price, concession or any other term of the offering may be changed.</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 from us, as applicable.</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3"/>
              </w:rPr>
              <w:t>Total</w:t>
            </w:r>
          </w:p>
        </w:tc>
        <w:tc>
          <w:tcPr>
            <w:tcW w:w="124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 Share</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No Exercise</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Full Exercise</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80,500,049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4,200,003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4,830,003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65,800,047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75,670,046</w:t>
            </w:r>
          </w:p>
        </w:tc>
      </w:tr>
    </w:tbl>
    <w:p>
      <w:pPr>
        <w:spacing w:after="0" w:line="20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 approximately $400,000, which includes certain expenses incurred by the underwriters in connection with this offering that will be reimbursed by us. We have agreed to reimburse the underwriters for certain expenses incurred by them in connection with this offering (including certain fees and expenses of counsel for the underwriters in an amount not to exceed $75,000, and fees and expenses related to filings with and review by FINRA).</w:t>
      </w:r>
    </w:p>
    <w:p>
      <w:pPr>
        <w:spacing w:after="0" w:line="15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Raymond James &amp; Associates, Inc., Laidlaw &amp; Company (UK) Ltd. and Brookline Capital Markets, a division of Arcadia Securities, LLC, are acting as our financial advisors in connection with this offering and will each be paid a cash fee. Our financial advisors are not acting as underwriters and will not sell or offer to sell any securities and will not identify, solicit or engage directly with potential investors. In addition, our financial advisors will not underwrite or purchase any of the offered securities or otherwise participate in any such undertaking.</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granted the underwriters an option to purchase up to an additional 617,647 shares of common stock at the public offering price, less the underwriting discounts and commissions, within 30 days from the date of this prospectus supplement.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connection with this offering, we have agreed with the underwriters that, subject to certain customary exceptions, without the prior written consent of Guggenheim Securities, LLC on behalf of the underwriters, we will not, for a period ending 90 days after the date of this prospectus supplement, or</w:t>
      </w:r>
    </w:p>
    <w:p>
      <w:pPr>
        <w:ind w:right="20"/>
        <w:spacing w:after="0" w:line="285" w:lineRule="auto"/>
        <w:rPr>
          <w:sz w:val="20"/>
          <w:szCs w:val="20"/>
          <w:color w:val="auto"/>
        </w:rPr>
      </w:pPr>
      <w:r>
        <w:rPr>
          <w:rFonts w:ascii="Arial" w:cs="Arial" w:eastAsia="Arial" w:hAnsi="Arial"/>
          <w:sz w:val="16"/>
          <w:szCs w:val="16"/>
          <w:color w:val="auto"/>
        </w:rPr>
        <w:t>the Lock-Up Period, (a) directly or indirectly, issue, offer, sell, agree to issue, offer or sell, solicit offers to purchase, grant any call option, warrant or other right to purchase, purchase any put option or other right to sell, pledge, hypothecate, borrow or otherwise transfer or dispose of any shares of our common stock or any securities convertible into or exercisable or exchangeable for shares of our common stock, or make any public announcement of any of the foregoing, (b) establish or increase any “put equivalent position” or liquidate or decrease any “call equivalent position” (in each case within the meaning of Section 16 of the Exchange Act and the rules and regulations thereunder) with respect to any shares of our common stock or any securities convertible into or exercisable or exchangeable for shares of our common stock, (c) otherwise enter into any swap, derivative or other transaction or arrangement that transfers to another, in whole or in part, any economic consequence of ownership of any shares of our common stock or any securities convertible into or exercisable or exchangeable for shares of our common stock, whether or not such transaction is to be settled by delivery of any shares of our common stock, securities convertible into or exercisable or exchangeable for shares of our common stock, other securities, cash or other consideration, (d) submit or file any registration statement under the Securities Act in respect of any shares of our common stock or any securities convertible into or exercisable or exchangeable for our common stock, or (e) publicly announce the intention to do any of the foregoing.</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this offering, certain of our stockholders and our directors and executive officers have agreed with the underwriters that, subject to certain customary exceptions, without the prior written consent of Guggenheim Securities, LLC on behalf of the underwriters, they will not, for the Lock-Up Period, (a) directly or indirectly, offer, sell, agree to offer or sell, solicit offers to purchase, grant any call option or purchase any put option with respect to, pledge, borrow or otherwise dispose of, any shares of our common stock and any security convertible into, or exercisable or exchangeable for, shares of our common stock (“Relevant Security”), (b) establish or increase any “put equivalent position” or liquidate or decrease any “call equivalent position” with respect to any Relevant Security (in each case within the meaning of Section 16 of the Exchange Act, and the rules and regulations promulgated thereunder), or otherwise enter into any swap,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(c) make any demand for, or exercise any right with respect to, the registration under the Securities Act of the offer and sale of any Relevant Security, or cause to be filed a registration statement, prospectus or prospectus supplement (or an amendment or supplement thereto) with respect to any such registration or (d) publicly announce any intention to do any of the foregoing. The underwriters may, in their sole discretion, permit the sale of Relevant Securities during the restricted period in whole or in part and at any time, with or without notice.</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“ARCT.”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closing of the offering.</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underwriters who are qualified market makers on the Nasdaq Global Market may engage in passive market making transactions in the securities on the Nasdaq Global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relation to each Member State of the European Economic Area, or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8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sz w:val="20"/>
          <w:szCs w:val="20"/>
          <w:color w:val="auto"/>
        </w:rPr>
      </w:pPr>
    </w:p>
    <w:p>
      <w:pPr>
        <w:ind w:left="340" w:right="2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0"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provided that no such offer of shares shall require the Company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2" w:name="page23"/>
    <w:bookmarkEnd w:id="22"/>
    <w:p>
      <w:pPr>
        <w:ind w:right="280"/>
        <w:spacing w:after="0" w:line="274" w:lineRule="auto"/>
        <w:rPr>
          <w:sz w:val="20"/>
          <w:szCs w:val="20"/>
          <w:color w:val="auto"/>
        </w:rPr>
      </w:pPr>
      <w:r>
        <w:rPr>
          <w:rFonts w:ascii="Arial" w:cs="Arial" w:eastAsia="Arial" w:hAnsi="Arial"/>
          <w:sz w:val="17"/>
          <w:szCs w:val="17"/>
          <w:color w:val="auto"/>
        </w:rPr>
        <w:t>In the case of any shares being offered to a financial intermediary as that term is used in Prospectus Regulation, each such financial intermediary will be deemed to have represented, acknowledged and agreed that the shares acquired by it in the offer have not been acquired on a non-</w:t>
      </w:r>
    </w:p>
    <w:p>
      <w:pPr>
        <w:ind w:right="60"/>
        <w:spacing w:after="0" w:line="255" w:lineRule="auto"/>
        <w:rPr>
          <w:sz w:val="20"/>
          <w:szCs w:val="20"/>
          <w:color w:val="auto"/>
        </w:rPr>
      </w:pPr>
      <w:r>
        <w:rPr>
          <w:rFonts w:ascii="Arial" w:cs="Arial" w:eastAsia="Arial" w:hAnsi="Arial"/>
          <w:sz w:val="18"/>
          <w:szCs w:val="18"/>
          <w:color w:val="auto"/>
        </w:rPr>
        <w:t>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have been obtained to each such proposed offer or resale.</w:t>
      </w:r>
    </w:p>
    <w:p>
      <w:pPr>
        <w:spacing w:after="0" w:line="19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Any person offering, selling or recommending the shares, or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w:t>
      </w:r>
    </w:p>
    <w:p>
      <w:pPr>
        <w:spacing w:after="0" w:line="23" w:lineRule="exact"/>
        <w:rPr>
          <w:sz w:val="20"/>
          <w:szCs w:val="20"/>
          <w:color w:val="auto"/>
        </w:rPr>
      </w:pPr>
    </w:p>
    <w:p>
      <w:pPr>
        <w:jc w:val="both"/>
        <w:ind w:right="620"/>
        <w:spacing w:after="0" w:line="302" w:lineRule="auto"/>
        <w:rPr>
          <w:sz w:val="20"/>
          <w:szCs w:val="20"/>
          <w:color w:val="auto"/>
        </w:rPr>
      </w:pPr>
      <w:r>
        <w:rPr>
          <w:rFonts w:ascii="Arial" w:cs="Arial" w:eastAsia="Arial" w:hAnsi="Arial"/>
          <w:sz w:val="16"/>
          <w:szCs w:val="16"/>
          <w:color w:val="auto"/>
        </w:rPr>
        <w:t>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ind w:right="7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validity of the issuance of the securities offered hereby will be passed upon by Dentons US LLP, New York, New York. Certain legal matters will be passed upon for the underwriters by Goodwin Procter LLP, New York, New York.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are a reporting company and file annual, quarterly and current reports, proxy and information statements and other information with the SEC. This prospectus supplement and accompanying prospectus are part of a registration statement that we have filed with the SEC relating to the securities to be offered under this prospectus supplement. This prospectus supplement does not contain all of the information set forth in the registration statement and the exhibits to the registration statement. For further information with respect to us and the securities to be offered under this prospectus supplement, we refer you to the registration statement and the exhibits and schedules filed as a part of the registration statement.</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Copies of certain information filed by us with the SEC are also available on our website at </w:t>
      </w:r>
      <w:r>
        <w:rPr>
          <w:rFonts w:ascii="Arial" w:cs="Arial" w:eastAsia="Arial" w:hAnsi="Arial"/>
          <w:sz w:val="16"/>
          <w:szCs w:val="16"/>
          <w:i w:val="1"/>
          <w:iCs w:val="1"/>
          <w:color w:val="auto"/>
        </w:rPr>
        <w:t>https://arcturusrx.com</w:t>
      </w:r>
      <w:r>
        <w:rPr>
          <w:rFonts w:ascii="Arial" w:cs="Arial" w:eastAsia="Arial" w:hAnsi="Arial"/>
          <w:sz w:val="16"/>
          <w:szCs w:val="16"/>
          <w:color w:val="auto"/>
        </w:rPr>
        <w:t>. Information contained in or accessible through our website does not constitute a part of this prospectus supplement and is not incorporated by reference in this prospectus supplement.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We incorporate by reference the information or documents listed below that we have filed with the SEC:</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March 16,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4, 2020 and March 27, 2020; and</w:t>
      </w:r>
    </w:p>
    <w:p>
      <w:pPr>
        <w:spacing w:after="0" w:line="225"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registration statement on Form 8-A registering our common stock under Section 12 of the Exchange Act, which was filed with the SEC on May 17, 2013, including any amendments or reports filed for purposes of updating such description, including the Form 8-K12B filed on June 14, 2019.</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prospectus supplement and accompanying prospectus is part of a registration statement we filed with the SEC. We have incorporated exhibits into the registration statement of which this prospectus supplement and accompanying prospectus is a part. You should read the exhibits carefully for provisions that may be important to you. Neither we nor the underwriters authorized anyone to provide any information or to make any representations other than those contained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and accompanying prospectus is an offer to sell only the shares offered hereby, but only under the circumstances and in the jurisdictions where it is lawful to do so. The information contained in this prospectus supplement, the accompanying prospectus or in any applicable free writing prospectus is current only as of its date, regardless of its time of delivery.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154305</wp:posOffset>
            </wp:positionV>
            <wp:extent cx="2074545" cy="711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454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“Risk Factors” on page 3 of this prospectus and contained in our filings made with the Securities and Exchange Commission and the applicable prospectus supplement.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7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920" w:type="dxa"/>
            <w:vAlign w:val="bottom"/>
            <w:gridSpan w:val="2"/>
          </w:tcPr>
          <w:p>
            <w:pPr>
              <w:ind w:left="2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PROSPECTUS SUMMARY</w:t>
            </w:r>
          </w:p>
        </w:tc>
        <w:tc>
          <w:tcPr>
            <w:tcW w:w="2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DESCRIPTION OF UNITS WE MAY OFFER</w:t>
            </w:r>
          </w:p>
        </w:tc>
        <w:tc>
          <w:tcPr>
            <w:tcW w:w="2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LEGAL MATTERS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29"/>
          <w:szCs w:val="29"/>
          <w:color w:val="auto"/>
          <w:vertAlign w:val="superscript"/>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202" w:lineRule="exact"/>
        <w:rPr>
          <w:sz w:val="20"/>
          <w:szCs w:val="20"/>
          <w:color w:val="auto"/>
        </w:rPr>
      </w:pPr>
    </w:p>
    <w:p>
      <w:pPr>
        <w:ind w:left="1140" w:right="460" w:hanging="565"/>
        <w:spacing w:after="0" w:line="25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1" w:lineRule="exact"/>
        <w:rPr>
          <w:rFonts w:ascii="Arial" w:cs="Arial" w:eastAsia="Arial" w:hAnsi="Arial"/>
          <w:sz w:val="18"/>
          <w:szCs w:val="18"/>
          <w:color w:val="auto"/>
        </w:rPr>
      </w:pPr>
    </w:p>
    <w:p>
      <w:pPr>
        <w:ind w:left="1140" w:right="120" w:hanging="565"/>
        <w:spacing w:after="0" w:line="182" w:lineRule="auto"/>
        <w:tabs>
          <w:tab w:leader="none" w:pos="114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1" w:lineRule="exact"/>
        <w:rPr>
          <w:rFonts w:ascii="Arial" w:cs="Arial" w:eastAsia="Arial" w:hAnsi="Arial"/>
          <w:sz w:val="36"/>
          <w:szCs w:val="36"/>
          <w:color w:val="auto"/>
          <w:vertAlign w:val="superscript"/>
        </w:rPr>
      </w:pPr>
    </w:p>
    <w:p>
      <w:pPr>
        <w:ind w:left="1140" w:right="40" w:hanging="565"/>
        <w:spacing w:after="0" w:line="182" w:lineRule="auto"/>
        <w:tabs>
          <w:tab w:leader="none" w:pos="1140" w:val="left"/>
        </w:tabs>
        <w:numPr>
          <w:ilvl w:val="0"/>
          <w:numId w:val="12"/>
        </w:numPr>
        <w:rPr>
          <w:rFonts w:ascii="Arial" w:cs="Arial" w:eastAsia="Arial" w:hAnsi="Arial"/>
          <w:sz w:val="36"/>
          <w:szCs w:val="36"/>
          <w:color w:val="auto"/>
          <w:vertAlign w:val="superscript"/>
        </w:rPr>
      </w:pPr>
      <w:r>
        <w:rPr>
          <w:rFonts w:ascii="Arial" w:cs="Arial" w:eastAsia="Arial" w:hAnsi="Arial"/>
          <w:sz w:val="18"/>
          <w:szCs w:val="18"/>
          <w:color w:val="auto"/>
        </w:rPr>
        <w:t>Our wholly-owned, LUNAR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23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(“Arcturus Inc.”) pursuant to a merger between the companies. Immediately after giving effect to the merger, on November 15, 2017, Alcobra Ltd. changed its name to Arcturus Therapeutics Ltd. (“Arcturus Ltd.”).</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1140" w:right="20" w:hanging="565"/>
        <w:spacing w:after="0" w:line="25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 w:lineRule="exact"/>
        <w:rPr>
          <w:rFonts w:ascii="Arial" w:cs="Arial" w:eastAsia="Arial" w:hAnsi="Arial"/>
          <w:sz w:val="18"/>
          <w:szCs w:val="18"/>
          <w:color w:val="auto"/>
        </w:rPr>
      </w:pPr>
    </w:p>
    <w:p>
      <w:pPr>
        <w:ind w:left="1140" w:hanging="565"/>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1140" w:right="520" w:hanging="565"/>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As of June 21, 2019, there were 13,118,844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June 21, 2019, there were no shares of preferred stock issued and outstanding.</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24" w:lineRule="exact"/>
        <w:rPr>
          <w:sz w:val="20"/>
          <w:szCs w:val="20"/>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shares of preferred stock offered, the liquidation preference per share and the offering price of the shares of preferred stock;</w:t>
      </w:r>
    </w:p>
    <w:p>
      <w:pPr>
        <w:spacing w:after="0" w:line="32" w:lineRule="exact"/>
        <w:rPr>
          <w:rFonts w:ascii="Arial" w:cs="Arial" w:eastAsia="Arial" w:hAnsi="Arial"/>
          <w:sz w:val="16"/>
          <w:szCs w:val="16"/>
          <w:color w:val="auto"/>
        </w:rPr>
      </w:pPr>
    </w:p>
    <w:p>
      <w:pPr>
        <w:ind w:left="1140" w:hanging="565"/>
        <w:spacing w:after="0"/>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dividend rate(s), period(s) and/or payment date(s) or method(s) of calculation thereof applicable to the shares of preferred stock;</w:t>
      </w:r>
    </w:p>
    <w:p>
      <w:pPr>
        <w:spacing w:after="0" w:line="20" w:lineRule="exact"/>
        <w:rPr>
          <w:rFonts w:ascii="Arial" w:cs="Arial" w:eastAsia="Arial" w:hAnsi="Arial"/>
          <w:sz w:val="17"/>
          <w:szCs w:val="17"/>
          <w:color w:val="auto"/>
        </w:rPr>
      </w:pPr>
    </w:p>
    <w:p>
      <w:pPr>
        <w:ind w:left="1140" w:right="30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9" w:lineRule="exact"/>
        <w:rPr>
          <w:rFonts w:ascii="Arial" w:cs="Arial" w:eastAsia="Arial" w:hAnsi="Arial"/>
          <w:sz w:val="18"/>
          <w:szCs w:val="18"/>
          <w:color w:val="auto"/>
        </w:rPr>
      </w:pPr>
    </w:p>
    <w:p>
      <w:pPr>
        <w:ind w:left="1140" w:right="24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9" w:lineRule="exact"/>
        <w:rPr>
          <w:rFonts w:ascii="Arial" w:cs="Arial" w:eastAsia="Arial" w:hAnsi="Arial"/>
          <w:sz w:val="18"/>
          <w:szCs w:val="18"/>
          <w:color w:val="auto"/>
        </w:rPr>
      </w:pPr>
    </w:p>
    <w:p>
      <w:pPr>
        <w:ind w:left="1140" w:right="36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9" w:lineRule="exact"/>
        <w:rPr>
          <w:rFonts w:ascii="Arial" w:cs="Arial" w:eastAsia="Arial" w:hAnsi="Arial"/>
          <w:sz w:val="18"/>
          <w:szCs w:val="18"/>
          <w:color w:val="auto"/>
        </w:rPr>
      </w:pPr>
    </w:p>
    <w:p>
      <w:pPr>
        <w:ind w:left="1140" w:hanging="565"/>
        <w:spacing w:after="0" w:line="250"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ind w:left="1140" w:right="300" w:hanging="565"/>
        <w:spacing w:after="0" w:line="265" w:lineRule="auto"/>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WE MAY OFFER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right="12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7" w:lineRule="exact"/>
        <w:rPr>
          <w:sz w:val="20"/>
          <w:szCs w:val="20"/>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9" w:lineRule="exact"/>
        <w:rPr>
          <w:rFonts w:ascii="Arial" w:cs="Arial" w:eastAsia="Arial" w:hAnsi="Arial"/>
          <w:sz w:val="18"/>
          <w:szCs w:val="18"/>
          <w:color w:val="auto"/>
        </w:rPr>
      </w:pPr>
    </w:p>
    <w:p>
      <w:pPr>
        <w:ind w:left="1140" w:right="320" w:hanging="565"/>
        <w:spacing w:after="0" w:line="265"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ind w:left="1140" w:hanging="565"/>
        <w:spacing w:after="0" w:line="281"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 w:lineRule="exact"/>
        <w:rPr>
          <w:rFonts w:ascii="Arial" w:cs="Arial" w:eastAsia="Arial" w:hAnsi="Arial"/>
          <w:sz w:val="16"/>
          <w:szCs w:val="16"/>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jc w:val="both"/>
        <w:ind w:left="1140" w:right="200" w:hanging="565"/>
        <w:spacing w:after="0" w:line="250"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9" w:lineRule="exact"/>
        <w:rPr>
          <w:rFonts w:ascii="Arial" w:cs="Arial" w:eastAsia="Arial" w:hAnsi="Arial"/>
          <w:sz w:val="18"/>
          <w:szCs w:val="18"/>
          <w:color w:val="auto"/>
        </w:rPr>
      </w:pPr>
    </w:p>
    <w:p>
      <w:pPr>
        <w:ind w:left="1700" w:hanging="558"/>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left="1140" w:hanging="565"/>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46" w:lineRule="exact"/>
        <w:rPr>
          <w:rFonts w:ascii="Arial" w:cs="Arial" w:eastAsia="Arial" w:hAnsi="Arial"/>
          <w:sz w:val="16"/>
          <w:szCs w:val="16"/>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9" w:lineRule="exact"/>
        <w:rPr>
          <w:rFonts w:ascii="Arial" w:cs="Arial" w:eastAsia="Arial" w:hAnsi="Arial"/>
          <w:sz w:val="18"/>
          <w:szCs w:val="18"/>
          <w:color w:val="auto"/>
        </w:rPr>
      </w:pPr>
    </w:p>
    <w:p>
      <w:pPr>
        <w:ind w:left="1140" w:right="20" w:hanging="565"/>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ind w:left="1140" w:right="380" w:hanging="565"/>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ind w:left="1140" w:right="120" w:hanging="565"/>
        <w:spacing w:after="0" w:line="25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ind w:left="1140" w:right="200" w:hanging="565"/>
        <w:spacing w:after="0" w:line="255"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70" w:lineRule="exact"/>
        <w:rPr>
          <w:sz w:val="20"/>
          <w:szCs w:val="20"/>
          <w:color w:val="auto"/>
        </w:rPr>
      </w:pPr>
    </w:p>
    <w:p>
      <w:pPr>
        <w:ind w:left="1140" w:hanging="565"/>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34" w:lineRule="exact"/>
        <w:rPr>
          <w:rFonts w:ascii="Arial" w:cs="Arial" w:eastAsia="Arial" w:hAnsi="Arial"/>
          <w:sz w:val="17"/>
          <w:szCs w:val="17"/>
          <w:color w:val="auto"/>
        </w:rPr>
      </w:pPr>
    </w:p>
    <w:p>
      <w:pPr>
        <w:ind w:left="1140" w:right="460" w:hanging="565"/>
        <w:spacing w:after="0" w:line="250"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pay the principal, premium or sinking fund payment, if any, when due and payable and the time for payment has not been extended;</w:t>
      </w:r>
    </w:p>
    <w:p>
      <w:pPr>
        <w:ind w:left="1140" w:right="340" w:hanging="565"/>
        <w:spacing w:after="0" w:line="250"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92"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direction so given by the holders is not in conflict with any law or the applicable indenture; and</w:t>
      </w:r>
    </w:p>
    <w:p>
      <w:pPr>
        <w:spacing w:after="0" w:line="23" w:lineRule="exact"/>
        <w:rPr>
          <w:rFonts w:ascii="Arial" w:cs="Arial" w:eastAsia="Arial" w:hAnsi="Arial"/>
          <w:sz w:val="18"/>
          <w:szCs w:val="18"/>
          <w:color w:val="auto"/>
        </w:rPr>
      </w:pPr>
    </w:p>
    <w:p>
      <w:pPr>
        <w:ind w:left="1140" w:right="60" w:hanging="565"/>
        <w:spacing w:after="0" w:line="260"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ind w:right="20"/>
        <w:spacing w:after="0" w:line="257" w:lineRule="auto"/>
        <w:rPr>
          <w:sz w:val="20"/>
          <w:szCs w:val="20"/>
          <w:color w:val="auto"/>
        </w:rPr>
      </w:pPr>
      <w:r>
        <w:rPr>
          <w:rFonts w:ascii="Arial" w:cs="Arial" w:eastAsia="Arial" w:hAnsi="Arial"/>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only if:</w:t>
      </w:r>
    </w:p>
    <w:p>
      <w:pPr>
        <w:spacing w:after="0" w:line="170" w:lineRule="exact"/>
        <w:rPr>
          <w:sz w:val="20"/>
          <w:szCs w:val="20"/>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 w:lineRule="exact"/>
        <w:rPr>
          <w:rFonts w:ascii="Arial" w:cs="Arial" w:eastAsia="Arial" w:hAnsi="Arial"/>
          <w:sz w:val="18"/>
          <w:szCs w:val="18"/>
          <w:color w:val="auto"/>
        </w:rPr>
      </w:pPr>
    </w:p>
    <w:p>
      <w:pPr>
        <w:ind w:left="1140" w:right="180" w:hanging="565"/>
        <w:spacing w:after="0" w:line="250"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 w:lineRule="exact"/>
        <w:rPr>
          <w:rFonts w:ascii="Arial" w:cs="Arial" w:eastAsia="Arial" w:hAnsi="Arial"/>
          <w:sz w:val="18"/>
          <w:szCs w:val="18"/>
          <w:color w:val="auto"/>
        </w:rPr>
      </w:pPr>
    </w:p>
    <w:p>
      <w:pPr>
        <w:ind w:left="1140" w:right="500" w:hanging="565"/>
        <w:spacing w:after="0" w:line="290"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70" w:lineRule="exact"/>
        <w:rPr>
          <w:sz w:val="20"/>
          <w:szCs w:val="20"/>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0" w:lineRule="exact"/>
        <w:rPr>
          <w:rFonts w:ascii="Arial" w:cs="Arial" w:eastAsia="Arial" w:hAnsi="Arial"/>
          <w:sz w:val="17"/>
          <w:szCs w:val="17"/>
          <w:color w:val="auto"/>
        </w:rPr>
      </w:pPr>
    </w:p>
    <w:p>
      <w:pPr>
        <w:ind w:left="1140" w:right="88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such indenture;</w:t>
      </w:r>
    </w:p>
    <w:p>
      <w:pPr>
        <w:jc w:val="both"/>
        <w:ind w:left="1140" w:right="34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9" w:lineRule="exact"/>
        <w:rPr>
          <w:rFonts w:ascii="Arial" w:cs="Arial" w:eastAsia="Arial" w:hAnsi="Arial"/>
          <w:sz w:val="18"/>
          <w:szCs w:val="18"/>
          <w:color w:val="auto"/>
        </w:rPr>
      </w:pPr>
    </w:p>
    <w:p>
      <w:pPr>
        <w:ind w:left="1140" w:right="12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and to make all appropriate changes for such purpose;</w:t>
      </w:r>
    </w:p>
    <w:p>
      <w:pPr>
        <w:ind w:left="1140" w:hanging="565"/>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 w:lineRule="exact"/>
        <w:rPr>
          <w:rFonts w:ascii="Arial" w:cs="Arial" w:eastAsia="Arial" w:hAnsi="Arial"/>
          <w:sz w:val="18"/>
          <w:szCs w:val="18"/>
          <w:color w:val="auto"/>
        </w:rPr>
      </w:pPr>
    </w:p>
    <w:p>
      <w:pPr>
        <w:ind w:left="1140" w:right="120" w:hanging="565"/>
        <w:spacing w:after="0" w:line="29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7" w:lineRule="exact"/>
        <w:rPr>
          <w:sz w:val="20"/>
          <w:szCs w:val="20"/>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3" w:lineRule="exact"/>
        <w:rPr>
          <w:rFonts w:ascii="Arial" w:cs="Arial" w:eastAsia="Arial" w:hAnsi="Arial"/>
          <w:sz w:val="18"/>
          <w:szCs w:val="18"/>
          <w:color w:val="auto"/>
        </w:rPr>
      </w:pPr>
    </w:p>
    <w:p>
      <w:pPr>
        <w:ind w:left="1140" w:right="2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ind w:left="1140" w:right="34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reducing the amount of principal of an original issue discount security or any other note payable upon acceleration of the maturity thereof;</w:t>
      </w:r>
    </w:p>
    <w:p>
      <w:pPr>
        <w:spacing w:after="0" w:line="32" w:lineRule="exact"/>
        <w:rPr>
          <w:rFonts w:ascii="Arial" w:cs="Arial" w:eastAsia="Arial" w:hAnsi="Arial"/>
          <w:sz w:val="16"/>
          <w:szCs w:val="16"/>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9" w:lineRule="exact"/>
        <w:rPr>
          <w:rFonts w:ascii="Arial" w:cs="Arial" w:eastAsia="Arial" w:hAnsi="Arial"/>
          <w:sz w:val="18"/>
          <w:szCs w:val="18"/>
          <w:color w:val="auto"/>
        </w:rPr>
      </w:pPr>
    </w:p>
    <w:p>
      <w:pPr>
        <w:ind w:left="1140" w:right="26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ind w:left="1140" w:right="28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ind w:left="1140" w:hanging="565"/>
        <w:spacing w:after="0" w:line="250"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changing any of our obligations to maintain an office or agency in the places and for the purposes required by the indentures; or</w:t>
      </w:r>
    </w:p>
    <w:p>
      <w:pPr>
        <w:spacing w:after="0" w:line="20" w:lineRule="exact"/>
        <w:rPr>
          <w:rFonts w:ascii="Arial" w:cs="Arial" w:eastAsia="Arial" w:hAnsi="Arial"/>
          <w:sz w:val="17"/>
          <w:szCs w:val="17"/>
          <w:color w:val="auto"/>
        </w:rPr>
      </w:pPr>
    </w:p>
    <w:p>
      <w:pPr>
        <w:ind w:left="1140" w:hanging="565"/>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84" w:lineRule="exact"/>
        <w:rPr>
          <w:sz w:val="20"/>
          <w:szCs w:val="20"/>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9" w:name="page40"/>
    <w:bookmarkEnd w:id="39"/>
    <w:p>
      <w:pPr>
        <w:ind w:right="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1140" w:right="300" w:hanging="565"/>
        <w:spacing w:after="0" w:line="255"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1140" w:hanging="565"/>
        <w:spacing w:after="0" w:line="260"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0" w:name="page41"/>
    <w:bookmarkEnd w:id="40"/>
    <w:p>
      <w:pPr>
        <w:ind w:right="3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Debt Securities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8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of June 21, 2019,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84" w:lineRule="exact"/>
        <w:rPr>
          <w:sz w:val="20"/>
          <w:szCs w:val="20"/>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preferred stock or common stock will be separately transferable;</w:t>
      </w:r>
    </w:p>
    <w:p>
      <w:pPr>
        <w:spacing w:after="0" w:line="20" w:lineRule="exact"/>
        <w:rPr>
          <w:rFonts w:ascii="Arial" w:cs="Arial" w:eastAsia="Arial" w:hAnsi="Arial"/>
          <w:sz w:val="17"/>
          <w:szCs w:val="17"/>
          <w:color w:val="auto"/>
        </w:rPr>
      </w:pPr>
    </w:p>
    <w:p>
      <w:pPr>
        <w:ind w:left="1140" w:hanging="56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2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46" w:lineRule="exact"/>
        <w:rPr>
          <w:sz w:val="20"/>
          <w:szCs w:val="20"/>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9" w:lineRule="exact"/>
        <w:rPr>
          <w:rFonts w:ascii="Arial" w:cs="Arial" w:eastAsia="Arial" w:hAnsi="Arial"/>
          <w:sz w:val="18"/>
          <w:szCs w:val="18"/>
          <w:color w:val="auto"/>
        </w:rPr>
      </w:pPr>
    </w:p>
    <w:p>
      <w:pPr>
        <w:ind w:left="1140" w:right="620" w:hanging="565"/>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ind w:left="1140" w:right="60" w:hanging="565"/>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9" w:lineRule="exact"/>
        <w:rPr>
          <w:rFonts w:ascii="Arial" w:cs="Arial" w:eastAsia="Arial" w:hAnsi="Arial"/>
          <w:sz w:val="18"/>
          <w:szCs w:val="18"/>
          <w:color w:val="auto"/>
        </w:rPr>
      </w:pPr>
    </w:p>
    <w:p>
      <w:pPr>
        <w:ind w:left="1140" w:right="200" w:hanging="565"/>
        <w:spacing w:after="0" w:line="250"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or adjustments in the exercise price of the debt warrants;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exercise of the debt warrants;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warrants and terms, procedures and limitations relating to the exercise of the debt warrants.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 WE MAY OFFER</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1140" w:right="360" w:hanging="565"/>
        <w:spacing w:after="0" w:line="258"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offered securities from time to time.</w:t>
      </w:r>
    </w:p>
    <w:p>
      <w:pPr>
        <w:spacing w:after="0" w:line="225" w:lineRule="exact"/>
        <w:rPr>
          <w:sz w:val="20"/>
          <w:szCs w:val="20"/>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170" w:lineRule="exact"/>
        <w:rPr>
          <w:sz w:val="20"/>
          <w:szCs w:val="20"/>
          <w:color w:val="auto"/>
        </w:rPr>
      </w:pPr>
    </w:p>
    <w:p>
      <w:pPr>
        <w:ind w:left="1140" w:hanging="565"/>
        <w:spacing w:after="0" w:line="258"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1" w:lineRule="exact"/>
        <w:rPr>
          <w:rFonts w:ascii="Arial" w:cs="Arial" w:eastAsia="Arial" w:hAnsi="Arial"/>
          <w:sz w:val="18"/>
          <w:szCs w:val="18"/>
          <w:color w:val="auto"/>
        </w:rPr>
      </w:pPr>
    </w:p>
    <w:p>
      <w:pPr>
        <w:ind w:left="1140" w:right="380" w:hanging="565"/>
        <w:spacing w:after="0" w:line="250"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225" w:lineRule="exact"/>
        <w:rPr>
          <w:sz w:val="20"/>
          <w:szCs w:val="20"/>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23"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5" w:name="page46"/>
    <w:bookmarkEnd w:id="45"/>
    <w:p>
      <w:pPr>
        <w:ind w:right="12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6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49" w:lineRule="exact"/>
        <w:rPr>
          <w:sz w:val="20"/>
          <w:szCs w:val="20"/>
          <w:color w:val="auto"/>
        </w:rPr>
      </w:pPr>
    </w:p>
    <w:p>
      <w:pPr>
        <w:ind w:left="1140" w:right="160" w:hanging="565"/>
        <w:spacing w:after="0" w:line="25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2018, as filed with the SEC on March 18, 2019 and as amended on April 10, 2019;</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2019, as filed with the SEC on May 13, 2019;</w:t>
      </w:r>
    </w:p>
    <w:p>
      <w:pPr>
        <w:spacing w:after="0" w:line="9" w:lineRule="exact"/>
        <w:rPr>
          <w:rFonts w:ascii="Arial" w:cs="Arial" w:eastAsia="Arial" w:hAnsi="Arial"/>
          <w:sz w:val="18"/>
          <w:szCs w:val="18"/>
          <w:color w:val="auto"/>
        </w:rPr>
      </w:pPr>
    </w:p>
    <w:p>
      <w:pPr>
        <w:ind w:left="1140" w:right="180" w:hanging="565"/>
        <w:spacing w:after="0" w:line="265"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Current Reports on Form 8-K, as filed with the SEC on March 19, 2019, May 13, 2019, May 20, 2019, June 14, 2019, June 19, 2019 and June 20, 2019 (in each case, except for information contained therein which is furnished rather than filed); and</w:t>
      </w:r>
    </w:p>
    <w:p>
      <w:pPr>
        <w:ind w:left="1140" w:right="120" w:hanging="565"/>
        <w:spacing w:after="0" w:line="255"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registration statement on Form 8-A registering our common stock under Section 12 of the Exchange Act, which was filed with the SEC on May 17, 2013, including any amendments or reports filed for purposes of updating such description, including the Form 8-K12B filed on June 14, 2019.</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4,117,650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151765</wp:posOffset>
            </wp:positionV>
            <wp:extent cx="2040255" cy="677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402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Guggenheim Securities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Baird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221" w:lineRule="exact"/>
        <w:rPr>
          <w:sz w:val="20"/>
          <w:szCs w:val="20"/>
          <w:color w:val="auto"/>
        </w:rPr>
      </w:pPr>
    </w:p>
    <w:p>
      <w:pPr>
        <w:ind w:left="2500"/>
        <w:spacing w:after="0"/>
        <w:tabs>
          <w:tab w:leader="none" w:pos="4760" w:val="left"/>
        </w:tabs>
        <w:rPr>
          <w:sz w:val="20"/>
          <w:szCs w:val="20"/>
          <w:color w:val="auto"/>
        </w:rPr>
      </w:pPr>
      <w:r>
        <w:rPr>
          <w:rFonts w:ascii="Arial" w:cs="Arial" w:eastAsia="Arial" w:hAnsi="Arial"/>
          <w:sz w:val="18"/>
          <w:szCs w:val="18"/>
          <w:b w:val="1"/>
          <w:bCs w:val="1"/>
          <w:color w:val="auto"/>
        </w:rPr>
        <w:t>Roth Capital Partners</w:t>
      </w:r>
      <w:r>
        <w:rPr>
          <w:sz w:val="20"/>
          <w:szCs w:val="20"/>
          <w:color w:val="auto"/>
        </w:rPr>
        <w:tab/>
      </w:r>
      <w:r>
        <w:rPr>
          <w:rFonts w:ascii="Arial" w:cs="Arial" w:eastAsia="Arial" w:hAnsi="Arial"/>
          <w:sz w:val="16"/>
          <w:szCs w:val="16"/>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16, 2020</w:t>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A"/>
      <w:numFmt w:val="bullet"/>
      <w:start w:val="1"/>
    </w:lvl>
  </w:abstractNum>
  <w:abstractNum w:abstractNumId="9">
    <w:nsid w:val="436C6125"/>
    <w:multiLevelType w:val="hybridMultilevel"/>
    <w:lvl w:ilvl="0">
      <w:lvlJc w:val="left"/>
      <w:lvlText w:val="%1."/>
      <w:numFmt w:val="upperLetter"/>
      <w:start w:val="2"/>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2020-04-17T15:05:04Z</dcterms:created>
  <dcterms:modified xsi:type="dcterms:W3CDTF">2020-04-17T15:05:04Z</dcterms:modified>
</cp:coreProperties>
</file>