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Date of Report (Date of earliest event reported): November 16, 2021</w:t>
      </w:r>
    </w:p>
    <w:p>
      <w:pPr>
        <w:spacing w:after="0" w:line="135"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ARCTURUS THERAPEUTICS HOLDINGS INC.</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36" w:lineRule="exact"/>
        <w:rPr>
          <w:sz w:val="24"/>
          <w:szCs w:val="24"/>
          <w:color w:val="auto"/>
        </w:rPr>
      </w:pPr>
    </w:p>
    <w:tbl>
      <w:tblPr>
        <w:tblLayout w:type="fixed"/>
        <w:tblInd w:w="1128" w:type="dxa"/>
        <w:tblCellMar>
          <w:top w:w="0" w:type="dxa"/>
          <w:left w:w="0" w:type="dxa"/>
          <w:bottom w:w="0" w:type="dxa"/>
          <w:right w:w="0" w:type="dxa"/>
        </w:tblCellMar>
      </w:tblPr>
      <w:tr>
        <w:trPr>
          <w:trHeight w:val="144"/>
        </w:trPr>
        <w:tc>
          <w:tcPr>
            <w:tcW w:w="2080" w:type="dxa"/>
            <w:vAlign w:val="bottom"/>
          </w:tcPr>
          <w:p>
            <w:pPr>
              <w:jc w:val="center"/>
              <w:ind w:right="660"/>
              <w:spacing w:after="0"/>
              <w:rPr>
                <w:sz w:val="20"/>
                <w:szCs w:val="20"/>
                <w:color w:val="auto"/>
              </w:rPr>
            </w:pPr>
            <w:r>
              <w:rPr>
                <w:rFonts w:ascii="Arial" w:cs="Arial" w:eastAsia="Arial" w:hAnsi="Arial"/>
                <w:sz w:val="12"/>
                <w:szCs w:val="12"/>
                <w:b w:val="1"/>
                <w:bCs w:val="1"/>
                <w:color w:val="auto"/>
                <w:w w:val="91"/>
              </w:rPr>
              <w:t>Delaware</w:t>
            </w:r>
          </w:p>
        </w:tc>
        <w:tc>
          <w:tcPr>
            <w:tcW w:w="5000" w:type="dxa"/>
            <w:vAlign w:val="bottom"/>
          </w:tcPr>
          <w:p>
            <w:pPr>
              <w:jc w:val="center"/>
              <w:ind w:right="20"/>
              <w:spacing w:after="0"/>
              <w:rPr>
                <w:sz w:val="20"/>
                <w:szCs w:val="20"/>
                <w:color w:val="auto"/>
              </w:rPr>
            </w:pPr>
            <w:r>
              <w:rPr>
                <w:rFonts w:ascii="Arial" w:cs="Arial" w:eastAsia="Arial" w:hAnsi="Arial"/>
                <w:sz w:val="12"/>
                <w:szCs w:val="12"/>
                <w:b w:val="1"/>
                <w:bCs w:val="1"/>
                <w:color w:val="auto"/>
                <w:w w:val="90"/>
              </w:rPr>
              <w:t>001-38942</w:t>
            </w:r>
          </w:p>
        </w:tc>
        <w:tc>
          <w:tcPr>
            <w:tcW w:w="1760" w:type="dxa"/>
            <w:vAlign w:val="bottom"/>
          </w:tcPr>
          <w:p>
            <w:pPr>
              <w:jc w:val="center"/>
              <w:ind w:left="760"/>
              <w:spacing w:after="0"/>
              <w:rPr>
                <w:sz w:val="20"/>
                <w:szCs w:val="20"/>
                <w:color w:val="auto"/>
              </w:rPr>
            </w:pPr>
            <w:r>
              <w:rPr>
                <w:rFonts w:ascii="Arial" w:cs="Arial" w:eastAsia="Arial" w:hAnsi="Arial"/>
                <w:sz w:val="12"/>
                <w:szCs w:val="12"/>
                <w:b w:val="1"/>
                <w:bCs w:val="1"/>
                <w:color w:val="auto"/>
                <w:w w:val="90"/>
              </w:rPr>
              <w:t>32-0595345</w:t>
            </w:r>
          </w:p>
        </w:tc>
      </w:tr>
      <w:tr>
        <w:trPr>
          <w:trHeight w:val="144"/>
        </w:trPr>
        <w:tc>
          <w:tcPr>
            <w:tcW w:w="2080" w:type="dxa"/>
            <w:vAlign w:val="bottom"/>
          </w:tcPr>
          <w:p>
            <w:pPr>
              <w:jc w:val="center"/>
              <w:ind w:right="660"/>
              <w:spacing w:after="0"/>
              <w:rPr>
                <w:sz w:val="20"/>
                <w:szCs w:val="20"/>
                <w:color w:val="auto"/>
              </w:rPr>
            </w:pPr>
            <w:r>
              <w:rPr>
                <w:rFonts w:ascii="Arial" w:cs="Arial" w:eastAsia="Arial" w:hAnsi="Arial"/>
                <w:sz w:val="12"/>
                <w:szCs w:val="12"/>
                <w:b w:val="1"/>
                <w:bCs w:val="1"/>
                <w:color w:val="auto"/>
                <w:w w:val="90"/>
              </w:rPr>
              <w:t>(State or other jurisdiction</w:t>
            </w:r>
          </w:p>
        </w:tc>
        <w:tc>
          <w:tcPr>
            <w:tcW w:w="5000" w:type="dxa"/>
            <w:vAlign w:val="bottom"/>
          </w:tcPr>
          <w:p>
            <w:pPr>
              <w:jc w:val="center"/>
              <w:ind w:right="40"/>
              <w:spacing w:after="0"/>
              <w:rPr>
                <w:sz w:val="20"/>
                <w:szCs w:val="20"/>
                <w:color w:val="auto"/>
              </w:rPr>
            </w:pPr>
            <w:r>
              <w:rPr>
                <w:rFonts w:ascii="Arial" w:cs="Arial" w:eastAsia="Arial" w:hAnsi="Arial"/>
                <w:sz w:val="12"/>
                <w:szCs w:val="12"/>
                <w:b w:val="1"/>
                <w:bCs w:val="1"/>
                <w:color w:val="auto"/>
                <w:w w:val="86"/>
              </w:rPr>
              <w:t>(Commission</w:t>
            </w:r>
          </w:p>
        </w:tc>
        <w:tc>
          <w:tcPr>
            <w:tcW w:w="1760" w:type="dxa"/>
            <w:vAlign w:val="bottom"/>
          </w:tcPr>
          <w:p>
            <w:pPr>
              <w:jc w:val="center"/>
              <w:ind w:left="760"/>
              <w:spacing w:after="0"/>
              <w:rPr>
                <w:sz w:val="20"/>
                <w:szCs w:val="20"/>
                <w:color w:val="auto"/>
              </w:rPr>
            </w:pPr>
            <w:r>
              <w:rPr>
                <w:rFonts w:ascii="Arial" w:cs="Arial" w:eastAsia="Arial" w:hAnsi="Arial"/>
                <w:sz w:val="12"/>
                <w:szCs w:val="12"/>
                <w:b w:val="1"/>
                <w:bCs w:val="1"/>
                <w:color w:val="auto"/>
                <w:w w:val="93"/>
              </w:rPr>
              <w:t>(I.R.S. Employer</w:t>
            </w:r>
          </w:p>
        </w:tc>
      </w:tr>
      <w:tr>
        <w:trPr>
          <w:trHeight w:val="157"/>
        </w:trPr>
        <w:tc>
          <w:tcPr>
            <w:tcW w:w="2080" w:type="dxa"/>
            <w:vAlign w:val="bottom"/>
          </w:tcPr>
          <w:p>
            <w:pPr>
              <w:jc w:val="center"/>
              <w:ind w:right="660"/>
              <w:spacing w:after="0"/>
              <w:rPr>
                <w:sz w:val="20"/>
                <w:szCs w:val="20"/>
                <w:color w:val="auto"/>
              </w:rPr>
            </w:pPr>
            <w:r>
              <w:rPr>
                <w:rFonts w:ascii="Arial" w:cs="Arial" w:eastAsia="Arial" w:hAnsi="Arial"/>
                <w:sz w:val="12"/>
                <w:szCs w:val="12"/>
                <w:b w:val="1"/>
                <w:bCs w:val="1"/>
                <w:color w:val="auto"/>
                <w:w w:val="91"/>
              </w:rPr>
              <w:t>of incorporation)</w:t>
            </w:r>
          </w:p>
        </w:tc>
        <w:tc>
          <w:tcPr>
            <w:tcW w:w="5000" w:type="dxa"/>
            <w:vAlign w:val="bottom"/>
          </w:tcPr>
          <w:p>
            <w:pPr>
              <w:jc w:val="center"/>
              <w:ind w:right="40"/>
              <w:spacing w:after="0"/>
              <w:rPr>
                <w:sz w:val="20"/>
                <w:szCs w:val="20"/>
                <w:color w:val="auto"/>
              </w:rPr>
            </w:pPr>
            <w:r>
              <w:rPr>
                <w:rFonts w:ascii="Arial" w:cs="Arial" w:eastAsia="Arial" w:hAnsi="Arial"/>
                <w:sz w:val="12"/>
                <w:szCs w:val="12"/>
                <w:b w:val="1"/>
                <w:bCs w:val="1"/>
                <w:color w:val="auto"/>
                <w:w w:val="95"/>
              </w:rPr>
              <w:t>File Number)</w:t>
            </w:r>
          </w:p>
        </w:tc>
        <w:tc>
          <w:tcPr>
            <w:tcW w:w="1760" w:type="dxa"/>
            <w:vAlign w:val="bottom"/>
          </w:tcPr>
          <w:p>
            <w:pPr>
              <w:jc w:val="center"/>
              <w:ind w:left="760"/>
              <w:spacing w:after="0"/>
              <w:rPr>
                <w:sz w:val="20"/>
                <w:szCs w:val="20"/>
                <w:color w:val="auto"/>
              </w:rPr>
            </w:pPr>
            <w:r>
              <w:rPr>
                <w:rFonts w:ascii="Arial" w:cs="Arial" w:eastAsia="Arial" w:hAnsi="Arial"/>
                <w:sz w:val="12"/>
                <w:szCs w:val="12"/>
                <w:b w:val="1"/>
                <w:bCs w:val="1"/>
                <w:color w:val="auto"/>
                <w:w w:val="92"/>
              </w:rPr>
              <w:t>Identification No.)</w:t>
            </w:r>
          </w:p>
        </w:tc>
      </w:tr>
      <w:tr>
        <w:trPr>
          <w:trHeight w:val="275"/>
        </w:trPr>
        <w:tc>
          <w:tcPr>
            <w:tcW w:w="2080" w:type="dxa"/>
            <w:vAlign w:val="bottom"/>
          </w:tcPr>
          <w:p>
            <w:pPr>
              <w:spacing w:after="0"/>
              <w:rPr>
                <w:sz w:val="23"/>
                <w:szCs w:val="23"/>
                <w:color w:val="auto"/>
              </w:rPr>
            </w:pPr>
          </w:p>
        </w:tc>
        <w:tc>
          <w:tcPr>
            <w:tcW w:w="5000" w:type="dxa"/>
            <w:vAlign w:val="bottom"/>
          </w:tcPr>
          <w:p>
            <w:pPr>
              <w:jc w:val="center"/>
              <w:ind w:right="40"/>
              <w:spacing w:after="0"/>
              <w:rPr>
                <w:sz w:val="20"/>
                <w:szCs w:val="20"/>
                <w:color w:val="auto"/>
              </w:rPr>
            </w:pPr>
            <w:r>
              <w:rPr>
                <w:rFonts w:ascii="Arial" w:cs="Arial" w:eastAsia="Arial" w:hAnsi="Arial"/>
                <w:sz w:val="12"/>
                <w:szCs w:val="12"/>
                <w:b w:val="1"/>
                <w:bCs w:val="1"/>
                <w:color w:val="auto"/>
                <w:w w:val="89"/>
              </w:rPr>
              <w:t>10628 Science Center Drive, Suite 250</w:t>
            </w:r>
          </w:p>
        </w:tc>
        <w:tc>
          <w:tcPr>
            <w:tcW w:w="1760" w:type="dxa"/>
            <w:vAlign w:val="bottom"/>
          </w:tcPr>
          <w:p>
            <w:pPr>
              <w:spacing w:after="0"/>
              <w:rPr>
                <w:sz w:val="23"/>
                <w:szCs w:val="23"/>
                <w:color w:val="auto"/>
              </w:rPr>
            </w:pPr>
          </w:p>
        </w:tc>
      </w:tr>
      <w:tr>
        <w:trPr>
          <w:trHeight w:val="144"/>
        </w:trPr>
        <w:tc>
          <w:tcPr>
            <w:tcW w:w="2080" w:type="dxa"/>
            <w:vAlign w:val="bottom"/>
          </w:tcPr>
          <w:p>
            <w:pPr>
              <w:spacing w:after="0"/>
              <w:rPr>
                <w:sz w:val="12"/>
                <w:szCs w:val="12"/>
                <w:color w:val="auto"/>
              </w:rPr>
            </w:pPr>
          </w:p>
        </w:tc>
        <w:tc>
          <w:tcPr>
            <w:tcW w:w="5000" w:type="dxa"/>
            <w:vAlign w:val="bottom"/>
          </w:tcPr>
          <w:p>
            <w:pPr>
              <w:jc w:val="center"/>
              <w:ind w:right="60"/>
              <w:spacing w:after="0"/>
              <w:rPr>
                <w:sz w:val="20"/>
                <w:szCs w:val="20"/>
                <w:color w:val="auto"/>
              </w:rPr>
            </w:pPr>
            <w:r>
              <w:rPr>
                <w:rFonts w:ascii="Arial" w:cs="Arial" w:eastAsia="Arial" w:hAnsi="Arial"/>
                <w:sz w:val="12"/>
                <w:szCs w:val="12"/>
                <w:b w:val="1"/>
                <w:bCs w:val="1"/>
                <w:color w:val="auto"/>
                <w:w w:val="91"/>
              </w:rPr>
              <w:t>San Diego, California 92121</w:t>
            </w:r>
          </w:p>
        </w:tc>
        <w:tc>
          <w:tcPr>
            <w:tcW w:w="1760" w:type="dxa"/>
            <w:vAlign w:val="bottom"/>
          </w:tcPr>
          <w:p>
            <w:pPr>
              <w:spacing w:after="0"/>
              <w:rPr>
                <w:sz w:val="12"/>
                <w:szCs w:val="12"/>
                <w:color w:val="auto"/>
              </w:rPr>
            </w:pPr>
          </w:p>
        </w:tc>
      </w:tr>
      <w:tr>
        <w:trPr>
          <w:trHeight w:val="157"/>
        </w:trPr>
        <w:tc>
          <w:tcPr>
            <w:tcW w:w="2080" w:type="dxa"/>
            <w:vAlign w:val="bottom"/>
          </w:tcPr>
          <w:p>
            <w:pPr>
              <w:spacing w:after="0"/>
              <w:rPr>
                <w:sz w:val="13"/>
                <w:szCs w:val="13"/>
                <w:color w:val="auto"/>
              </w:rPr>
            </w:pPr>
          </w:p>
        </w:tc>
        <w:tc>
          <w:tcPr>
            <w:tcW w:w="5000" w:type="dxa"/>
            <w:vAlign w:val="bottom"/>
          </w:tcPr>
          <w:p>
            <w:pPr>
              <w:jc w:val="center"/>
              <w:ind w:right="40"/>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1760" w:type="dxa"/>
            <w:vAlign w:val="bottom"/>
          </w:tcPr>
          <w:p>
            <w:pPr>
              <w:spacing w:after="0"/>
              <w:rPr>
                <w:sz w:val="13"/>
                <w:szCs w:val="13"/>
                <w:color w:val="auto"/>
              </w:rPr>
            </w:pPr>
          </w:p>
        </w:tc>
      </w:tr>
      <w:tr>
        <w:trPr>
          <w:trHeight w:val="288"/>
        </w:trPr>
        <w:tc>
          <w:tcPr>
            <w:tcW w:w="2080" w:type="dxa"/>
            <w:vAlign w:val="bottom"/>
          </w:tcPr>
          <w:p>
            <w:pPr>
              <w:spacing w:after="0"/>
              <w:rPr>
                <w:sz w:val="24"/>
                <w:szCs w:val="24"/>
                <w:color w:val="auto"/>
              </w:rPr>
            </w:pPr>
          </w:p>
        </w:tc>
        <w:tc>
          <w:tcPr>
            <w:tcW w:w="500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Registrant’s telephone number, including area code: (858) 900-2660</w:t>
            </w:r>
          </w:p>
        </w:tc>
        <w:tc>
          <w:tcPr>
            <w:tcW w:w="1760" w:type="dxa"/>
            <w:vAlign w:val="bottom"/>
          </w:tcPr>
          <w:p>
            <w:pPr>
              <w:spacing w:after="0"/>
              <w:rPr>
                <w:sz w:val="24"/>
                <w:szCs w:val="24"/>
                <w:color w:val="auto"/>
              </w:rPr>
            </w:pPr>
          </w:p>
        </w:tc>
      </w:tr>
      <w:tr>
        <w:trPr>
          <w:trHeight w:val="288"/>
        </w:trPr>
        <w:tc>
          <w:tcPr>
            <w:tcW w:w="2080" w:type="dxa"/>
            <w:vAlign w:val="bottom"/>
          </w:tcPr>
          <w:p>
            <w:pPr>
              <w:spacing w:after="0"/>
              <w:rPr>
                <w:sz w:val="24"/>
                <w:szCs w:val="24"/>
                <w:color w:val="auto"/>
              </w:rPr>
            </w:pPr>
          </w:p>
        </w:tc>
        <w:tc>
          <w:tcPr>
            <w:tcW w:w="500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(Former name or former address, if changed since last report)</w:t>
            </w:r>
          </w:p>
        </w:tc>
        <w:tc>
          <w:tcPr>
            <w:tcW w:w="1760" w:type="dxa"/>
            <w:vAlign w:val="bottom"/>
          </w:tcPr>
          <w:p>
            <w:pPr>
              <w:spacing w:after="0"/>
              <w:rPr>
                <w:sz w:val="24"/>
                <w:szCs w:val="24"/>
                <w:color w:val="auto"/>
              </w:rPr>
            </w:pPr>
          </w:p>
        </w:tc>
      </w:tr>
    </w:tbl>
    <w:p>
      <w:pPr>
        <w:spacing w:after="0" w:line="135"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0"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418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275"/>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Trading</w:t>
            </w:r>
          </w:p>
        </w:tc>
        <w:tc>
          <w:tcPr>
            <w:tcW w:w="3500" w:type="dxa"/>
            <w:vAlign w:val="bottom"/>
          </w:tcPr>
          <w:p>
            <w:pPr>
              <w:jc w:val="center"/>
              <w:spacing w:after="0"/>
              <w:rPr>
                <w:sz w:val="20"/>
                <w:szCs w:val="20"/>
                <w:color w:val="auto"/>
              </w:rPr>
            </w:pPr>
            <w:r>
              <w:rPr>
                <w:rFonts w:ascii="Arial" w:cs="Arial" w:eastAsia="Arial" w:hAnsi="Arial"/>
                <w:sz w:val="12"/>
                <w:szCs w:val="12"/>
                <w:b w:val="1"/>
                <w:bCs w:val="1"/>
                <w:color w:val="auto"/>
                <w:w w:val="87"/>
              </w:rPr>
              <w:t>Name of each exchange</w:t>
            </w:r>
          </w:p>
        </w:tc>
      </w:tr>
      <w:tr>
        <w:trPr>
          <w:trHeight w:val="157"/>
        </w:trPr>
        <w:tc>
          <w:tcPr>
            <w:tcW w:w="41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Symbol(s)</w:t>
            </w:r>
          </w:p>
        </w:tc>
        <w:tc>
          <w:tcPr>
            <w:tcW w:w="3500" w:type="dxa"/>
            <w:vAlign w:val="bottom"/>
          </w:tcPr>
          <w:p>
            <w:pPr>
              <w:jc w:val="center"/>
              <w:spacing w:after="0"/>
              <w:rPr>
                <w:sz w:val="20"/>
                <w:szCs w:val="20"/>
                <w:color w:val="auto"/>
              </w:rPr>
            </w:pPr>
            <w:r>
              <w:rPr>
                <w:rFonts w:ascii="Arial" w:cs="Arial" w:eastAsia="Arial" w:hAnsi="Arial"/>
                <w:sz w:val="12"/>
                <w:szCs w:val="12"/>
                <w:b w:val="1"/>
                <w:bCs w:val="1"/>
                <w:color w:val="auto"/>
                <w:w w:val="88"/>
              </w:rPr>
              <w:t>on which registered</w:t>
            </w:r>
          </w:p>
        </w:tc>
      </w:tr>
      <w:tr>
        <w:trPr>
          <w:trHeight w:val="146"/>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Common stock, par value $0.001 per share</w:t>
            </w:r>
          </w:p>
        </w:tc>
        <w:tc>
          <w:tcPr>
            <w:tcW w:w="120" w:type="dxa"/>
            <w:vAlign w:val="bottom"/>
          </w:tcPr>
          <w:p>
            <w:pPr>
              <w:spacing w:after="0"/>
              <w:rPr>
                <w:sz w:val="12"/>
                <w:szCs w:val="12"/>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ARCT</w:t>
            </w:r>
          </w:p>
        </w:tc>
        <w:tc>
          <w:tcPr>
            <w:tcW w:w="120" w:type="dxa"/>
            <w:vAlign w:val="bottom"/>
          </w:tcPr>
          <w:p>
            <w:pPr>
              <w:spacing w:after="0"/>
              <w:rPr>
                <w:sz w:val="12"/>
                <w:szCs w:val="12"/>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The Nasdaq Stock Market LLC</w:t>
            </w:r>
          </w:p>
        </w:tc>
      </w:tr>
    </w:tbl>
    <w:p>
      <w:pPr>
        <w:spacing w:after="0" w:line="122" w:lineRule="exact"/>
        <w:rPr>
          <w:sz w:val="24"/>
          <w:szCs w:val="24"/>
          <w:color w:val="auto"/>
        </w:rPr>
      </w:pPr>
    </w:p>
    <w:p>
      <w:pPr>
        <w:ind w:left="8"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2" w:lineRule="exact"/>
        <w:rPr>
          <w:sz w:val="24"/>
          <w:szCs w:val="24"/>
          <w:color w:val="auto"/>
        </w:rPr>
      </w:pPr>
    </w:p>
    <w:p>
      <w:pPr>
        <w:ind w:left="8"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61"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8.01. Other Events.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Presentation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On November 16, 2021, the Company posted an updated corporate presentation on its website. A copy of the presentation is filed herewith as Exhibit 99.1 and is incorporated herein by reference.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Cautionary Note Regarding Forward-Looking Statements</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The presentation contains forward-looking statements. These statements relate to future events and involve known and unknown risks, uncertainties and other factors which may cause our actual results, performance or achievements to be materially different from any future performances or achievements expressed or implied by the forward-looking statements. Each of these statements is based only on current information, assumptions and expectations that are inherently subject to change and involve a number of risks and uncertainties. Forward-looking statements include, but are not limited to, statements about: our strategy, future operations, collaborations, the likelihood of success (including safety and efficacy) and promise of our pipeline, the planned initiation, design or completion of clinical trials, anticipated sponsorship and/or funding of clinical trials of our candidates, the likelihood that we will obtain clearance from regulatory authorities to proceed with planned clinical trials, the ability to enroll subjects in clinical trials, the likelihood that preclinical or clinical data will be predictive of future clinical results, the likelihood that clinical data will be sufficient for regulatory approval or completed in time to submit an application for regulatory approval within a particular timeframe, the anticipated timing for regulatory submissions, the timing of, and expectations for, any results of any preclinical or clinical studies or regulatory approvals, the potential administration regimen or dosage, or ability to administer multiple doses of, any of our drug candidates, our manufacturing methods and technologies (including purification, lyophilization and stability of our products), the likelihood that a patent will issue from any patent application, our current cash position and adequacy of our capital to support future operations, and any statements other than statements of historical fact.</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In some cases, you can identify forward-looking statements by terms such as “may,” “will,” “should,” “could,” “would,” “expects,” “plans,” “anticipates,” “believes,” “estimates,” “projects,” “predicts,” “potential” and similar expressions (including the negative thereof) intended to identify forward looking statements. Arcturus may not actually achieve the plans, carry out the intentions or meet the expectations or projections disclosed in any forward-looking statements such as the foregoing, and you should not place undue reliance on such forward-looking statements. The forward-looking statements contained or implied in the presentation are subject to other risks and uncertainties, including those discussed under the heading “Risk Factors” in Arcturus’ most recent Annual Report on Form 10-K with the SEC and in other filings that Arcturus makes with the SEC. Except as otherwise required by law, we disclaim any intention or obligation to update or revise any forward-looking statements, which speak only as of the date they were made, whether as a result of new information, future events or circumstances or otherwise.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50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Exhibit No.</w:t>
            </w:r>
          </w:p>
        </w:tc>
        <w:tc>
          <w:tcPr>
            <w:tcW w:w="880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2"/>
                <w:szCs w:val="12"/>
                <w:b w:val="1"/>
                <w:bCs w:val="1"/>
                <w:color w:val="auto"/>
              </w:rPr>
              <w:t>Description of Exhibit</w:t>
            </w:r>
          </w:p>
        </w:tc>
      </w:tr>
      <w:tr>
        <w:trPr>
          <w:trHeight w:val="106"/>
        </w:trPr>
        <w:tc>
          <w:tcPr>
            <w:tcW w:w="2500" w:type="dxa"/>
            <w:vAlign w:val="bottom"/>
            <w:tcBorders>
              <w:left w:val="single" w:sz="8" w:color="auto"/>
              <w:right w:val="single" w:sz="8" w:color="auto"/>
            </w:tcBorders>
          </w:tcPr>
          <w:p>
            <w:pPr>
              <w:spacing w:after="0" w:line="106" w:lineRule="exact"/>
              <w:rPr>
                <w:sz w:val="20"/>
                <w:szCs w:val="20"/>
                <w:color w:val="auto"/>
              </w:rPr>
            </w:pPr>
            <w:r>
              <w:rPr>
                <w:rFonts w:ascii="Arial" w:cs="Arial" w:eastAsia="Arial" w:hAnsi="Arial"/>
                <w:sz w:val="12"/>
                <w:szCs w:val="12"/>
                <w:color w:val="auto"/>
              </w:rPr>
              <w:t>99.1</w:t>
            </w:r>
          </w:p>
        </w:tc>
        <w:tc>
          <w:tcPr>
            <w:tcW w:w="8800" w:type="dxa"/>
            <w:vAlign w:val="bottom"/>
            <w:tcBorders>
              <w:right w:val="single" w:sz="8" w:color="auto"/>
            </w:tcBorders>
            <w:gridSpan w:val="2"/>
          </w:tcPr>
          <w:p>
            <w:pPr>
              <w:spacing w:after="0" w:line="106" w:lineRule="exact"/>
              <w:rPr>
                <w:rFonts w:ascii="Arial" w:cs="Arial" w:eastAsia="Arial" w:hAnsi="Arial"/>
                <w:sz w:val="12"/>
                <w:szCs w:val="12"/>
                <w:color w:val="0000EE"/>
              </w:rPr>
            </w:pPr>
            <w:hyperlink w:anchor="page4">
              <w:r>
                <w:rPr>
                  <w:rFonts w:ascii="Arial" w:cs="Arial" w:eastAsia="Arial" w:hAnsi="Arial"/>
                  <w:sz w:val="12"/>
                  <w:szCs w:val="12"/>
                  <w:color w:val="0000EE"/>
                </w:rPr>
                <w:t>Presentation dated November 16, 2021</w:t>
              </w:r>
            </w:hyperlink>
          </w:p>
        </w:tc>
      </w:tr>
      <w:tr>
        <w:trPr>
          <w:trHeight w:val="20"/>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60" w:type="dxa"/>
            <w:vAlign w:val="bottom"/>
            <w:tcBorders>
              <w:top w:val="single" w:sz="8" w:color="0000EE"/>
              <w:bottom w:val="single" w:sz="8" w:color="auto"/>
            </w:tcBorders>
          </w:tcPr>
          <w:p>
            <w:pPr>
              <w:spacing w:after="0" w:line="20" w:lineRule="exact"/>
              <w:rPr>
                <w:sz w:val="1"/>
                <w:szCs w:val="1"/>
                <w:color w:val="auto"/>
              </w:rPr>
            </w:pPr>
          </w:p>
        </w:tc>
        <w:tc>
          <w:tcPr>
            <w:tcW w:w="6940" w:type="dxa"/>
            <w:vAlign w:val="bottom"/>
            <w:tcBorders>
              <w:bottom w:val="single" w:sz="8" w:color="auto"/>
              <w:right w:val="single" w:sz="8" w:color="auto"/>
            </w:tcBorders>
          </w:tcPr>
          <w:p>
            <w:pPr>
              <w:spacing w:after="0" w:line="20" w:lineRule="exact"/>
              <w:rPr>
                <w:sz w:val="1"/>
                <w:szCs w:val="1"/>
                <w:color w:val="auto"/>
              </w:rPr>
            </w:pPr>
          </w:p>
        </w:tc>
      </w:tr>
      <w:tr>
        <w:trPr>
          <w:trHeight w:val="120"/>
        </w:trPr>
        <w:tc>
          <w:tcPr>
            <w:tcW w:w="2500" w:type="dxa"/>
            <w:vAlign w:val="bottom"/>
            <w:tcBorders>
              <w:left w:val="single" w:sz="8" w:color="auto"/>
              <w:bottom w:val="single" w:sz="8" w:color="auto"/>
              <w:right w:val="single" w:sz="8" w:color="auto"/>
            </w:tcBorders>
          </w:tcPr>
          <w:p>
            <w:pPr>
              <w:spacing w:after="0" w:line="120" w:lineRule="exact"/>
              <w:rPr>
                <w:sz w:val="20"/>
                <w:szCs w:val="20"/>
                <w:color w:val="auto"/>
              </w:rPr>
            </w:pPr>
            <w:r>
              <w:rPr>
                <w:rFonts w:ascii="Arial" w:cs="Arial" w:eastAsia="Arial" w:hAnsi="Arial"/>
                <w:sz w:val="12"/>
                <w:szCs w:val="12"/>
                <w:color w:val="auto"/>
              </w:rPr>
              <w:t>104</w:t>
            </w:r>
          </w:p>
        </w:tc>
        <w:tc>
          <w:tcPr>
            <w:tcW w:w="8800" w:type="dxa"/>
            <w:vAlign w:val="bottom"/>
            <w:tcBorders>
              <w:bottom w:val="single" w:sz="8" w:color="auto"/>
              <w:right w:val="single" w:sz="8" w:color="auto"/>
            </w:tcBorders>
            <w:gridSpan w:val="2"/>
          </w:tcPr>
          <w:p>
            <w:pPr>
              <w:spacing w:after="0" w:line="120" w:lineRule="exact"/>
              <w:rPr>
                <w:sz w:val="20"/>
                <w:szCs w:val="20"/>
                <w:color w:val="auto"/>
              </w:rPr>
            </w:pPr>
            <w:r>
              <w:rPr>
                <w:rFonts w:ascii="Arial" w:cs="Arial" w:eastAsia="Arial" w:hAnsi="Arial"/>
                <w:sz w:val="12"/>
                <w:szCs w:val="12"/>
                <w:color w:val="auto"/>
              </w:rPr>
              <w:t>Cover Page to this Current Report on Form 8-K in Inline XBRL</w:t>
            </w:r>
          </w:p>
        </w:tc>
      </w:tr>
      <w:tr>
        <w:trPr>
          <w:trHeight w:val="223"/>
        </w:trPr>
        <w:tc>
          <w:tcPr>
            <w:tcW w:w="25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19"/>
                <w:szCs w:val="19"/>
                <w:color w:val="auto"/>
              </w:rPr>
            </w:pPr>
          </w:p>
        </w:tc>
      </w:tr>
    </w:tbl>
    <w:p>
      <w:pPr>
        <w:sectPr>
          <w:pgSz w:w="11900" w:h="16838" w:orient="portrait"/>
          <w:cols w:equalWidth="0" w:num="1">
            <w:col w:w="11300"/>
          </w:cols>
          <w:pgMar w:left="300" w:top="271"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Arcturus Therapeutics Holdings Inc.</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Date: November 16, 2021</w:t>
      </w:r>
    </w:p>
    <w:p>
      <w:pPr>
        <w:spacing w:after="0" w:line="141" w:lineRule="exact"/>
        <w:rPr>
          <w:sz w:val="20"/>
          <w:szCs w:val="20"/>
          <w:color w:val="auto"/>
        </w:rPr>
      </w:pPr>
    </w:p>
    <w:tbl>
      <w:tblPr>
        <w:tblLayout w:type="fixed"/>
        <w:tblInd w:w="5660" w:type="dxa"/>
        <w:tblCellMar>
          <w:top w:w="0" w:type="dxa"/>
          <w:left w:w="0" w:type="dxa"/>
          <w:bottom w:w="0" w:type="dxa"/>
          <w:right w:w="0" w:type="dxa"/>
        </w:tblCellMar>
      </w:tblPr>
      <w:tr>
        <w:trPr>
          <w:trHeight w:val="153"/>
        </w:trPr>
        <w:tc>
          <w:tcPr>
            <w:tcW w:w="660" w:type="dxa"/>
            <w:vAlign w:val="bottom"/>
          </w:tcPr>
          <w:p>
            <w:pPr>
              <w:spacing w:after="0"/>
              <w:rPr>
                <w:sz w:val="20"/>
                <w:szCs w:val="20"/>
                <w:color w:val="auto"/>
              </w:rPr>
            </w:pPr>
            <w:r>
              <w:rPr>
                <w:rFonts w:ascii="Arial" w:cs="Arial" w:eastAsia="Arial" w:hAnsi="Arial"/>
                <w:sz w:val="12"/>
                <w:szCs w:val="12"/>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Joseph E. Payne</w:t>
            </w:r>
          </w:p>
        </w:tc>
      </w:tr>
      <w:tr>
        <w:trPr>
          <w:trHeight w:val="124"/>
        </w:trPr>
        <w:tc>
          <w:tcPr>
            <w:tcW w:w="66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4980" w:type="dxa"/>
            <w:vAlign w:val="bottom"/>
          </w:tcPr>
          <w:p>
            <w:pPr>
              <w:spacing w:after="0" w:line="124" w:lineRule="exact"/>
              <w:rPr>
                <w:sz w:val="20"/>
                <w:szCs w:val="20"/>
                <w:color w:val="auto"/>
              </w:rPr>
            </w:pPr>
            <w:r>
              <w:rPr>
                <w:rFonts w:ascii="Arial" w:cs="Arial" w:eastAsia="Arial" w:hAnsi="Arial"/>
                <w:sz w:val="12"/>
                <w:szCs w:val="12"/>
                <w:color w:val="auto"/>
              </w:rPr>
              <w:t>Joseph E. Payne</w:t>
            </w:r>
          </w:p>
        </w:tc>
      </w:tr>
      <w:tr>
        <w:trPr>
          <w:trHeight w:val="153"/>
        </w:trPr>
        <w:tc>
          <w:tcPr>
            <w:tcW w:w="660" w:type="dxa"/>
            <w:vAlign w:val="bottom"/>
          </w:tcPr>
          <w:p>
            <w:pPr>
              <w:spacing w:after="0"/>
              <w:rPr>
                <w:sz w:val="20"/>
                <w:szCs w:val="20"/>
                <w:color w:val="auto"/>
              </w:rPr>
            </w:pPr>
            <w:r>
              <w:rPr>
                <w:rFonts w:ascii="Arial" w:cs="Arial" w:eastAsia="Arial" w:hAnsi="Arial"/>
                <w:sz w:val="12"/>
                <w:szCs w:val="12"/>
                <w:color w:val="auto"/>
              </w:rPr>
              <w:t>Title:</w:t>
            </w:r>
          </w:p>
        </w:tc>
        <w:tc>
          <w:tcPr>
            <w:tcW w:w="4980" w:type="dxa"/>
            <w:vAlign w:val="bottom"/>
          </w:tcPr>
          <w:p>
            <w:pPr>
              <w:spacing w:after="0"/>
              <w:rPr>
                <w:sz w:val="20"/>
                <w:szCs w:val="20"/>
                <w:color w:val="auto"/>
              </w:rPr>
            </w:pPr>
            <w:r>
              <w:rPr>
                <w:rFonts w:ascii="Arial" w:cs="Arial" w:eastAsia="Arial" w:hAnsi="Arial"/>
                <w:sz w:val="12"/>
                <w:szCs w:val="12"/>
                <w:color w:val="auto"/>
              </w:rPr>
              <w:t>Chief Executive Officer</w:t>
            </w:r>
          </w:p>
        </w:tc>
      </w:tr>
    </w:tbl>
    <w:p>
      <w:pPr>
        <w:sectPr>
          <w:pgSz w:w="11900" w:h="16838" w:orient="portrait"/>
          <w:cols w:equalWidth="0" w:num="1">
            <w:col w:w="11300"/>
          </w:cols>
          <w:pgMar w:left="300" w:top="289"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4455160</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4455160</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4455160</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114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2021-11-16T15:28:45Z</dcterms:created>
  <dcterms:modified xsi:type="dcterms:W3CDTF">2021-11-16T15:28:45Z</dcterms:modified>
</cp:coreProperties>
</file>