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e619136_4-chivukula.xml.htm"/>
      <w:bookmarkStart w:id="1" w:name="kse619136_4chivukula"/>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Chivukula Pad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ARCTURUS THERAPEUTICS HOLDINGS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10628 SCIENCE CENTER DRIVE, SUITE 250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Arcturus Therapeutics Holdings Inc.</w:t>
              </w:r>
            </w:hyperlink>
            <w:r>
              <w:rPr/>
              <w:t xml:space="preserve"> [ </w:t>
            </w:r>
            <w:r>
              <w:rPr>
                <w:rFonts w:ascii="Times;serif" w:hAnsi="Times;serif"/>
                <w:color w:val="0000FF"/>
                <w:sz w:val="24"/>
                <w:shd w:fill="FFFFFF" w:val="clear"/>
              </w:rPr>
              <w:t>ARCT</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2"/>
              <w:gridCol w:w="989"/>
              <w:gridCol w:w="422"/>
              <w:gridCol w:w="989"/>
            </w:tblGrid>
            <w:tr>
              <w:trPr/>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Scientific Officer &amp; COO</w:t>
                  </w:r>
                  <w:r>
                    <w:rPr/>
                    <w:t xml:space="preserve"> </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03/19/2024</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231"/>
              <w:gridCol w:w="6303"/>
            </w:tblGrid>
            <w:tr>
              <w:trPr/>
              <w:tc>
                <w:tcPr>
                  <w:tcW w:w="231" w:type="dxa"/>
                  <w:tcBorders/>
                  <w:vAlign w:val="center"/>
                </w:tcPr>
                <w:tbl>
                  <w:tblPr>
                    <w:tblW w:w="346" w:type="dxa"/>
                    <w:jc w:val="left"/>
                    <w:tblInd w:w="0" w:type="dxa"/>
                    <w:tblLayout w:type="fixed"/>
                    <w:tblCellMar>
                      <w:top w:w="28" w:type="dxa"/>
                      <w:left w:w="28" w:type="dxa"/>
                      <w:bottom w:w="28" w:type="dxa"/>
                      <w:right w:w="28" w:type="dxa"/>
                    </w:tblCellMar>
                  </w:tblPr>
                  <w:tblGrid>
                    <w:gridCol w:w="346"/>
                  </w:tblGrid>
                  <w:tr>
                    <w:trPr/>
                    <w:tc>
                      <w:tcPr>
                        <w:tcW w:w="34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X</w:t>
                        </w:r>
                      </w:p>
                    </w:tc>
                  </w:tr>
                </w:tbl>
                <w:p>
                  <w:pPr>
                    <w:pStyle w:val="TableContents"/>
                    <w:bidi w:val="0"/>
                    <w:spacing w:before="0" w:after="283"/>
                    <w:jc w:val="left"/>
                    <w:rPr>
                      <w:sz w:val="4"/>
                      <w:szCs w:val="4"/>
                    </w:rPr>
                  </w:pPr>
                  <w:r>
                    <w:rPr>
                      <w:sz w:val="4"/>
                      <w:szCs w:val="4"/>
                    </w:rPr>
                  </w:r>
                </w:p>
              </w:tc>
              <w:tc>
                <w:tcPr>
                  <w:tcW w:w="63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5"/>
        <w:gridCol w:w="913"/>
        <w:gridCol w:w="782"/>
        <w:gridCol w:w="606"/>
        <w:gridCol w:w="347"/>
        <w:gridCol w:w="835"/>
        <w:gridCol w:w="443"/>
        <w:gridCol w:w="981"/>
        <w:gridCol w:w="1149"/>
        <w:gridCol w:w="98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03/19/2024</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8,565</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35.0075</w:t>
            </w:r>
            <w:r>
              <w:rPr>
                <w:rFonts w:ascii="Times;serif" w:hAnsi="Times;serif"/>
                <w:color w:val="008000"/>
                <w:position w:val="7"/>
                <w:sz w:val="16"/>
                <w:sz w:val="20"/>
                <w:shd w:fill="FFFFFF" w:val="clear"/>
              </w:rPr>
              <w:t>(2)</w:t>
            </w:r>
            <w:r>
              <w:rPr/>
              <w:t xml:space="preserve"> </w:t>
            </w:r>
          </w:p>
        </w:tc>
        <w:tc>
          <w:tcPr>
            <w:tcW w:w="11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490,883</w:t>
            </w:r>
          </w:p>
        </w:tc>
        <w:tc>
          <w:tcPr>
            <w:tcW w:w="9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on this Form 4 were effected pursuant to a Rule 10b5-1 trading plan adopted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Reflects the weighted average price of 8,565 shares of common stock of Arcturus Therapeutics Holdings Inc. sold by the Reporting Person in multiple transactions on March 19, 2024, with sale prices ranging from $35.00 to $35.02 per share. The Reporting Person undertakes to provide upon request by the U.S. Securities and Exchange Commission staff, the Issuer, or a security holder of the Issuer, full information regarding the number of shares sold at each separate price.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Ilan Katz,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03/21/2024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727317" TargetMode="External"/><Relationship Id="rId4" Type="http://schemas.openxmlformats.org/officeDocument/2006/relationships/hyperlink" Target="http://www.sec.gov/cgi-bin/browse-edgar?action=getcompany&amp;CIK=0001768224"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664</Words>
  <Characters>3610</Characters>
  <CharactersWithSpaces>4210</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