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__)</w:t>
      </w:r>
      <w:r>
        <w:rPr>
          <w:rFonts w:ascii="Arial" w:cs="Arial" w:eastAsia="Arial" w:hAnsi="Arial"/>
          <w:sz w:val="18"/>
          <w:szCs w:val="18"/>
          <w:color w:val="auto"/>
        </w:rPr>
        <w: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April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(Date of Event which Requires Filing of this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Statement)</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spacing w:after="0"/>
        <w:tabs>
          <w:tab w:leader="none" w:pos="4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right="9460" w:firstLine="8"/>
        <w:spacing w:after="0" w:line="565" w:lineRule="auto"/>
        <w:tabs>
          <w:tab w:leader="none" w:pos="529"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8" w:lineRule="exact"/>
        <w:rPr>
          <w:sz w:val="24"/>
          <w:szCs w:val="24"/>
          <w:color w:val="auto"/>
        </w:rPr>
      </w:pPr>
    </w:p>
    <w:p>
      <w:pPr>
        <w:jc w:val="both"/>
        <w:ind w:firstLine="656"/>
        <w:spacing w:after="0" w:line="234" w:lineRule="auto"/>
        <w:tabs>
          <w:tab w:leader="none" w:pos="86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ind w:right="400" w:firstLine="81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ind w:left="780" w:hanging="772"/>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265"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260" w:hanging="483"/>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2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1,082,907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1,082,907 shares</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760" w:right="5680" w:hanging="752"/>
        <w:spacing w:after="0" w:line="500"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1,082,907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60" w:right="6620" w:hanging="752"/>
        <w:spacing w:after="0" w:line="50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5.45%</w:t>
      </w: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27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98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098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098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 w:name="page3"/>
    <w:bookmarkEnd w:id="2"/>
    <w:p>
      <w:pPr>
        <w:ind w:left="780" w:hanging="77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48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2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1,082,907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1,082,907 shares</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760" w:right="5680" w:hanging="752"/>
        <w:spacing w:after="0" w:line="500"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1,082,907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098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60" w:right="6620" w:hanging="752"/>
        <w:spacing w:after="0" w:line="500"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5.45%</w:t>
      </w: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62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0980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098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-1299210</wp:posOffset>
            </wp:positionV>
            <wp:extent cx="7098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ind w:left="772" w:hanging="772"/>
        <w:spacing w:after="0"/>
        <w:tabs>
          <w:tab w:leader="none" w:pos="7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1,144,537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1,144,537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right="4579" w:hanging="752"/>
        <w:spacing w:after="0" w:line="500" w:lineRule="auto"/>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1,144,537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098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52" w:right="5519" w:hanging="752"/>
        <w:spacing w:after="0" w:line="500"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5.76%</w:t>
      </w: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52" w:right="6219" w:hanging="752"/>
        <w:spacing w:after="0" w:line="527"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-1271270</wp:posOffset>
            </wp:positionV>
            <wp:extent cx="7098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4" w:name="page5"/>
    <w:bookmarkEnd w:id="4"/>
    <w:p>
      <w:pPr>
        <w:ind w:left="772" w:hanging="772"/>
        <w:spacing w:after="0"/>
        <w:tabs>
          <w:tab w:leader="none" w:pos="7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1,144,537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1,144,537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right="4579" w:hanging="752"/>
        <w:spacing w:after="0" w:line="500" w:lineRule="auto"/>
        <w:tabs>
          <w:tab w:leader="none" w:pos="7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1,144,537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098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52" w:right="5519" w:hanging="752"/>
        <w:spacing w:after="0" w:line="500" w:lineRule="auto"/>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5.76%</w:t>
      </w: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52" w:right="6219" w:hanging="752"/>
        <w:spacing w:after="0" w:line="527" w:lineRule="auto"/>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-1271270</wp:posOffset>
            </wp:positionV>
            <wp:extent cx="7098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220" w:lineRule="exact"/>
        <w:rPr>
          <w:sz w:val="20"/>
          <w:szCs w:val="20"/>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Arcturus Therapeutics Holdings Inc.</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10628 Science Center Drive, Suite 250, San Diego, California 92121</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9"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800" w:right="5939"/>
        <w:spacing w:after="0" w:line="265"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Asset Management, LP</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800" w:right="5059" w:hanging="792"/>
        <w:spacing w:after="0" w:line="25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200 Clarendon Street, 52nd Floor</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Boston, MA 02116</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00" w:right="4639"/>
        <w:spacing w:after="0" w:line="255"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Asset Management, LP - Delaware</w:t>
      </w:r>
    </w:p>
    <w:p>
      <w:pPr>
        <w:spacing w:after="0" w:line="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800" w:right="7419" w:hanging="792"/>
        <w:spacing w:after="0" w:line="342" w:lineRule="auto"/>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800" w:right="8199" w:hanging="792"/>
        <w:spacing w:after="0" w:line="342" w:lineRule="auto"/>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CUSIP Number 03969T109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Bank as defined in section 3(a)(6) of the Act (15 U.S.C. 78c).</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Insurance Company as defined in Section 3(a)(19) of the Act</w:t>
            </w:r>
          </w:p>
        </w:tc>
      </w:tr>
    </w:tbl>
    <w:p>
      <w:pPr>
        <w:ind w:left="780" w:hanging="77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(e)</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An investment adviser in accordance with §240.13d-1(b)(1)(ii)(E);</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(g)</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 Act</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tcPr>
          <w:p>
            <w:pPr>
              <w:ind w:left="580"/>
              <w:spacing w:after="0"/>
              <w:rPr>
                <w:sz w:val="20"/>
                <w:szCs w:val="20"/>
                <w:color w:val="auto"/>
              </w:rPr>
            </w:pPr>
            <w:r>
              <w:rPr>
                <w:rFonts w:ascii="Arial" w:cs="Arial" w:eastAsia="Arial" w:hAnsi="Arial"/>
                <w:sz w:val="18"/>
                <w:szCs w:val="18"/>
                <w:color w:val="auto"/>
              </w:rPr>
              <w:t>of 1940 (15 U.S.C. 80a-3);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(j)</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 non-U.S. institution in accordance with §240.13d–1(b)(1)(ii)(J);</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(k)</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Group, in accordance with §240.13d-1(b)(1)(ii)(K).</w:t>
            </w:r>
          </w:p>
        </w:tc>
      </w:tr>
      <w:tr>
        <w:trPr>
          <w:trHeight w:val="459"/>
        </w:trPr>
        <w:tc>
          <w:tcPr>
            <w:tcW w:w="6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00" w:type="dxa"/>
            <w:vAlign w:val="bottom"/>
          </w:tcPr>
          <w:p>
            <w:pPr>
              <w:spacing w:after="0"/>
              <w:rPr>
                <w:sz w:val="24"/>
                <w:szCs w:val="24"/>
                <w:color w:val="auto"/>
              </w:rPr>
            </w:pPr>
          </w:p>
        </w:tc>
        <w:tc>
          <w:tcPr>
            <w:tcW w:w="10280" w:type="dxa"/>
            <w:vAlign w:val="bottom"/>
          </w:tcPr>
          <w:p>
            <w:pPr>
              <w:ind w:left="20"/>
              <w:spacing w:after="0"/>
              <w:rPr>
                <w:sz w:val="20"/>
                <w:szCs w:val="20"/>
                <w:color w:val="auto"/>
              </w:rPr>
            </w:pPr>
            <w:r>
              <w:rPr>
                <w:rFonts w:ascii="Arial" w:cs="Arial" w:eastAsia="Arial" w:hAnsi="Arial"/>
                <w:sz w:val="18"/>
                <w:szCs w:val="18"/>
                <w:b w:val="1"/>
                <w:bCs w:val="1"/>
                <w:color w:val="auto"/>
              </w:rPr>
              <w:t>Ownership***</w:t>
            </w:r>
          </w:p>
        </w:tc>
      </w:tr>
    </w:tbl>
    <w:p>
      <w:pPr>
        <w:spacing w:after="0" w:line="19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82" w:lineRule="exact"/>
        <w:rPr>
          <w:sz w:val="20"/>
          <w:szCs w:val="20"/>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800" w:right="566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1,082,907 shares Cormorant Global Healthcare GP, LLC – 1,082,907 shares Cormorant Asset Management, LP – 1,144,537 shares</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 – 1,144,537 shares</w:t>
      </w:r>
    </w:p>
    <w:p>
      <w:pPr>
        <w:spacing w:after="0" w:line="9" w:lineRule="exact"/>
        <w:rPr>
          <w:rFonts w:ascii="Arial" w:cs="Arial" w:eastAsia="Arial" w:hAnsi="Arial"/>
          <w:sz w:val="18"/>
          <w:szCs w:val="18"/>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10" w:lineRule="exact"/>
        <w:rPr>
          <w:rFonts w:ascii="Arial" w:cs="Arial" w:eastAsia="Arial" w:hAnsi="Arial"/>
          <w:sz w:val="18"/>
          <w:szCs w:val="18"/>
          <w:color w:val="auto"/>
        </w:rPr>
      </w:pPr>
    </w:p>
    <w:p>
      <w:pPr>
        <w:ind w:left="800" w:right="640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5.45% Cormorant Global Healthcare GP, LLC – 5.45% Cormorant Asset Management, LP – 5.76%</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 – 5.76%</w:t>
      </w:r>
    </w:p>
    <w:p>
      <w:pPr>
        <w:spacing w:after="0" w:line="237" w:lineRule="exact"/>
        <w:rPr>
          <w:rFonts w:ascii="Arial" w:cs="Arial" w:eastAsia="Arial" w:hAnsi="Arial"/>
          <w:sz w:val="18"/>
          <w:szCs w:val="18"/>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60" w:hanging="769"/>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560" w:right="554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ind w:left="156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60" w:hanging="769"/>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60" w:right="488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1,082,907 shares Cormorant Global Healthcare GP, LLC – 1,082,907 shares Cormorant Asset Management, LP – 1,144,537 shares</w:t>
      </w:r>
    </w:p>
    <w:p>
      <w:pPr>
        <w:ind w:left="1560"/>
        <w:spacing w:after="0"/>
        <w:rPr>
          <w:rFonts w:ascii="Arial" w:cs="Arial" w:eastAsia="Arial" w:hAnsi="Arial"/>
          <w:sz w:val="18"/>
          <w:szCs w:val="18"/>
          <w:color w:val="auto"/>
        </w:rPr>
      </w:pPr>
      <w:r>
        <w:rPr>
          <w:rFonts w:ascii="Arial" w:cs="Arial" w:eastAsia="Arial" w:hAnsi="Arial"/>
          <w:sz w:val="18"/>
          <w:szCs w:val="18"/>
          <w:color w:val="auto"/>
        </w:rPr>
        <w:t>Bihua Chen – 1,144,537 shares</w:t>
      </w:r>
    </w:p>
    <w:p>
      <w:pPr>
        <w:spacing w:after="0" w:line="9" w:lineRule="exact"/>
        <w:rPr>
          <w:rFonts w:ascii="Arial" w:cs="Arial" w:eastAsia="Arial" w:hAnsi="Arial"/>
          <w:sz w:val="18"/>
          <w:szCs w:val="18"/>
          <w:color w:val="auto"/>
        </w:rPr>
      </w:pPr>
    </w:p>
    <w:p>
      <w:pPr>
        <w:ind w:left="1560" w:hanging="769"/>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10" w:lineRule="exact"/>
        <w:rPr>
          <w:rFonts w:ascii="Arial" w:cs="Arial" w:eastAsia="Arial" w:hAnsi="Arial"/>
          <w:sz w:val="18"/>
          <w:szCs w:val="18"/>
          <w:color w:val="auto"/>
        </w:rPr>
      </w:pPr>
    </w:p>
    <w:p>
      <w:pPr>
        <w:ind w:left="1560" w:right="554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ind w:left="156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60" w:hanging="769"/>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60" w:right="488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1,082,907 shares Cormorant Global Healthcare GP, LLC – 1,082,907 shares Cormorant Asset Management, LP – 1,144,537 shares</w:t>
      </w:r>
    </w:p>
    <w:p>
      <w:pPr>
        <w:ind w:left="1560"/>
        <w:spacing w:after="0"/>
        <w:rPr>
          <w:rFonts w:ascii="Arial" w:cs="Arial" w:eastAsia="Arial" w:hAnsi="Arial"/>
          <w:sz w:val="18"/>
          <w:szCs w:val="18"/>
          <w:color w:val="auto"/>
        </w:rPr>
      </w:pPr>
      <w:r>
        <w:rPr>
          <w:rFonts w:ascii="Arial" w:cs="Arial" w:eastAsia="Arial" w:hAnsi="Arial"/>
          <w:sz w:val="18"/>
          <w:szCs w:val="18"/>
          <w:color w:val="auto"/>
        </w:rPr>
        <w:t>Bihua Chen – 1,144,537 shares</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jc w:val="both"/>
        <w:ind w:left="660" w:hanging="4"/>
        <w:spacing w:after="0" w:line="234" w:lineRule="auto"/>
        <w:tabs>
          <w:tab w:leader="none" w:pos="1052" w:val="left"/>
        </w:tabs>
        <w:numPr>
          <w:ilvl w:val="1"/>
          <w:numId w:val="30"/>
        </w:numPr>
        <w:rPr>
          <w:rFonts w:ascii="Arial" w:cs="Arial" w:eastAsia="Arial" w:hAnsi="Arial"/>
          <w:sz w:val="22"/>
          <w:szCs w:val="22"/>
          <w:color w:val="auto"/>
        </w:rPr>
      </w:pPr>
      <w:r>
        <w:rPr>
          <w:rFonts w:ascii="Arial" w:cs="Arial" w:eastAsia="Arial" w:hAnsi="Arial"/>
          <w:sz w:val="22"/>
          <w:szCs w:val="22"/>
          <w:color w:val="auto"/>
        </w:rPr>
        <w:t>Shares reported herein for Cormorant Asset Management, LP represent shares which are beneficially by Cormorant Global Healthcare Master Fund, LP (the “Master Fund”), as reported herein, and a managed account (the “Account”). Cormorant Global Healthcare GP, LLC serves as the general partner of the Master Fund. Cormorant Asset Management, LP serves as the investment manager to the Master Fund and the Account. Bihua Chen serves as the managing member of Cormorant Global Healthcare GP, LLC and the general partner of Cormorant Asset Management, LP. Each of the Reporting Persons disclaims beneficial ownership of the shares reported herein except to the extent of its or his pecuniary interest therein.</w:t>
      </w:r>
    </w:p>
    <w:p>
      <w:pPr>
        <w:spacing w:after="0" w:line="191"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percentages reported herein with respect to the Reporting Persons’ holdings are calculated based upon (i) a statement in the Issuer’s Prospectus Supplement dated April 16, 2020, as filed with the Securities and Exchange Commission on April 17, 2020, that there would be 19,255,614 shares of Common Stock of the Issuer outstanding immediately after</w:t>
      </w:r>
    </w:p>
    <w:p>
      <w:pPr>
        <w:sectPr>
          <w:pgSz w:w="11900" w:h="16838" w:orient="portrait"/>
          <w:cols w:equalWidth="0" w:num="1">
            <w:col w:w="11240"/>
          </w:cols>
          <w:pgMar w:left="320" w:top="121" w:right="339" w:bottom="0" w:gutter="0" w:footer="0" w:header="0"/>
        </w:sectPr>
      </w:pPr>
    </w:p>
    <w:bookmarkStart w:id="7" w:name="page8"/>
    <w:bookmarkEnd w:id="7"/>
    <w:p>
      <w:pPr>
        <w:jc w:val="both"/>
        <w:ind w:left="660"/>
        <w:spacing w:after="0" w:line="236" w:lineRule="auto"/>
        <w:rPr>
          <w:sz w:val="20"/>
          <w:szCs w:val="20"/>
          <w:color w:val="auto"/>
        </w:rPr>
      </w:pPr>
      <w:r>
        <w:rPr>
          <w:rFonts w:ascii="Arial" w:cs="Arial" w:eastAsia="Arial" w:hAnsi="Arial"/>
          <w:sz w:val="22"/>
          <w:szCs w:val="22"/>
          <w:color w:val="auto"/>
        </w:rPr>
        <w:t>public offering to which the Prospectus related, without taking into account any additional shares of Common Stock that might be issued to the underwriters of the offering upon the exercise of their overallotment option, and (ii) the statement in the Issuer's press release dated April 21, 2020 that, at the closing of such offering, the Issuer sold an additional 617,647 shares of Common Stock in connection with the exercise in full by the underwriters of their option to purchase additional shares.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jc w:val="center"/>
        <w:ind w:right="796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Exhibits</w:t>
        <w:tab/>
        <w:t>Exhibit</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99.1</w:t>
      </w:r>
      <w:r>
        <w:rPr>
          <w:sz w:val="20"/>
          <w:szCs w:val="20"/>
          <w:color w:val="auto"/>
        </w:rPr>
        <w:tab/>
      </w:r>
      <w:r>
        <w:rPr>
          <w:rFonts w:ascii="Arial" w:cs="Arial" w:eastAsia="Arial" w:hAnsi="Arial"/>
          <w:sz w:val="19"/>
          <w:szCs w:val="19"/>
          <w:color w:val="auto"/>
        </w:rPr>
        <w:t>Joint Filing Agreement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April 27,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right="1300"/>
        <w:spacing w:after="0"/>
        <w:rPr>
          <w:sz w:val="20"/>
          <w:szCs w:val="20"/>
          <w:color w:val="auto"/>
        </w:rPr>
      </w:pPr>
      <w:r>
        <w:rPr>
          <w:rFonts w:ascii="Arial" w:cs="Arial" w:eastAsia="Arial" w:hAnsi="Arial"/>
          <w:sz w:val="22"/>
          <w:szCs w:val="22"/>
          <w:color w:val="auto"/>
        </w:rPr>
        <w:t>CORMORANT GLOBAL HEALTHCARE MASTER FUND, LP By: Cormorant Global Healthcare GP, LLC its General Partner</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GLOBAL HEALTHCARE GP,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ASSET MANAGEMENT, LP</w:t>
      </w:r>
    </w:p>
    <w:p>
      <w:pPr>
        <w:ind w:left="4220"/>
        <w:spacing w:after="0" w:line="238" w:lineRule="auto"/>
        <w:rPr>
          <w:sz w:val="20"/>
          <w:szCs w:val="20"/>
          <w:color w:val="auto"/>
        </w:rPr>
      </w:pPr>
      <w:r>
        <w:rPr>
          <w:rFonts w:ascii="Arial" w:cs="Arial" w:eastAsia="Arial" w:hAnsi="Arial"/>
          <w:sz w:val="22"/>
          <w:szCs w:val="22"/>
          <w:color w:val="auto"/>
        </w:rPr>
        <w:t>By: Cormorant Asset Management GP, LLC</w:t>
      </w:r>
    </w:p>
    <w:p>
      <w:pPr>
        <w:ind w:left="42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w:t>
      </w:r>
    </w:p>
    <w:p>
      <w:pPr>
        <w:sectPr>
          <w:pgSz w:w="11900" w:h="16838" w:orient="portrait"/>
          <w:cols w:equalWidth="0" w:num="1">
            <w:col w:w="11240"/>
          </w:cols>
          <w:pgMar w:left="320" w:top="11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color w:val="auto"/>
        </w:rPr>
        <w:t>Exhibit 99.1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12" w:lineRule="exact"/>
        <w:rPr>
          <w:sz w:val="20"/>
          <w:szCs w:val="20"/>
          <w:color w:val="auto"/>
        </w:rPr>
      </w:pPr>
    </w:p>
    <w:p>
      <w:pPr>
        <w:ind w:right="260" w:firstLine="810"/>
        <w:spacing w:after="0" w:line="328" w:lineRule="auto"/>
        <w:rPr>
          <w:sz w:val="20"/>
          <w:szCs w:val="20"/>
          <w:color w:val="auto"/>
        </w:rPr>
      </w:pPr>
      <w:r>
        <w:rPr>
          <w:rFonts w:ascii="Arial" w:cs="Arial" w:eastAsia="Arial" w:hAnsi="Arial"/>
          <w:sz w:val="19"/>
          <w:szCs w:val="19"/>
          <w:color w:val="auto"/>
        </w:rPr>
        <w:t>This Joint Filing Agreement, dated as of April 27, 2020, is by and among Cormorant Global Healthcare Master Fund, LP, Cormorant Global Healthcare GP, LLC, Cormorant Asset Management, LP and Bihua Chen (collectively, the “Filers”).</w:t>
      </w:r>
    </w:p>
    <w:p>
      <w:pPr>
        <w:spacing w:after="0" w:line="132" w:lineRule="exact"/>
        <w:rPr>
          <w:sz w:val="20"/>
          <w:szCs w:val="20"/>
          <w:color w:val="auto"/>
        </w:rPr>
      </w:pPr>
    </w:p>
    <w:p>
      <w:pPr>
        <w:ind w:firstLine="810"/>
        <w:spacing w:after="0"/>
        <w:rPr>
          <w:sz w:val="20"/>
          <w:szCs w:val="20"/>
          <w:color w:val="auto"/>
        </w:rPr>
      </w:pPr>
      <w:r>
        <w:rPr>
          <w:rFonts w:ascii="Arial" w:cs="Arial" w:eastAsia="Arial" w:hAnsi="Arial"/>
          <w:sz w:val="22"/>
          <w:szCs w:val="22"/>
          <w:color w:val="auto"/>
        </w:rPr>
        <w:t>Each of the Filers may be required to file with the United States Securities and Exchange Commission a statement on Schedule 13D and/or 13G with respect to shares of Common Stock of Arcturus Therapeutics Holdings Inc. beneficially owned by them from time to time.</w:t>
      </w:r>
    </w:p>
    <w:p>
      <w:pPr>
        <w:spacing w:after="0" w:line="213" w:lineRule="exact"/>
        <w:rPr>
          <w:sz w:val="20"/>
          <w:szCs w:val="20"/>
          <w:color w:val="auto"/>
        </w:rPr>
      </w:pPr>
    </w:p>
    <w:p>
      <w:pPr>
        <w:ind w:right="100" w:firstLine="810"/>
        <w:spacing w:after="0" w:line="238" w:lineRule="auto"/>
        <w:rPr>
          <w:sz w:val="20"/>
          <w:szCs w:val="20"/>
          <w:color w:val="auto"/>
        </w:rPr>
      </w:pPr>
      <w:r>
        <w:rPr>
          <w:rFonts w:ascii="Arial" w:cs="Arial" w:eastAsia="Arial" w:hAnsi="Arial"/>
          <w:sz w:val="22"/>
          <w:szCs w:val="22"/>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212" w:lineRule="exact"/>
        <w:rPr>
          <w:sz w:val="20"/>
          <w:szCs w:val="20"/>
          <w:color w:val="auto"/>
        </w:rPr>
      </w:pPr>
    </w:p>
    <w:p>
      <w:pPr>
        <w:ind w:right="200" w:firstLine="810"/>
        <w:spacing w:after="0" w:line="250" w:lineRule="auto"/>
        <w:rPr>
          <w:sz w:val="20"/>
          <w:szCs w:val="20"/>
          <w:color w:val="auto"/>
        </w:rPr>
      </w:pPr>
      <w:r>
        <w:rPr>
          <w:rFonts w:ascii="Arial" w:cs="Arial" w:eastAsia="Arial" w:hAnsi="Arial"/>
          <w:sz w:val="22"/>
          <w:szCs w:val="22"/>
          <w:color w:val="auto"/>
        </w:rPr>
        <w:t>This Joint Filing Agreement may be terminated by any of the Filers upon written notice or such lesser period of notice as the Filers may mutually agree.</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Executed and delivered as of the date first above written.</w:t>
      </w:r>
    </w:p>
    <w:p>
      <w:pPr>
        <w:spacing w:after="0" w:line="200" w:lineRule="exact"/>
        <w:rPr>
          <w:sz w:val="20"/>
          <w:szCs w:val="20"/>
          <w:color w:val="auto"/>
        </w:rPr>
      </w:pPr>
    </w:p>
    <w:p>
      <w:pPr>
        <w:spacing w:after="0" w:line="276" w:lineRule="exact"/>
        <w:rPr>
          <w:sz w:val="20"/>
          <w:szCs w:val="20"/>
          <w:color w:val="auto"/>
        </w:rPr>
      </w:pPr>
    </w:p>
    <w:p>
      <w:pPr>
        <w:ind w:left="4220" w:right="1300"/>
        <w:spacing w:after="0"/>
        <w:rPr>
          <w:sz w:val="20"/>
          <w:szCs w:val="20"/>
          <w:color w:val="auto"/>
        </w:rPr>
      </w:pPr>
      <w:r>
        <w:rPr>
          <w:rFonts w:ascii="Arial" w:cs="Arial" w:eastAsia="Arial" w:hAnsi="Arial"/>
          <w:sz w:val="22"/>
          <w:szCs w:val="22"/>
          <w:color w:val="auto"/>
        </w:rPr>
        <w:t>CORMORANT GLOBAL HEALTHCARE MASTER FUND, LP By: Cormorant Global Healthcare GP, LLC its General Partner</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GLOBAL HEALTHCARE GP,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ASSET MANAGEMENT, LP</w:t>
      </w:r>
    </w:p>
    <w:p>
      <w:pPr>
        <w:ind w:left="4220"/>
        <w:spacing w:after="0" w:line="238" w:lineRule="auto"/>
        <w:rPr>
          <w:sz w:val="20"/>
          <w:szCs w:val="20"/>
          <w:color w:val="auto"/>
        </w:rPr>
      </w:pPr>
      <w:r>
        <w:rPr>
          <w:rFonts w:ascii="Arial" w:cs="Arial" w:eastAsia="Arial" w:hAnsi="Arial"/>
          <w:sz w:val="22"/>
          <w:szCs w:val="22"/>
          <w:color w:val="auto"/>
        </w:rPr>
        <w:t>By: Cormorant Asset Management GP, LLC</w:t>
      </w:r>
    </w:p>
    <w:p>
      <w:pPr>
        <w:ind w:left="42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Roman"/>
      <w:start w:val="10"/>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2"/>
      <w:numFmt w:val="bullet"/>
      <w:start w:val="1"/>
    </w:lvl>
    <w:lvl w:ilvl="1">
      <w:lvlJc w:val="left"/>
      <w:lvlText w:val="(%2)"/>
      <w:numFmt w:val="lowerLetter"/>
      <w:start w:val="1"/>
    </w:lvl>
  </w:abstractNum>
  <w:abstractNum w:abstractNumId="4">
    <w:nsid w:val="519B500D"/>
    <w:multiLevelType w:val="hybridMultilevel"/>
    <w:lvl w:ilvl="0">
      <w:lvlJc w:val="left"/>
      <w:lvlText w:val="3"/>
      <w:numFmt w:val="bullet"/>
      <w:start w:val="1"/>
    </w:lvl>
  </w:abstractNum>
  <w:abstractNum w:abstractNumId="5">
    <w:nsid w:val="431BD7B7"/>
    <w:multiLevelType w:val="hybridMultilevel"/>
    <w:lvl w:ilvl="0">
      <w:lvlJc w:val="left"/>
      <w:lvlText w:val="4"/>
      <w:numFmt w:val="bullet"/>
      <w:start w:val="1"/>
    </w:lvl>
  </w:abstractNum>
  <w:abstractNum w:abstractNumId="6">
    <w:nsid w:val="3F2DBA31"/>
    <w:multiLevelType w:val="hybridMultilevel"/>
    <w:lvl w:ilvl="0">
      <w:lvlJc w:val="left"/>
      <w:lvlText w:val="9"/>
      <w:numFmt w:val="bullet"/>
      <w:start w:val="1"/>
    </w:lvl>
  </w:abstractNum>
  <w:abstractNum w:abstractNumId="7">
    <w:nsid w:val="7C83E458"/>
    <w:multiLevelType w:val="hybridMultilevel"/>
    <w:lvl w:ilvl="0">
      <w:lvlJc w:val="left"/>
      <w:lvlText w:val="%1"/>
      <w:numFmt w:val="decimal"/>
      <w:start w:val="10"/>
    </w:lvl>
  </w:abstractNum>
  <w:abstractNum w:abstractNumId="8">
    <w:nsid w:val="257130A3"/>
    <w:multiLevelType w:val="hybridMultilevel"/>
    <w:lvl w:ilvl="0">
      <w:lvlJc w:val="left"/>
      <w:lvlText w:val="1"/>
      <w:numFmt w:val="bullet"/>
      <w:start w:val="1"/>
    </w:lvl>
  </w:abstractNum>
  <w:abstractNum w:abstractNumId="9">
    <w:nsid w:val="62BBD95A"/>
    <w:multiLevelType w:val="hybridMultilevel"/>
    <w:lvl w:ilvl="0">
      <w:lvlJc w:val="left"/>
      <w:lvlText w:val="2"/>
      <w:numFmt w:val="bullet"/>
      <w:start w:val="1"/>
    </w:lvl>
    <w:lvl w:ilvl="1">
      <w:lvlJc w:val="left"/>
      <w:lvlText w:val="(%2)"/>
      <w:numFmt w:val="lowerLetter"/>
      <w:start w:val="1"/>
    </w:lvl>
  </w:abstractNum>
  <w:abstractNum w:abstractNumId="10">
    <w:nsid w:val="436C6125"/>
    <w:multiLevelType w:val="hybridMultilevel"/>
    <w:lvl w:ilvl="0">
      <w:lvlJc w:val="left"/>
      <w:lvlText w:val="3"/>
      <w:numFmt w:val="bullet"/>
      <w:start w:val="1"/>
    </w:lvl>
  </w:abstractNum>
  <w:abstractNum w:abstractNumId="11">
    <w:nsid w:val="628C895D"/>
    <w:multiLevelType w:val="hybridMultilevel"/>
    <w:lvl w:ilvl="0">
      <w:lvlJc w:val="left"/>
      <w:lvlText w:val="4"/>
      <w:numFmt w:val="bullet"/>
      <w:start w:val="1"/>
    </w:lvl>
  </w:abstractNum>
  <w:abstractNum w:abstractNumId="12">
    <w:nsid w:val="333AB105"/>
    <w:multiLevelType w:val="hybridMultilevel"/>
    <w:lvl w:ilvl="0">
      <w:lvlJc w:val="left"/>
      <w:lvlText w:val="9"/>
      <w:numFmt w:val="bullet"/>
      <w:start w:val="1"/>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bullet"/>
      <w:start w:val="1"/>
    </w:lvl>
  </w:abstractNum>
  <w:abstractNum w:abstractNumId="15">
    <w:nsid w:val="2D1D5AE9"/>
    <w:multiLevelType w:val="hybridMultilevel"/>
    <w:lvl w:ilvl="0">
      <w:lvlJc w:val="left"/>
      <w:lvlText w:val="2"/>
      <w:numFmt w:val="bullet"/>
      <w:start w:val="1"/>
    </w:lvl>
    <w:lvl w:ilvl="1">
      <w:lvlJc w:val="left"/>
      <w:lvlText w:val="(%2)"/>
      <w:numFmt w:val="lowerLetter"/>
      <w:start w:val="1"/>
    </w:lvl>
  </w:abstractNum>
  <w:abstractNum w:abstractNumId="16">
    <w:nsid w:val="6763845E"/>
    <w:multiLevelType w:val="hybridMultilevel"/>
    <w:lvl w:ilvl="0">
      <w:lvlJc w:val="left"/>
      <w:lvlText w:val="3"/>
      <w:numFmt w:val="bullet"/>
      <w:start w:val="1"/>
    </w:lvl>
  </w:abstractNum>
  <w:abstractNum w:abstractNumId="17">
    <w:nsid w:val="75A2A8D4"/>
    <w:multiLevelType w:val="hybridMultilevel"/>
    <w:lvl w:ilvl="0">
      <w:lvlJc w:val="left"/>
      <w:lvlText w:val="4"/>
      <w:numFmt w:val="bullet"/>
      <w:start w:val="1"/>
    </w:lvl>
  </w:abstractNum>
  <w:abstractNum w:abstractNumId="18">
    <w:nsid w:val="8EDBDAB"/>
    <w:multiLevelType w:val="hybridMultilevel"/>
    <w:lvl w:ilvl="0">
      <w:lvlJc w:val="left"/>
      <w:lvlText w:val="9"/>
      <w:numFmt w:val="bullet"/>
      <w:start w:val="1"/>
    </w:lvl>
  </w:abstractNum>
  <w:abstractNum w:abstractNumId="19">
    <w:nsid w:val="79838CB2"/>
    <w:multiLevelType w:val="hybridMultilevel"/>
    <w:lvl w:ilvl="0">
      <w:lvlJc w:val="left"/>
      <w:lvlText w:val="%1"/>
      <w:numFmt w:val="decimal"/>
      <w:start w:val="10"/>
    </w:lvl>
  </w:abstractNum>
  <w:abstractNum w:abstractNumId="20">
    <w:nsid w:val="4353D0CD"/>
    <w:multiLevelType w:val="hybridMultilevel"/>
    <w:lvl w:ilvl="0">
      <w:lvlJc w:val="left"/>
      <w:lvlText w:val="1"/>
      <w:numFmt w:val="bullet"/>
      <w:start w:val="1"/>
    </w:lvl>
  </w:abstractNum>
  <w:abstractNum w:abstractNumId="21">
    <w:nsid w:val="B03E0C6"/>
    <w:multiLevelType w:val="hybridMultilevel"/>
    <w:lvl w:ilvl="0">
      <w:lvlJc w:val="left"/>
      <w:lvlText w:val="2"/>
      <w:numFmt w:val="bullet"/>
      <w:start w:val="1"/>
    </w:lvl>
    <w:lvl w:ilvl="1">
      <w:lvlJc w:val="left"/>
      <w:lvlText w:val="(%2)"/>
      <w:numFmt w:val="lowerLetter"/>
      <w:start w:val="1"/>
    </w:lvl>
  </w:abstractNum>
  <w:abstractNum w:abstractNumId="22">
    <w:nsid w:val="189A769B"/>
    <w:multiLevelType w:val="hybridMultilevel"/>
    <w:lvl w:ilvl="0">
      <w:lvlJc w:val="left"/>
      <w:lvlText w:val="3"/>
      <w:numFmt w:val="bullet"/>
      <w:start w:val="1"/>
    </w:lvl>
  </w:abstractNum>
  <w:abstractNum w:abstractNumId="23">
    <w:nsid w:val="54E49EB4"/>
    <w:multiLevelType w:val="hybridMultilevel"/>
    <w:lvl w:ilvl="0">
      <w:lvlJc w:val="left"/>
      <w:lvlText w:val="4"/>
      <w:numFmt w:val="bullet"/>
      <w:start w:val="1"/>
    </w:lvl>
  </w:abstractNum>
  <w:abstractNum w:abstractNumId="24">
    <w:nsid w:val="71F32454"/>
    <w:multiLevelType w:val="hybridMultilevel"/>
    <w:lvl w:ilvl="0">
      <w:lvlJc w:val="left"/>
      <w:lvlText w:val="9"/>
      <w:numFmt w:val="bullet"/>
      <w:start w:val="1"/>
    </w:lvl>
  </w:abstractNum>
  <w:abstractNum w:abstractNumId="25">
    <w:nsid w:val="2CA88611"/>
    <w:multiLevelType w:val="hybridMultilevel"/>
    <w:lvl w:ilvl="0">
      <w:lvlJc w:val="left"/>
      <w:lvlText w:val="%1"/>
      <w:numFmt w:val="decimal"/>
      <w:start w:val="10"/>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4"/>
    </w:lvl>
  </w:abstractNum>
  <w:abstractNum w:abstractNumId="29">
    <w:nsid w:val="8138641"/>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2020-04-27T15:06:52Z</dcterms:created>
  <dcterms:modified xsi:type="dcterms:W3CDTF">2020-04-27T15:06:52Z</dcterms:modified>
</cp:coreProperties>
</file>