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03969T109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Sumitomo Mitsui Trust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JAPAN</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1,947,835.00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1,947,835.00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1,947,835.00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FI</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03969T109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Amova Asset Management Co.,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JAPAN</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1,947,835.00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1,947,835.00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1,947,835.00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HC, FI</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Arcturus Therapeutics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10628 Science Center Drive, Suite 250, San Diego, California, 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Sumitomo Mitsui Trust Group, Inc. Amova Asset Management Co.,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right="5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Sumitomo Mitsui Trust Group, Inc.:1-4-1 Marunouchi, Chiyoda-ku, Tokyo 100-8233, Japan Amova Asset Management Co., Ltd.: Midtown Tower, 9-7-1 Akasaka, Minato-ku, Tokyo 107-6242, Japan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2220"/>
        <w:spacing w:after="0" w:line="256" w:lineRule="auto"/>
        <w:rPr>
          <w:sz w:val="20"/>
          <w:szCs w:val="20"/>
          <w:color w:val="auto"/>
        </w:rPr>
      </w:pPr>
      <w:r>
        <w:rPr>
          <w:rFonts w:ascii="Times New Roman" w:cs="Times New Roman" w:eastAsia="Times New Roman" w:hAnsi="Times New Roman"/>
          <w:sz w:val="22"/>
          <w:szCs w:val="22"/>
          <w:color w:val="auto"/>
        </w:rPr>
        <w:t>Sumitomo Mitsui Trust Group, Inc.: Japan Amova Asset Management Co., Ltd.: Japan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03969T109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right="4540" w:hanging="912"/>
        <w:spacing w:after="0" w:line="281"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Parent Holding Company</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1,947,835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Sumitomo Mitsui Trust Group, Inc.: 0 Amova Asset Management Co., Ltd.: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Sumitomo Mitsui Trust Group, Inc.: 1,947,835 Amova Asset Management Co., Ltd.: 1,947,835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Sumitomo Mitsui Trust Group, Inc.: 0 Amova Asset Management Co., Ltd.: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Sumitomo Mitsui Trust Group, Inc.: 1,947,835 Amova Asset Management Co., Ltd.: 1,947,835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1"/>
          <w:szCs w:val="21"/>
          <w:color w:val="auto"/>
        </w:rPr>
        <w:t>The securities being reported on by each of Sumitomo Mitsui Trust Group, Inc.(which is classified as a parent holding company or control person in accordance with ss. 240.13d-1(b)(1)(ii)(G) , as a non-U.S. institution in accordance with ss. 240.13d-1(b)(1)(ii)(J) and as Group, in accordance with ss. 240.13d-1(b)(1)(ii)(K)) and Amova Asset Management Co., Ltd. (before 20250901, known as, Nikko Asset Management Co., Ltd.) (which is classified as a parent holding company or control person in accordance with ss.240.13d-1(b)(1)(ii)(G) ,as an investment adviser in accordance with ss.240.13d-1(b)(1)(ii)(E) and as a non-U.S. institution in accordance with ss.240.13d-1(b)(1)(ii) (J)) ,as parent holding companies, are owned, or may be deemed to be beneficially owned, by their subsidiary Amova Asset Management Americas, Inc., (before 20250901, known as, Nikko Asset Management Americas, Inc.,) (which is classified as an investment adviser in accordance with ss.240.13d-1(b)(1)(ii)(E)).</w:t>
      </w:r>
    </w:p>
    <w:p>
      <w:pPr>
        <w:spacing w:after="0" w:line="1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1"/>
          <w:szCs w:val="21"/>
          <w:color w:val="auto"/>
        </w:rPr>
        <w:t>The securities being reported on by each of Sumitomo Mitsui Trust Group, Inc.(which is classified as a parent holding company or control person in accordance with ss. 240.13d-1(b)(1)(ii)(G) , as a non-U.S. institution in accordance with ss. 240.13d-1(b)(1)(ii)(J) and as Group, in accordance with ss. 240.13d-1(b)(1)(ii)(K)) and Amova Asset Management Co., Ltd. (before 20250901, known as, Nikko Asset Management Co., Ltd.) (which is classified as a parent holding company or control person in accordance with ss.240.13d-1(b)(1)(ii)(G) ,as an investment adviser in accordance with ss.240.13d-1(b)(1)(ii)(E) and as a non-U.S. institution in accordance with ss.240.13d-1(b)(1)(ii) (J)) ,as parent holding companies, are owned, or may be deemed to be beneficially owned, by their subsidiary Amova Asset Management Americas, Inc., (before 20250901, known as, Nikko Asset Management Americas, Inc.,) (which is classified as an investment adviser in accordance with ss.240.13d-1(b)(1)(ii)(E)).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1"/>
          <w:szCs w:val="21"/>
          <w:color w:val="auto"/>
        </w:rPr>
        <w:t>The securities being reported on by each of Sumitomo Mitsui Trust Group, Inc.(which is classified as a parent holding company or control person in accordance with ss. 240.13d-1(b)(1)(ii)(G) , as a non-U.S. institution in accordance with ss. 240.13d-1(b)(1)(ii)(J) and as Group, in accordance with ss. 240.13d-1(b)(1)(ii)(K)) and Amova Asset Management Co., Ltd. (before 20250901, known as, Nikko Asset Management Co., Ltd.) (which is classified as a parent holding company or control person in accordance with ss.240.13d-1(b)(1)(ii)(G) ,as an investment adviser in accordance with ss.240.13d-1(b)(1)(ii)(E) and as a non-U.S. institution in accordance with ss.240.13d-1(b)(1)(ii) (J)) ,as parent holding companies, are owned, or may be deemed to be beneficially owned, by their subsidiary Amova</w:t>
      </w:r>
    </w:p>
    <w:p>
      <w:pPr>
        <w:sectPr>
          <w:pgSz w:w="11900" w:h="16838" w:orient="portrait"/>
          <w:cols w:equalWidth="0" w:num="2">
            <w:col w:w="620" w:space="300"/>
            <w:col w:w="10220"/>
          </w:cols>
          <w:pgMar w:left="360" w:top="355" w:right="399" w:bottom="0" w:gutter="0" w:footer="0" w:header="0"/>
        </w:sectPr>
      </w:pPr>
    </w:p>
    <w:bookmarkStart w:id="4" w:name="page5"/>
    <w:bookmarkEnd w:id="4"/>
    <w:p>
      <w:pPr>
        <w:ind w:left="920" w:right="180"/>
        <w:spacing w:after="0" w:line="256" w:lineRule="auto"/>
        <w:rPr>
          <w:sz w:val="20"/>
          <w:szCs w:val="20"/>
          <w:color w:val="auto"/>
        </w:rPr>
      </w:pPr>
      <w:r>
        <w:rPr>
          <w:rFonts w:ascii="Times New Roman" w:cs="Times New Roman" w:eastAsia="Times New Roman" w:hAnsi="Times New Roman"/>
          <w:sz w:val="22"/>
          <w:szCs w:val="22"/>
          <w:color w:val="auto"/>
        </w:rPr>
        <w:t>Asset Management Americas, Inc., (before 20250901, known as, Nikko Asset Management Americas, Inc.,) (which is classified as an investment adviser in accordance with ss.240.13d-1(b)(1)(ii)(E)).</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Sumitomo Mitsui Trust Group, Inc.</w:t>
      </w:r>
    </w:p>
    <w:p>
      <w:pPr>
        <w:spacing w:after="0" w:line="152" w:lineRule="exact"/>
        <w:rPr>
          <w:sz w:val="20"/>
          <w:szCs w:val="20"/>
          <w:color w:val="auto"/>
        </w:rPr>
      </w:pPr>
    </w:p>
    <w:p>
      <w:pPr>
        <w:ind w:left="5000"/>
        <w:spacing w:after="0"/>
        <w:tabs>
          <w:tab w:leader="none" w:pos="6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Hideaki Takamiya</w:t>
      </w:r>
    </w:p>
    <w:p>
      <w:pPr>
        <w:spacing w:after="0" w:line="4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Name/Title: Senior Manager of Risk Management Dept</w:t>
      </w:r>
    </w:p>
    <w:p>
      <w:pPr>
        <w:spacing w:after="0" w:line="44" w:lineRule="exact"/>
        <w:rPr>
          <w:sz w:val="20"/>
          <w:szCs w:val="20"/>
          <w:color w:val="auto"/>
        </w:rPr>
      </w:pPr>
    </w:p>
    <w:p>
      <w:pPr>
        <w:ind w:left="5000"/>
        <w:spacing w:after="0"/>
        <w:tabs>
          <w:tab w:leader="none" w:pos="6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10/27/2025</w:t>
      </w:r>
    </w:p>
    <w:p>
      <w:pPr>
        <w:spacing w:after="0" w:line="1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Amova Asset Management Co., Ltd.</w:t>
      </w:r>
    </w:p>
    <w:p>
      <w:pPr>
        <w:spacing w:after="0" w:line="152"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Atsushi Ohya</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Name/Title: Head of Business Regulatory Compliance</w:t>
      </w:r>
    </w:p>
    <w:p>
      <w:pPr>
        <w:spacing w:after="0" w:line="44"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2025-10-27T05:59:23Z</dcterms:created>
  <dcterms:modified xsi:type="dcterms:W3CDTF">2025-10-27T05:59:23Z</dcterms:modified>
</cp:coreProperties>
</file>