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February 27, 2015</w:t>
      </w:r>
    </w:p>
    <w:p>
      <w:pPr>
        <w:spacing w:after="0" w:line="275" w:lineRule="exact"/>
        <w:rPr>
          <w:sz w:val="24"/>
          <w:szCs w:val="24"/>
          <w:color w:val="auto"/>
        </w:rPr>
      </w:pPr>
    </w:p>
    <w:p>
      <w:pPr>
        <w:ind w:left="97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2" w:right="239" w:bottom="0" w:gutter="0" w:footer="0" w:header="0"/>
        </w:sectPr>
      </w:pP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365" w:lineRule="exact"/>
        <w:rPr>
          <w:sz w:val="24"/>
          <w:szCs w:val="24"/>
          <w:color w:val="auto"/>
        </w:rPr>
      </w:pPr>
    </w:p>
    <w:p>
      <w:pPr>
        <w:sectPr>
          <w:pgSz w:w="11900" w:h="16838" w:orient="portrait"/>
          <w:cols w:equalWidth="0" w:num="2">
            <w:col w:w="6540" w:space="720"/>
            <w:col w:w="4160"/>
          </w:cols>
          <w:pgMar w:left="240" w:top="472"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Amot Investment Building, 2 Weizman St. 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Tel Aviv 6423902 Israel</w:t>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5"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Alcobra Ltd. 2010 Incentive Option Plan</w:t>
      </w:r>
    </w:p>
    <w:p>
      <w:pPr>
        <w:spacing w:after="0" w:line="27"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West Germantown Pike, Suite 400, Plymouth Meeting, PA, 19462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(610)-940-1631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1" w:lineRule="exact"/>
        <w:rPr>
          <w:sz w:val="24"/>
          <w:szCs w:val="24"/>
          <w:color w:val="auto"/>
        </w:rPr>
      </w:pPr>
    </w:p>
    <w:tbl>
      <w:tblPr>
        <w:tblLayout w:type="fixed"/>
        <w:tblInd w:w="8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COPIES TO:</w:t>
            </w:r>
          </w:p>
        </w:tc>
      </w:tr>
      <w:tr>
        <w:trPr>
          <w:trHeight w:val="418"/>
        </w:trPr>
        <w:tc>
          <w:tcPr>
            <w:tcW w:w="4220" w:type="dxa"/>
            <w:vAlign w:val="bottom"/>
          </w:tcPr>
          <w:p>
            <w:pPr>
              <w:jc w:val="center"/>
              <w:ind w:right="90"/>
              <w:spacing w:after="0"/>
              <w:rPr>
                <w:sz w:val="20"/>
                <w:szCs w:val="20"/>
                <w:color w:val="auto"/>
              </w:rPr>
            </w:pPr>
            <w:r>
              <w:rPr>
                <w:rFonts w:ascii="Arial" w:cs="Arial" w:eastAsia="Arial" w:hAnsi="Arial"/>
                <w:sz w:val="18"/>
                <w:szCs w:val="18"/>
                <w:color w:val="auto"/>
                <w:w w:val="92"/>
              </w:rPr>
              <w:t>Howard E. Berkenblit, Esq.</w:t>
            </w:r>
          </w:p>
        </w:tc>
        <w:tc>
          <w:tcPr>
            <w:tcW w:w="4640" w:type="dxa"/>
            <w:vAlign w:val="bottom"/>
          </w:tcPr>
          <w:p>
            <w:pPr>
              <w:jc w:val="center"/>
              <w:ind w:left="2310"/>
              <w:spacing w:after="0"/>
              <w:rPr>
                <w:sz w:val="20"/>
                <w:szCs w:val="20"/>
                <w:color w:val="auto"/>
              </w:rPr>
            </w:pPr>
            <w:r>
              <w:rPr>
                <w:rFonts w:ascii="Arial" w:cs="Arial" w:eastAsia="Arial" w:hAnsi="Arial"/>
                <w:sz w:val="18"/>
                <w:szCs w:val="18"/>
                <w:color w:val="auto"/>
                <w:w w:val="92"/>
              </w:rPr>
              <w:t>Eran Ben-Dor, Adv.</w:t>
            </w:r>
          </w:p>
        </w:tc>
      </w:tr>
      <w:tr>
        <w:trPr>
          <w:trHeight w:val="216"/>
        </w:trPr>
        <w:tc>
          <w:tcPr>
            <w:tcW w:w="4220" w:type="dxa"/>
            <w:vAlign w:val="bottom"/>
          </w:tcPr>
          <w:p>
            <w:pPr>
              <w:jc w:val="center"/>
              <w:ind w:right="90"/>
              <w:spacing w:after="0"/>
              <w:rPr>
                <w:sz w:val="20"/>
                <w:szCs w:val="20"/>
                <w:color w:val="auto"/>
              </w:rPr>
            </w:pPr>
            <w:r>
              <w:rPr>
                <w:rFonts w:ascii="Arial" w:cs="Arial" w:eastAsia="Arial" w:hAnsi="Arial"/>
                <w:sz w:val="18"/>
                <w:szCs w:val="18"/>
                <w:color w:val="auto"/>
                <w:w w:val="88"/>
              </w:rPr>
              <w:t>Shy S. Baranov, Esq.</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2"/>
              </w:rPr>
              <w:t>Zysman, Aharoni, Gayer &amp; Co.</w:t>
            </w:r>
          </w:p>
        </w:tc>
      </w:tr>
      <w:tr>
        <w:trPr>
          <w:trHeight w:val="216"/>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2"/>
              </w:rPr>
              <w:t>Zysman, Aharoni, Gayer and Sullivan &amp; Worcester LLP</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4"/>
              </w:rPr>
              <w:t>41-45 Rothschild Blvd.</w:t>
            </w:r>
          </w:p>
        </w:tc>
      </w:tr>
      <w:tr>
        <w:trPr>
          <w:trHeight w:val="216"/>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1"/>
              </w:rPr>
              <w:t>1633 Broadway</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8"/>
              </w:rPr>
              <w:t>Beit Zion</w:t>
            </w:r>
          </w:p>
        </w:tc>
      </w:tr>
      <w:tr>
        <w:trPr>
          <w:trHeight w:val="216"/>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3"/>
              </w:rPr>
              <w:t>New York, NY 10019</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3"/>
              </w:rPr>
              <w:t>Tel Aviv 65784, Israel</w:t>
            </w:r>
          </w:p>
        </w:tc>
      </w:tr>
      <w:tr>
        <w:trPr>
          <w:trHeight w:val="230"/>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1"/>
              </w:rPr>
              <w:t>(212)-660-3000</w:t>
            </w:r>
          </w:p>
        </w:tc>
        <w:tc>
          <w:tcPr>
            <w:tcW w:w="4640" w:type="dxa"/>
            <w:vAlign w:val="bottom"/>
          </w:tcPr>
          <w:p>
            <w:pPr>
              <w:jc w:val="center"/>
              <w:ind w:left="2250"/>
              <w:spacing w:after="0"/>
              <w:rPr>
                <w:sz w:val="20"/>
                <w:szCs w:val="20"/>
                <w:color w:val="auto"/>
              </w:rPr>
            </w:pPr>
            <w:r>
              <w:rPr>
                <w:rFonts w:ascii="Arial" w:cs="Arial" w:eastAsia="Arial" w:hAnsi="Arial"/>
                <w:sz w:val="18"/>
                <w:szCs w:val="18"/>
                <w:color w:val="auto"/>
                <w:w w:val="91"/>
              </w:rPr>
              <w:t>Tel: +972-3-7955555</w:t>
            </w:r>
          </w:p>
        </w:tc>
      </w:tr>
    </w:tbl>
    <w:p>
      <w:pPr>
        <w:spacing w:after="0" w:line="200" w:lineRule="exact"/>
        <w:rPr>
          <w:sz w:val="24"/>
          <w:szCs w:val="24"/>
          <w:color w:val="auto"/>
        </w:rPr>
      </w:pPr>
    </w:p>
    <w:p>
      <w:pPr>
        <w:spacing w:after="0" w:line="218"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7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Large Accelerated Filer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Accelerated Filer</w:t>
            </w:r>
          </w:p>
        </w:tc>
        <w:tc>
          <w:tcPr>
            <w:tcW w:w="4780" w:type="dxa"/>
            <w:vAlign w:val="bottom"/>
            <w:gridSpan w:val="8"/>
          </w:tcPr>
          <w:p>
            <w:pPr>
              <w:jc w:val="right"/>
              <w:ind w:right="36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Non-Accelerated Filer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Smaller Reporting Company</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780" w:type="dxa"/>
            <w:vAlign w:val="bottom"/>
            <w:gridSpan w:val="8"/>
          </w:tcPr>
          <w:p>
            <w:pPr>
              <w:jc w:val="right"/>
              <w:ind w:right="1120"/>
              <w:spacing w:after="0"/>
              <w:rPr>
                <w:sz w:val="20"/>
                <w:szCs w:val="20"/>
                <w:color w:val="auto"/>
              </w:rPr>
            </w:pPr>
            <w:r>
              <w:rPr>
                <w:rFonts w:ascii="Arial" w:cs="Arial" w:eastAsia="Arial" w:hAnsi="Arial"/>
                <w:sz w:val="18"/>
                <w:szCs w:val="18"/>
                <w:b w:val="1"/>
                <w:bCs w:val="1"/>
                <w:color w:val="auto"/>
              </w:rPr>
              <w:t>CALCULATION OF REGISTRATION FEE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Proposed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maximum</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maximum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Amount to be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offering price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aggregate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gridSpan w:val="3"/>
          </w:tcPr>
          <w:p>
            <w:pPr>
              <w:ind w:left="1400"/>
              <w:spacing w:after="0"/>
              <w:rPr>
                <w:sz w:val="20"/>
                <w:szCs w:val="20"/>
                <w:color w:val="auto"/>
              </w:rPr>
            </w:pPr>
            <w:r>
              <w:rPr>
                <w:rFonts w:ascii="Arial" w:cs="Arial" w:eastAsia="Arial" w:hAnsi="Arial"/>
                <w:sz w:val="18"/>
                <w:szCs w:val="18"/>
                <w:b w:val="1"/>
                <w:bCs w:val="1"/>
                <w:color w:val="auto"/>
              </w:rPr>
              <w:t>Title of Securities to be Registered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registered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 share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(1)</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Ordinary Shares (1)</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27,000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17.20(3)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464,400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(1)</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Ordinary Shares (1)</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16.10(3)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(1)</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19.26(3)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Ordinary Shares (1)</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382,500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3.29(3)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1,258,425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(1)</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481,565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N/a</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2,959,443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343.93</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 value NIS 0.01 per share.</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or the Securities Act, this Registration Statement also covers an indeterminate number of additional securities which may be offered and issued to prevent dilution resulting from stock splits, stock dividends, recapitalizations or similar transactions.</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Computed in accordance with Rule 457(h) promulgated under the Securities Act based on the exercise price of the options underlying the ordinary shares.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fee is based on the number of Ordinary Shares which may be issued under the plan this Registration Statement relates to and is estimated in</w:t>
      </w:r>
    </w:p>
    <w:p>
      <w:pPr>
        <w:sectPr>
          <w:pgSz w:w="11900" w:h="16838" w:orient="portrait"/>
          <w:cols w:equalWidth="0" w:num="1">
            <w:col w:w="11420"/>
          </w:cols>
          <w:pgMar w:left="240" w:top="472" w:right="239" w:bottom="0" w:gutter="0" w:footer="0" w:header="0"/>
          <w:type w:val="continuous"/>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accordance with paragraphs (c) and (h) of Rule 457 under the Securities Act solely for the purpose of calculating the registration fee based upon the average of the high and low sales price of an ordinary share as reported on the Nasdaq Global Market on February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376555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are filing this Registration Statement on Form S-8 in connection with 481,565 ordinary shares issuable to eligible directors, employees, office holders, service providers and consultants of Alcobra Ltd., or the Company, or the Registrant, and its affiliates, under the Company’s 2010 Incentive Option Plan, or the Plan, which are in addition to the 1,364,533 ordinary shares under the Plan registered on the Company’s Form S-8 filed on March 28, 2014 (Commission File No. 333-194875), or the Prior Registration Statement.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Registration Statement relates to securities of the same class as those to which the Prior Registration Statement relates, and is submitted in accordance with General Instruction E to Form S-8 regarding Registration of Additional Securities. Pursuant to Instruction E of Form S-8, the contents of the Prior Registration Statement are incorporated herein by reference and made part of this Registration Statement, except as amended hereby.</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Increases in the number of ordinary shares authorized for issuance under the Plan were approved by the board of directors of the Company on March 26, 2014, August 10, 2014 and December 16, 2014.</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All information required by Part I to be contained in the prospectus is omitted from this Registration Statement in accordance with Rule 428 and the introductory note to Part I of Form S-8, in each case under the Securities Act of 1933, as amended.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documents filed with or furnished to the Securities and Exchange Commission, or the SEC, by the Registrant are incorporated herein by reference and made a part hereof:</w:t>
      </w:r>
    </w:p>
    <w:p>
      <w:pPr>
        <w:spacing w:after="0" w:line="170"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20-F for the fiscal year ended December 31, 2014, filed with the SEC on February 27, 2015; and</w:t>
      </w:r>
    </w:p>
    <w:p>
      <w:pPr>
        <w:spacing w:after="0" w:line="248"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par value NIS 0.01 per share contained in the Registrant’s registration statement on Form 8-A filed pursuant to the Securities the Exchange Act of 1934, as amended, or the Exchange Act, on May 17, 2013 (File No. 001-35932), including any amendment or report filed wit which updates such description.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ind w:firstLine="648"/>
        <w:spacing w:after="0" w:line="279" w:lineRule="auto"/>
        <w:rPr>
          <w:sz w:val="20"/>
          <w:szCs w:val="20"/>
          <w:color w:val="auto"/>
        </w:rPr>
      </w:pPr>
      <w:r>
        <w:rPr>
          <w:rFonts w:ascii="Arial" w:cs="Arial" w:eastAsia="Arial" w:hAnsi="Arial"/>
          <w:sz w:val="17"/>
          <w:szCs w:val="17"/>
          <w:color w:val="auto"/>
        </w:rPr>
        <w:t>In addition to the foregoing, all documents subsequently filed by the Registrant pursuant to Sections 13(a), 13(c), 14 and 15(d) of the Exchange Act, and all reports on Form 6-K subsequently filed by the Registrant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36"/>
          <w:szCs w:val="36"/>
          <w:color w:val="auto"/>
          <w:vertAlign w:val="subscript"/>
        </w:rPr>
        <w:t>4.1</w:t>
      </w: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6"/>
          <w:szCs w:val="16"/>
          <w:color w:val="auto"/>
        </w:rPr>
        <w:t>Articles of Association of the Registrant</w:t>
      </w:r>
    </w:p>
    <w:p>
      <w:pPr>
        <w:spacing w:after="0" w:line="2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Zysman, Aharoni, Gayer &amp; Co.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Kost Forer Gabbay &amp; Kasierer, Certified Public Accountants (Israel) (a Member of Ernst &amp; Young Global)</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Zysman, Aharoni, Gayer &amp; Co. (included in the opinion filed as Exhibit 5.1 to this Registration Statement)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36"/>
          <w:szCs w:val="36"/>
          <w:color w:val="auto"/>
          <w:vertAlign w:val="subscript"/>
        </w:rPr>
        <w:t>99.1</w:t>
      </w:r>
      <w:r>
        <w:rPr>
          <w:rFonts w:ascii="Arial" w:cs="Arial" w:eastAsia="Arial" w:hAnsi="Arial"/>
          <w:sz w:val="30"/>
          <w:szCs w:val="30"/>
          <w:color w:val="auto"/>
          <w:vertAlign w:val="superscript"/>
        </w:rPr>
        <w:t>(2)</w:t>
      </w:r>
      <w:r>
        <w:rPr>
          <w:sz w:val="20"/>
          <w:szCs w:val="20"/>
          <w:color w:val="auto"/>
        </w:rPr>
        <w:tab/>
      </w:r>
      <w:r>
        <w:rPr>
          <w:rFonts w:ascii="Arial" w:cs="Arial" w:eastAsia="Arial" w:hAnsi="Arial"/>
          <w:sz w:val="16"/>
          <w:szCs w:val="16"/>
          <w:color w:val="auto"/>
        </w:rPr>
        <w:t>Alcobra Ltd. 2010 Incentive Option Plan, as amended</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w:t>
      </w:r>
    </w:p>
    <w:p>
      <w:pPr>
        <w:spacing w:after="0" w:line="225" w:lineRule="exact"/>
        <w:rPr>
          <w:sz w:val="20"/>
          <w:szCs w:val="20"/>
          <w:color w:val="auto"/>
        </w:rPr>
      </w:pPr>
    </w:p>
    <w:p>
      <w:pPr>
        <w:ind w:left="1620" w:hanging="315"/>
        <w:spacing w:after="0" w:line="194" w:lineRule="auto"/>
        <w:tabs>
          <w:tab w:leader="none" w:pos="16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Previously filed as Exhibit 3.2 to Form F-1/A filed with the SEC on March 19, 2013 (File No. 333-186003), and incorporated herein by reference.</w:t>
      </w:r>
    </w:p>
    <w:p>
      <w:pPr>
        <w:spacing w:after="0" w:line="202" w:lineRule="exact"/>
        <w:rPr>
          <w:rFonts w:ascii="Arial" w:cs="Arial" w:eastAsia="Arial" w:hAnsi="Arial"/>
          <w:sz w:val="30"/>
          <w:szCs w:val="30"/>
          <w:color w:val="auto"/>
          <w:vertAlign w:val="superscript"/>
        </w:rPr>
      </w:pPr>
    </w:p>
    <w:p>
      <w:pPr>
        <w:ind w:left="1620" w:hanging="315"/>
        <w:spacing w:after="0" w:line="194" w:lineRule="auto"/>
        <w:tabs>
          <w:tab w:leader="none" w:pos="16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Previously filed as Exhibit 4.3 to Form 20-F filed with the SEC on February 27, 2015 (File No. 001-35932), and incorporated herein by reference.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Tel-Aviv, State of Israel, on February 27, 2015.</w:t>
      </w:r>
    </w:p>
    <w:p>
      <w:pPr>
        <w:spacing w:after="0" w:line="177"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ALCOBRA LTD.</w:t>
      </w:r>
    </w:p>
    <w:p>
      <w:pPr>
        <w:spacing w:after="0" w:line="2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the undersigned officers and directors of Alcobra Ltd., hereby severally constitute and appoint Yaron Daniely and Tomer Berkovitz,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below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540" w:type="dxa"/>
            <w:vAlign w:val="bottom"/>
            <w:gridSpan w:val="3"/>
          </w:tcPr>
          <w:p>
            <w:pPr>
              <w:ind w:left="1660"/>
              <w:spacing w:after="0"/>
              <w:rPr>
                <w:sz w:val="20"/>
                <w:szCs w:val="20"/>
                <w:color w:val="auto"/>
              </w:rPr>
            </w:pPr>
            <w:r>
              <w:rPr>
                <w:rFonts w:ascii="Arial" w:cs="Arial" w:eastAsia="Arial" w:hAnsi="Arial"/>
                <w:sz w:val="18"/>
                <w:szCs w:val="18"/>
                <w:b w:val="1"/>
                <w:bCs w:val="1"/>
                <w:color w:val="auto"/>
              </w:rPr>
              <w:t>Title</w:t>
            </w:r>
          </w:p>
        </w:tc>
        <w:tc>
          <w:tcPr>
            <w:tcW w:w="17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w w:val="94"/>
              </w:rPr>
              <w:t>Chief Executive Officer, President and Director</w:t>
            </w:r>
          </w:p>
        </w:tc>
        <w:tc>
          <w:tcPr>
            <w:tcW w:w="2120" w:type="dxa"/>
            <w:vAlign w:val="bottom"/>
            <w:gridSpan w:val="2"/>
          </w:tcPr>
          <w:p>
            <w:pPr>
              <w:ind w:left="12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Dr. Yaron Daniely</w:t>
            </w:r>
          </w:p>
        </w:tc>
        <w:tc>
          <w:tcPr>
            <w:tcW w:w="35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Dr. Yaron Daniely</w:t>
            </w:r>
          </w:p>
        </w:tc>
        <w:tc>
          <w:tcPr>
            <w:tcW w:w="5660" w:type="dxa"/>
            <w:vAlign w:val="bottom"/>
            <w:gridSpan w:val="5"/>
            <w:vMerge w:val="restart"/>
          </w:tcPr>
          <w:p>
            <w:pPr>
              <w:spacing w:after="0"/>
              <w:rPr>
                <w:sz w:val="20"/>
                <w:szCs w:val="20"/>
                <w:color w:val="auto"/>
              </w:rPr>
            </w:pPr>
            <w:r>
              <w:rPr>
                <w:rFonts w:ascii="Arial" w:cs="Arial" w:eastAsia="Arial" w:hAnsi="Arial"/>
                <w:sz w:val="18"/>
                <w:szCs w:val="18"/>
                <w:color w:val="auto"/>
              </w:rPr>
              <w:t>Chief Financial Officer (principal financial officer February 27, 2015</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6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Dr. Tomer Berkovitz</w:t>
            </w:r>
          </w:p>
        </w:tc>
        <w:tc>
          <w:tcPr>
            <w:tcW w:w="3540" w:type="dxa"/>
            <w:vAlign w:val="bottom"/>
            <w:gridSpan w:val="3"/>
          </w:tcPr>
          <w:p>
            <w:pPr>
              <w:spacing w:after="0"/>
              <w:rPr>
                <w:sz w:val="20"/>
                <w:szCs w:val="20"/>
                <w:color w:val="auto"/>
              </w:rPr>
            </w:pPr>
            <w:r>
              <w:rPr>
                <w:rFonts w:ascii="Arial" w:cs="Arial" w:eastAsia="Arial" w:hAnsi="Arial"/>
                <w:sz w:val="18"/>
                <w:szCs w:val="18"/>
                <w:color w:val="auto"/>
              </w:rPr>
              <w:t>and principal accounting officer)</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Dr. Tomer Berkovitz</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color w:val="auto"/>
              </w:rPr>
              <w:t>/s/ Howard B. Rosen</w:t>
            </w:r>
          </w:p>
        </w:tc>
        <w:tc>
          <w:tcPr>
            <w:tcW w:w="354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2120" w:type="dxa"/>
            <w:vAlign w:val="bottom"/>
            <w:gridSpan w:val="2"/>
          </w:tcPr>
          <w:p>
            <w:pPr>
              <w:ind w:left="12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Howard B. Rosen</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Arieh Ben Yosef</w:t>
            </w:r>
          </w:p>
        </w:tc>
        <w:tc>
          <w:tcPr>
            <w:tcW w:w="3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ind w:left="12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Arieh Ben Yosef</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Daniel E. Geffken</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Dr. Hadas Gelander</w:t>
            </w:r>
          </w:p>
        </w:tc>
        <w:tc>
          <w:tcPr>
            <w:tcW w:w="3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ind w:left="12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8"/>
              </w:rPr>
              <w:t>Dr. Hadas Gelander</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Ehud (Udi) Gilboa</w:t>
            </w:r>
          </w:p>
        </w:tc>
        <w:tc>
          <w:tcPr>
            <w:tcW w:w="3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ind w:left="12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Ehud (Udi) Gilboa</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Ori Mor</w:t>
            </w:r>
          </w:p>
        </w:tc>
        <w:tc>
          <w:tcPr>
            <w:tcW w:w="3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ind w:left="12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420" w:type="dxa"/>
            <w:vAlign w:val="bottom"/>
            <w:gridSpan w:val="2"/>
          </w:tcPr>
          <w:p>
            <w:pPr>
              <w:jc w:val="center"/>
              <w:ind w:right="1680"/>
              <w:spacing w:after="0"/>
              <w:rPr>
                <w:sz w:val="20"/>
                <w:szCs w:val="20"/>
                <w:color w:val="auto"/>
              </w:rPr>
            </w:pPr>
            <w:r>
              <w:rPr>
                <w:rFonts w:ascii="Arial" w:cs="Arial" w:eastAsia="Arial" w:hAnsi="Arial"/>
                <w:sz w:val="18"/>
                <w:szCs w:val="18"/>
                <w:color w:val="auto"/>
                <w:w w:val="96"/>
              </w:rPr>
              <w:t>Ori Mor</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Dr. Aharon Schwartz</w:t>
            </w:r>
          </w:p>
        </w:tc>
        <w:tc>
          <w:tcPr>
            <w:tcW w:w="3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ind w:left="12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Dr. Aharon Schwartz</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Alcobra Ltd., has signed this Registration Statement on Form S-8 on February 27, 2015.</w:t>
      </w:r>
    </w:p>
    <w:p>
      <w:pPr>
        <w:spacing w:after="0" w:line="200" w:lineRule="exact"/>
        <w:rPr>
          <w:sz w:val="20"/>
          <w:szCs w:val="20"/>
          <w:color w:val="auto"/>
        </w:rPr>
      </w:pPr>
    </w:p>
    <w:p>
      <w:pPr>
        <w:spacing w:after="0" w:line="399"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ALCOBRA INC.</w:t>
      </w:r>
    </w:p>
    <w:p>
      <w:pPr>
        <w:spacing w:after="0" w:line="200" w:lineRule="exact"/>
        <w:rPr>
          <w:sz w:val="20"/>
          <w:szCs w:val="20"/>
          <w:color w:val="auto"/>
        </w:rPr>
      </w:pPr>
    </w:p>
    <w:p>
      <w:pPr>
        <w:spacing w:after="0" w:line="24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u w:val="single" w:color="auto"/>
          <w:color w:val="auto"/>
        </w:rPr>
        <w:t>Exhibit 5.1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Amot Investment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Weizman St.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6423902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acting as Israeli counsel for Alcobra Ltd., an Israeli company (the “Company”), in connection with the preparation of a Registration Statement on Form S-8 (the “Registration Statement”) under the Securities Act of 1933, as amended (the “Act”), pertaining to the registration of an additional 481,565 Ordinary Shares nominal value NIS 0.01 per share of the Company (the “Plan Shares”) under the Alcobra Ltd. 2010 Incentive Option Plan (the “Plan”).</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rendering our opinion, we have examined, and have relied as to factual matters solely upon, originals or copies certified, or otherwise identified to our satisfaction, of such documents, corporate records or other instruments as we have deemed necessary or appropriate for the purposes of this opinion. In our examination we have assumed the genuineness of all signatures, the authenticity of all documents submitted to us as originals, and the conformity with the originals of all documents submitted to us as copies. We have, when relevant facts material to our opinion were not independently established by us, relied to the extent we deemed such reliance proper upon written or oral statements of officers and other representatives of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giving the opinion expressed herein, no opinion is expressed as to the laws of any jurisdiction other than the State of Israel.</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Based upon and subject to the foregoing, we are of the opinion that the Plan Shares, when issued pursuant to the terms of the Plan, and the terms of any agreements relating to such issuance, will be upon receipt of the consideration provided for in the Plan, validly issued, fully paid and nonassessable.</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This opinion is intended solely for the benefit and use of the Company and other persons who are entitled to rely on the Registration Statement, and is not to be used, released, quoted, or relied upon by anyone else for any purpose (other than as required by law), without our prior written consent.</w:t>
      </w:r>
    </w:p>
    <w:p>
      <w:pPr>
        <w:spacing w:after="0" w:line="12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hereby consent to the filing of this opinion as Exhibit 5.1 to the Registration Statement, and to the use of our name wherever appearing in the Registration Statement in connection with Israeli law. In giving such consent, we do not thereby admit that we are in the category of persons whose consent is required under Section 7 of the Act or the rules and regulations of the Securities and Exchange Commission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ZYSMAN AHARONI GAYER &amp; CO., LAW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Zysman, Aharoni, Gayer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u w:val="single" w:color="auto"/>
          <w:color w:val="auto"/>
        </w:rPr>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consent to the incorporation by reference, in the Registration Statement (Form S-8) pertaining to the Alcobra Ltd. 2010 Incentive Option Plan of our report dated February 26, 2015 with respect to the consolidated financial statements of Alcobra Ltd. and its subsidiary included in the Annual Report on Form 20-F of Alcobra Ltd. for the year ended December 31, 2014 filed with the Securities and Exchange Commission.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Kost Forer Gabbay &amp; Kasierer</w:t>
            </w:r>
          </w:p>
        </w:tc>
        <w:tc>
          <w:tcPr>
            <w:tcW w:w="3260" w:type="dxa"/>
            <w:vAlign w:val="bottom"/>
          </w:tcPr>
          <w:p>
            <w:pPr>
              <w:spacing w:after="0"/>
              <w:rPr>
                <w:sz w:val="17"/>
                <w:szCs w:val="17"/>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Tel-Aviv, Israel</w:t>
            </w:r>
          </w:p>
        </w:tc>
        <w:tc>
          <w:tcPr>
            <w:tcW w:w="5700" w:type="dxa"/>
            <w:vAlign w:val="bottom"/>
            <w:gridSpan w:val="2"/>
          </w:tcPr>
          <w:p>
            <w:pPr>
              <w:spacing w:after="0"/>
              <w:rPr>
                <w:sz w:val="20"/>
                <w:szCs w:val="20"/>
                <w:color w:val="auto"/>
              </w:rPr>
            </w:pPr>
            <w:r>
              <w:rPr>
                <w:rFonts w:ascii="Arial" w:cs="Arial" w:eastAsia="Arial" w:hAnsi="Arial"/>
                <w:sz w:val="18"/>
                <w:szCs w:val="18"/>
                <w:color w:val="auto"/>
              </w:rPr>
              <w:t>Kost Forer Gabbay &amp; Kasierer</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February 26, 2015</w:t>
            </w:r>
          </w:p>
        </w:tc>
        <w:tc>
          <w:tcPr>
            <w:tcW w:w="5700" w:type="dxa"/>
            <w:vAlign w:val="bottom"/>
            <w:gridSpan w:val="2"/>
          </w:tcPr>
          <w:p>
            <w:pPr>
              <w:spacing w:after="0"/>
              <w:rPr>
                <w:sz w:val="20"/>
                <w:szCs w:val="20"/>
                <w:color w:val="auto"/>
              </w:rPr>
            </w:pPr>
            <w:r>
              <w:rPr>
                <w:rFonts w:ascii="Arial" w:cs="Arial" w:eastAsia="Arial" w:hAnsi="Arial"/>
                <w:sz w:val="18"/>
                <w:szCs w:val="18"/>
                <w:color w:val="auto"/>
              </w:rPr>
              <w:t>A member of EY Global</w:t>
            </w:r>
          </w:p>
        </w:tc>
      </w:tr>
      <w:tr>
        <w:trPr>
          <w:trHeight w:val="675"/>
        </w:trPr>
        <w:tc>
          <w:tcPr>
            <w:tcW w:w="57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2019-12-09T02:26:54Z</dcterms:created>
  <dcterms:modified xsi:type="dcterms:W3CDTF">2019-12-09T02:26:54Z</dcterms:modified>
</cp:coreProperties>
</file>