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right="10180" w:firstLine="8"/>
        <w:spacing w:after="0" w:line="577" w:lineRule="auto"/>
        <w:tabs>
          <w:tab w:leader="none" w:pos="20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spacing w:after="0" w:line="33" w:lineRule="exact"/>
        <w:rPr>
          <w:rFonts w:ascii="MS PGothic" w:cs="MS PGothic" w:eastAsia="MS PGothic" w:hAnsi="MS PGothic"/>
          <w:sz w:val="16"/>
          <w:szCs w:val="16"/>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left="440" w:right="140" w:hanging="432"/>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M2239P109</w:t>
            </w:r>
          </w:p>
        </w:tc>
        <w:tc>
          <w:tcPr>
            <w:tcW w:w="9620" w:type="dxa"/>
            <w:vAlign w:val="bottom"/>
          </w:tcPr>
          <w:p>
            <w:pPr>
              <w:ind w:left="8720"/>
              <w:spacing w:after="0"/>
              <w:rPr>
                <w:sz w:val="20"/>
                <w:szCs w:val="20"/>
                <w:color w:val="auto"/>
              </w:rPr>
            </w:pPr>
            <w:r>
              <w:rPr>
                <w:rFonts w:ascii="Arial" w:cs="Arial" w:eastAsia="Arial" w:hAnsi="Arial"/>
                <w:sz w:val="18"/>
                <w:szCs w:val="18"/>
                <w:color w:val="auto"/>
                <w:w w:val="84"/>
              </w:rPr>
              <w:t>Page 2 of 15</w:t>
            </w:r>
          </w:p>
        </w:tc>
        <w:tc>
          <w:tcPr>
            <w:tcW w:w="0" w:type="dxa"/>
            <w:vAlign w:val="bottom"/>
          </w:tcPr>
          <w:p>
            <w:pPr>
              <w:spacing w:after="0"/>
              <w:rPr>
                <w:sz w:val="1"/>
                <w:szCs w:val="1"/>
                <w:color w:val="auto"/>
              </w:rPr>
            </w:pPr>
          </w:p>
        </w:tc>
      </w:tr>
      <w:tr>
        <w:trPr>
          <w:trHeight w:val="250"/>
        </w:trPr>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L.P.</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6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9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962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4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980" w:type="dxa"/>
            <w:vAlign w:val="bottom"/>
            <w:gridSpan w:val="5"/>
          </w:tcPr>
          <w:p>
            <w:pPr>
              <w:jc w:val="center"/>
              <w:ind w:right="130"/>
              <w:spacing w:after="0"/>
              <w:rPr>
                <w:sz w:val="20"/>
                <w:szCs w:val="20"/>
                <w:color w:val="auto"/>
              </w:rPr>
            </w:pPr>
            <w:r>
              <w:rPr>
                <w:rFonts w:ascii="Arial" w:cs="Arial" w:eastAsia="Arial" w:hAnsi="Arial"/>
                <w:sz w:val="18"/>
                <w:szCs w:val="18"/>
                <w:color w:val="auto"/>
                <w:w w:val="92"/>
              </w:rPr>
              <w:t>CUSIP No. M2239P109</w:t>
            </w:r>
          </w:p>
        </w:tc>
        <w:tc>
          <w:tcPr>
            <w:tcW w:w="9460" w:type="dxa"/>
            <w:vAlign w:val="bottom"/>
            <w:gridSpan w:val="3"/>
          </w:tcPr>
          <w:p>
            <w:pPr>
              <w:ind w:left="8540"/>
              <w:spacing w:after="0"/>
              <w:rPr>
                <w:sz w:val="20"/>
                <w:szCs w:val="20"/>
                <w:color w:val="auto"/>
              </w:rPr>
            </w:pPr>
            <w:r>
              <w:rPr>
                <w:rFonts w:ascii="Arial" w:cs="Arial" w:eastAsia="Arial" w:hAnsi="Arial"/>
                <w:sz w:val="18"/>
                <w:szCs w:val="18"/>
                <w:color w:val="auto"/>
                <w:w w:val="88"/>
              </w:rPr>
              <w:t>Page 3 of 15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4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top w:val="single" w:sz="8" w:color="auto"/>
              <w:left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right w:val="single" w:sz="8" w:color="auto"/>
            </w:tcBorders>
          </w:tcPr>
          <w:p>
            <w:pPr>
              <w:spacing w:after="0"/>
              <w:rPr>
                <w:sz w:val="18"/>
                <w:szCs w:val="18"/>
                <w:color w:val="auto"/>
              </w:rPr>
            </w:pPr>
          </w:p>
        </w:tc>
        <w:tc>
          <w:tcPr>
            <w:tcW w:w="1054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rPr>
              <w:t>Name of reporting persons</w:t>
            </w:r>
          </w:p>
        </w:tc>
        <w:tc>
          <w:tcPr>
            <w:tcW w:w="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vMerge w:val="continue"/>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0540" w:type="dxa"/>
            <w:vAlign w:val="bottom"/>
            <w:gridSpan w:val="4"/>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0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VHCP Co-Investment Holdings, LLC</w:t>
            </w: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spacing w:after="0"/>
              <w:rPr>
                <w:sz w:val="14"/>
                <w:szCs w:val="14"/>
                <w:color w:val="auto"/>
              </w:rPr>
            </w:pPr>
          </w:p>
        </w:tc>
        <w:tc>
          <w:tcPr>
            <w:tcW w:w="1054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20" w:type="dxa"/>
            <w:vAlign w:val="bottom"/>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440" w:type="dxa"/>
            <w:vAlign w:val="bottom"/>
            <w:tcBorders>
              <w:lef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(b)</w:t>
            </w:r>
          </w:p>
        </w:tc>
        <w:tc>
          <w:tcPr>
            <w:tcW w:w="94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40" w:type="dxa"/>
            <w:vAlign w:val="bottom"/>
            <w:tcBorders>
              <w:left w:val="single" w:sz="8" w:color="auto"/>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8"/>
              </w:rPr>
              <w:t>SEC use only</w:t>
            </w:r>
          </w:p>
        </w:tc>
        <w:tc>
          <w:tcPr>
            <w:tcW w:w="9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Borders>
              <w:left w:val="single" w:sz="8" w:color="auto"/>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spacing w:after="0"/>
              <w:rPr>
                <w:sz w:val="20"/>
                <w:szCs w:val="20"/>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942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tcBorders>
          </w:tcPr>
          <w:p>
            <w:pPr>
              <w:spacing w:after="0"/>
              <w:rPr>
                <w:sz w:val="24"/>
                <w:szCs w:val="24"/>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color w:val="auto"/>
                <w:w w:val="92"/>
              </w:rPr>
              <w:t>Number of</w:t>
            </w:r>
          </w:p>
        </w:tc>
        <w:tc>
          <w:tcPr>
            <w:tcW w:w="160" w:type="dxa"/>
            <w:vAlign w:val="bottom"/>
            <w:tcBorders>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tcBorders>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shares</w:t>
            </w:r>
          </w:p>
        </w:tc>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94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color w:val="auto"/>
                <w:w w:val="96"/>
              </w:rPr>
              <w:t>beneficially</w:t>
            </w:r>
          </w:p>
        </w:tc>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20" w:type="dxa"/>
            <w:vAlign w:val="bottom"/>
            <w:vMerge w:val="restart"/>
          </w:tcPr>
          <w:p>
            <w:pPr>
              <w:ind w:left="40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tcBorders>
          </w:tcPr>
          <w:p>
            <w:pPr>
              <w:spacing w:after="0"/>
              <w:rPr>
                <w:sz w:val="19"/>
                <w:szCs w:val="19"/>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color w:val="auto"/>
                <w:w w:val="90"/>
              </w:rPr>
              <w:t>owned by</w:t>
            </w:r>
          </w:p>
        </w:tc>
        <w:tc>
          <w:tcPr>
            <w:tcW w:w="160" w:type="dxa"/>
            <w:vAlign w:val="bottom"/>
            <w:tcBorders>
              <w:right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94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Borders>
              <w:left w:val="single" w:sz="8" w:color="auto"/>
            </w:tcBorders>
          </w:tcPr>
          <w:p>
            <w:pPr>
              <w:spacing w:after="0"/>
              <w:rPr>
                <w:sz w:val="16"/>
                <w:szCs w:val="16"/>
                <w:color w:val="auto"/>
              </w:rPr>
            </w:pPr>
          </w:p>
        </w:tc>
        <w:tc>
          <w:tcPr>
            <w:tcW w:w="1160" w:type="dxa"/>
            <w:vAlign w:val="bottom"/>
            <w:gridSpan w:val="2"/>
          </w:tcPr>
          <w:p>
            <w:pPr>
              <w:jc w:val="center"/>
              <w:ind w:right="170"/>
              <w:spacing w:after="0" w:line="189" w:lineRule="exact"/>
              <w:rPr>
                <w:sz w:val="20"/>
                <w:szCs w:val="20"/>
                <w:color w:val="auto"/>
              </w:rPr>
            </w:pPr>
            <w:r>
              <w:rPr>
                <w:rFonts w:ascii="Arial" w:cs="Arial" w:eastAsia="Arial" w:hAnsi="Arial"/>
                <w:sz w:val="18"/>
                <w:szCs w:val="18"/>
                <w:color w:val="auto"/>
                <w:w w:val="86"/>
              </w:rPr>
              <w:t>each</w:t>
            </w:r>
          </w:p>
        </w:tc>
        <w:tc>
          <w:tcPr>
            <w:tcW w:w="16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7.</w:t>
            </w:r>
          </w:p>
        </w:tc>
        <w:tc>
          <w:tcPr>
            <w:tcW w:w="942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20" w:type="dxa"/>
            <w:vAlign w:val="bottom"/>
            <w:shd w:val="clear" w:color="auto" w:fill="00000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color w:val="auto"/>
                <w:w w:val="92"/>
              </w:rPr>
              <w:t>reporting</w:t>
            </w:r>
          </w:p>
        </w:tc>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160" w:type="dxa"/>
            <w:vAlign w:val="bottom"/>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1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20" w:type="dxa"/>
            <w:vAlign w:val="bottom"/>
          </w:tcPr>
          <w:p>
            <w:pPr>
              <w:ind w:left="400"/>
              <w:spacing w:after="0"/>
              <w:rPr>
                <w:sz w:val="20"/>
                <w:szCs w:val="20"/>
                <w:color w:val="auto"/>
              </w:rPr>
            </w:pPr>
            <w:r>
              <w:rPr>
                <w:rFonts w:ascii="Arial" w:cs="Arial" w:eastAsia="Arial" w:hAnsi="Arial"/>
                <w:sz w:val="18"/>
                <w:szCs w:val="18"/>
                <w:color w:val="auto"/>
              </w:rPr>
              <w:t>0</w:t>
            </w:r>
          </w:p>
        </w:tc>
        <w:tc>
          <w:tcPr>
            <w:tcW w:w="2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40" w:type="dxa"/>
            <w:vAlign w:val="bottom"/>
            <w:tcBorders>
              <w:left w:val="single" w:sz="8" w:color="auto"/>
            </w:tcBorders>
          </w:tcPr>
          <w:p>
            <w:pPr>
              <w:spacing w:after="0"/>
              <w:rPr>
                <w:sz w:val="3"/>
                <w:szCs w:val="3"/>
                <w:color w:val="auto"/>
              </w:rPr>
            </w:pPr>
          </w:p>
        </w:tc>
        <w:tc>
          <w:tcPr>
            <w:tcW w:w="1160" w:type="dxa"/>
            <w:vAlign w:val="bottom"/>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9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9420" w:type="dxa"/>
            <w:vAlign w:val="bottom"/>
          </w:tcPr>
          <w:p>
            <w:pPr>
              <w:ind w:left="220"/>
              <w:spacing w:after="0"/>
              <w:rPr>
                <w:sz w:val="20"/>
                <w:szCs w:val="20"/>
                <w:color w:val="auto"/>
              </w:rPr>
            </w:pPr>
            <w:r>
              <w:rPr>
                <w:rFonts w:ascii="Arial" w:cs="Arial" w:eastAsia="Arial" w:hAnsi="Arial"/>
                <w:sz w:val="18"/>
                <w:szCs w:val="18"/>
                <w:color w:val="auto"/>
              </w:rPr>
              <w:t>Shared dispositive power</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spacing w:after="0"/>
              <w:rPr>
                <w:sz w:val="20"/>
                <w:szCs w:val="20"/>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9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spacing w:after="0"/>
              <w:rPr>
                <w:sz w:val="24"/>
                <w:szCs w:val="24"/>
                <w:color w:val="auto"/>
              </w:rPr>
            </w:pPr>
          </w:p>
        </w:tc>
        <w:tc>
          <w:tcPr>
            <w:tcW w:w="10540" w:type="dxa"/>
            <w:vAlign w:val="bottom"/>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0540" w:type="dxa"/>
            <w:vAlign w:val="bottom"/>
            <w:tcBorders>
              <w:bottom w:val="single" w:sz="8" w:color="auto"/>
            </w:tcBorders>
            <w:gridSpan w:val="4"/>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auto"/>
            </w:tcBorders>
          </w:tcPr>
          <w:p>
            <w:pPr>
              <w:spacing w:after="0"/>
              <w:rPr>
                <w:sz w:val="20"/>
                <w:szCs w:val="20"/>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spacing w:after="0"/>
              <w:rPr>
                <w:sz w:val="20"/>
                <w:szCs w:val="20"/>
                <w:color w:val="auto"/>
              </w:rPr>
            </w:pPr>
          </w:p>
        </w:tc>
        <w:tc>
          <w:tcPr>
            <w:tcW w:w="10540" w:type="dxa"/>
            <w:vAlign w:val="bottom"/>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M2239P109</w:t>
            </w:r>
          </w:p>
        </w:tc>
        <w:tc>
          <w:tcPr>
            <w:tcW w:w="9620" w:type="dxa"/>
            <w:vAlign w:val="bottom"/>
          </w:tcPr>
          <w:p>
            <w:pPr>
              <w:ind w:left="8720"/>
              <w:spacing w:after="0"/>
              <w:rPr>
                <w:sz w:val="20"/>
                <w:szCs w:val="20"/>
                <w:color w:val="auto"/>
              </w:rPr>
            </w:pPr>
            <w:r>
              <w:rPr>
                <w:rFonts w:ascii="Arial" w:cs="Arial" w:eastAsia="Arial" w:hAnsi="Arial"/>
                <w:sz w:val="18"/>
                <w:szCs w:val="18"/>
                <w:color w:val="auto"/>
                <w:w w:val="84"/>
              </w:rPr>
              <w:t>Page 4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7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Venrock Healthcare Capital Partners II, L.P.</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6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9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962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4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M2239P109</w:t>
            </w:r>
          </w:p>
        </w:tc>
        <w:tc>
          <w:tcPr>
            <w:tcW w:w="9620" w:type="dxa"/>
            <w:vAlign w:val="bottom"/>
          </w:tcPr>
          <w:p>
            <w:pPr>
              <w:ind w:left="8720"/>
              <w:spacing w:after="0"/>
              <w:rPr>
                <w:sz w:val="20"/>
                <w:szCs w:val="20"/>
                <w:color w:val="auto"/>
              </w:rPr>
            </w:pPr>
            <w:r>
              <w:rPr>
                <w:rFonts w:ascii="Arial" w:cs="Arial" w:eastAsia="Arial" w:hAnsi="Arial"/>
                <w:sz w:val="18"/>
                <w:szCs w:val="18"/>
                <w:color w:val="auto"/>
                <w:w w:val="84"/>
              </w:rPr>
              <w:t>Page 5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7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Co-Investment Holdings II,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6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9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962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4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right"/>
              <w:spacing w:after="0"/>
              <w:rPr>
                <w:sz w:val="20"/>
                <w:szCs w:val="20"/>
                <w:color w:val="auto"/>
              </w:rPr>
            </w:pPr>
            <w:r>
              <w:rPr>
                <w:rFonts w:ascii="Arial" w:cs="Arial" w:eastAsia="Arial" w:hAnsi="Arial"/>
                <w:sz w:val="18"/>
                <w:szCs w:val="18"/>
                <w:color w:val="auto"/>
                <w:w w:val="91"/>
              </w:rPr>
              <w:t>CUSIP No. M2239P109</w:t>
            </w:r>
          </w:p>
        </w:tc>
        <w:tc>
          <w:tcPr>
            <w:tcW w:w="9660" w:type="dxa"/>
            <w:vAlign w:val="bottom"/>
          </w:tcPr>
          <w:p>
            <w:pPr>
              <w:ind w:left="8760"/>
              <w:spacing w:after="0"/>
              <w:rPr>
                <w:sz w:val="20"/>
                <w:szCs w:val="20"/>
                <w:color w:val="auto"/>
              </w:rPr>
            </w:pPr>
            <w:r>
              <w:rPr>
                <w:rFonts w:ascii="Arial" w:cs="Arial" w:eastAsia="Arial" w:hAnsi="Arial"/>
                <w:sz w:val="18"/>
                <w:szCs w:val="18"/>
                <w:color w:val="auto"/>
                <w:w w:val="84"/>
              </w:rPr>
              <w:t>Page 6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VHCP Management,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3"/>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(b)</w:t>
            </w:r>
          </w:p>
        </w:tc>
        <w:tc>
          <w:tcPr>
            <w:tcW w:w="966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5"/>
              </w:rPr>
              <w:t>SEC use only</w:t>
            </w:r>
          </w:p>
        </w:tc>
        <w:tc>
          <w:tcPr>
            <w:tcW w:w="9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6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1"/>
              </w:rPr>
              <w:t>shares</w:t>
            </w:r>
          </w:p>
        </w:tc>
        <w:tc>
          <w:tcPr>
            <w:tcW w:w="260" w:type="dxa"/>
            <w:vAlign w:val="bottom"/>
            <w:tcBorders>
              <w:right w:val="single" w:sz="8" w:color="auto"/>
            </w:tcBorders>
          </w:tcPr>
          <w:p>
            <w:pPr>
              <w:spacing w:after="0"/>
              <w:rPr>
                <w:sz w:val="18"/>
                <w:szCs w:val="18"/>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6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9"/>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260" w:type="dxa"/>
            <w:vAlign w:val="bottom"/>
            <w:tcBorders>
              <w:bottom w:val="single" w:sz="8" w:color="auto"/>
              <w:right w:val="single" w:sz="8" w:color="auto"/>
            </w:tcBorders>
            <w:vMerge w:val="continue"/>
          </w:tcPr>
          <w:p>
            <w:pPr>
              <w:spacing w:after="0"/>
              <w:rPr>
                <w:sz w:val="19"/>
                <w:szCs w:val="19"/>
                <w:color w:val="auto"/>
              </w:rPr>
            </w:pPr>
          </w:p>
        </w:tc>
        <w:tc>
          <w:tcPr>
            <w:tcW w:w="96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1"/>
              </w:rPr>
              <w:t>each</w:t>
            </w:r>
          </w:p>
        </w:tc>
        <w:tc>
          <w:tcPr>
            <w:tcW w:w="260" w:type="dxa"/>
            <w:vAlign w:val="bottom"/>
            <w:tcBorders>
              <w:right w:val="single" w:sz="8" w:color="auto"/>
            </w:tcBorders>
          </w:tcPr>
          <w:p>
            <w:pPr>
              <w:spacing w:after="0"/>
              <w:rPr>
                <w:sz w:val="16"/>
                <w:szCs w:val="16"/>
                <w:color w:val="auto"/>
              </w:rPr>
            </w:pPr>
          </w:p>
        </w:tc>
        <w:tc>
          <w:tcPr>
            <w:tcW w:w="96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2"/>
              </w:rPr>
              <w:t>reporting</w:t>
            </w:r>
          </w:p>
        </w:tc>
        <w:tc>
          <w:tcPr>
            <w:tcW w:w="260" w:type="dxa"/>
            <w:vAlign w:val="bottom"/>
            <w:tcBorders>
              <w:right w:val="single" w:sz="8" w:color="auto"/>
            </w:tcBorders>
          </w:tcPr>
          <w:p>
            <w:pPr>
              <w:spacing w:after="0"/>
              <w:rPr>
                <w:sz w:val="18"/>
                <w:szCs w:val="18"/>
                <w:color w:val="auto"/>
              </w:rPr>
            </w:pPr>
          </w:p>
        </w:tc>
        <w:tc>
          <w:tcPr>
            <w:tcW w:w="9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person</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6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96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6"/>
              </w:rPr>
              <w:t>1,615,000</w:t>
            </w:r>
            <w:r>
              <w:rPr>
                <w:rFonts w:ascii="Arial" w:cs="Arial" w:eastAsia="Arial" w:hAnsi="Arial"/>
                <w:sz w:val="25"/>
                <w:szCs w:val="25"/>
                <w:color w:val="auto"/>
                <w:w w:val="96"/>
                <w:vertAlign w:val="superscript"/>
              </w:rPr>
              <w:t>2</w:t>
            </w: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4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260" w:type="dxa"/>
            <w:vAlign w:val="bottom"/>
            <w:tcBorders>
              <w:bottom w:val="single" w:sz="8" w:color="auto"/>
            </w:tcBorders>
          </w:tcPr>
          <w:p>
            <w:pPr>
              <w:spacing w:after="0"/>
              <w:rPr>
                <w:sz w:val="24"/>
                <w:szCs w:val="24"/>
                <w:color w:val="auto"/>
              </w:rPr>
            </w:pPr>
          </w:p>
        </w:tc>
        <w:tc>
          <w:tcPr>
            <w:tcW w:w="9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M2239P109</w:t>
            </w:r>
          </w:p>
        </w:tc>
        <w:tc>
          <w:tcPr>
            <w:tcW w:w="9620" w:type="dxa"/>
            <w:vAlign w:val="bottom"/>
          </w:tcPr>
          <w:p>
            <w:pPr>
              <w:ind w:left="8720"/>
              <w:spacing w:after="0"/>
              <w:rPr>
                <w:sz w:val="20"/>
                <w:szCs w:val="20"/>
                <w:color w:val="auto"/>
              </w:rPr>
            </w:pPr>
            <w:r>
              <w:rPr>
                <w:rFonts w:ascii="Arial" w:cs="Arial" w:eastAsia="Arial" w:hAnsi="Arial"/>
                <w:sz w:val="18"/>
                <w:szCs w:val="18"/>
                <w:color w:val="auto"/>
                <w:w w:val="84"/>
              </w:rPr>
              <w:t>Page 7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70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7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VHCP Management II, LLC</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1074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6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9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962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0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08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9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4"/>
                <w:szCs w:val="24"/>
                <w:color w:val="auto"/>
              </w:rPr>
            </w:pPr>
          </w:p>
        </w:tc>
        <w:tc>
          <w:tcPr>
            <w:tcW w:w="1074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74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107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1840" w:type="dxa"/>
            <w:vAlign w:val="bottom"/>
            <w:gridSpan w:val="5"/>
          </w:tcPr>
          <w:p>
            <w:pPr>
              <w:jc w:val="right"/>
              <w:ind w:right="80"/>
              <w:spacing w:after="0"/>
              <w:rPr>
                <w:sz w:val="20"/>
                <w:szCs w:val="20"/>
                <w:color w:val="auto"/>
              </w:rPr>
            </w:pPr>
            <w:r>
              <w:rPr>
                <w:rFonts w:ascii="Arial" w:cs="Arial" w:eastAsia="Arial" w:hAnsi="Arial"/>
                <w:sz w:val="18"/>
                <w:szCs w:val="18"/>
                <w:color w:val="auto"/>
                <w:w w:val="91"/>
              </w:rPr>
              <w:t>CUSIP No. M2239P109</w:t>
            </w:r>
          </w:p>
        </w:tc>
        <w:tc>
          <w:tcPr>
            <w:tcW w:w="9580" w:type="dxa"/>
            <w:vAlign w:val="bottom"/>
          </w:tcPr>
          <w:p>
            <w:pPr>
              <w:ind w:left="8680"/>
              <w:spacing w:after="0"/>
              <w:rPr>
                <w:sz w:val="20"/>
                <w:szCs w:val="20"/>
                <w:color w:val="auto"/>
              </w:rPr>
            </w:pPr>
            <w:r>
              <w:rPr>
                <w:rFonts w:ascii="Arial" w:cs="Arial" w:eastAsia="Arial" w:hAnsi="Arial"/>
                <w:sz w:val="18"/>
                <w:szCs w:val="18"/>
                <w:color w:val="auto"/>
                <w:w w:val="84"/>
              </w:rPr>
              <w:t>Page 8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8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24"/>
                <w:szCs w:val="24"/>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Hove, Anders</w:t>
            </w: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(b)</w:t>
            </w:r>
          </w:p>
        </w:tc>
        <w:tc>
          <w:tcPr>
            <w:tcW w:w="958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5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9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6"/>
              </w:rPr>
              <w:t>United States</w:t>
            </w: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0"/>
                <w:szCs w:val="20"/>
                <w:color w:val="auto"/>
              </w:rPr>
            </w:pPr>
          </w:p>
        </w:tc>
        <w:tc>
          <w:tcPr>
            <w:tcW w:w="9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c>
          <w:tcPr>
            <w:tcW w:w="9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owned by</w:t>
            </w:r>
          </w:p>
        </w:tc>
        <w:tc>
          <w:tcPr>
            <w:tcW w:w="2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5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gridSpan w:val="2"/>
          </w:tcPr>
          <w:p>
            <w:pPr>
              <w:jc w:val="center"/>
              <w:ind w:right="33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16"/>
                <w:szCs w:val="16"/>
                <w:color w:val="auto"/>
              </w:rPr>
            </w:pPr>
          </w:p>
        </w:tc>
        <w:tc>
          <w:tcPr>
            <w:tcW w:w="9580" w:type="dxa"/>
            <w:vAlign w:val="bottom"/>
            <w:tcBorders>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5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10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0"/>
                <w:szCs w:val="20"/>
                <w:color w:val="auto"/>
              </w:rPr>
            </w:pPr>
          </w:p>
        </w:tc>
        <w:tc>
          <w:tcPr>
            <w:tcW w:w="9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10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7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1800" w:type="dxa"/>
            <w:vAlign w:val="bottom"/>
            <w:gridSpan w:val="5"/>
          </w:tcPr>
          <w:p>
            <w:pPr>
              <w:spacing w:after="0"/>
              <w:rPr>
                <w:sz w:val="20"/>
                <w:szCs w:val="20"/>
                <w:color w:val="auto"/>
              </w:rPr>
            </w:pPr>
            <w:r>
              <w:rPr>
                <w:rFonts w:ascii="Arial" w:cs="Arial" w:eastAsia="Arial" w:hAnsi="Arial"/>
                <w:sz w:val="18"/>
                <w:szCs w:val="18"/>
                <w:color w:val="auto"/>
                <w:w w:val="93"/>
              </w:rPr>
              <w:t>CUSIP No. M2239P109</w:t>
            </w:r>
          </w:p>
        </w:tc>
        <w:tc>
          <w:tcPr>
            <w:tcW w:w="9620" w:type="dxa"/>
            <w:vAlign w:val="bottom"/>
          </w:tcPr>
          <w:p>
            <w:pPr>
              <w:ind w:left="8720"/>
              <w:spacing w:after="0"/>
              <w:rPr>
                <w:sz w:val="20"/>
                <w:szCs w:val="20"/>
                <w:color w:val="auto"/>
              </w:rPr>
            </w:pPr>
            <w:r>
              <w:rPr>
                <w:rFonts w:ascii="Arial" w:cs="Arial" w:eastAsia="Arial" w:hAnsi="Arial"/>
                <w:sz w:val="18"/>
                <w:szCs w:val="18"/>
                <w:color w:val="auto"/>
                <w:w w:val="84"/>
              </w:rPr>
              <w:t>Page 9 of 15</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8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24"/>
                <w:szCs w:val="24"/>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Koh, Bong</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2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1"/>
        </w:trPr>
        <w:tc>
          <w:tcPr>
            <w:tcW w:w="42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(a) x</w:t>
            </w:r>
            <w:r>
              <w:rPr>
                <w:rFonts w:ascii="Arial" w:cs="Arial" w:eastAsia="Arial" w:hAnsi="Arial"/>
                <w:sz w:val="25"/>
                <w:szCs w:val="25"/>
                <w:color w:val="auto"/>
                <w:vertAlign w:val="superscript"/>
              </w:rPr>
              <w:t>1</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96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5"/>
        </w:trPr>
        <w:tc>
          <w:tcPr>
            <w:tcW w:w="420" w:type="dxa"/>
            <w:vAlign w:val="bottom"/>
            <w:tcBorders>
              <w:left w:val="single" w:sz="8" w:color="auto"/>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8"/>
              </w:rPr>
              <w:t>SEC use only</w:t>
            </w:r>
          </w:p>
        </w:tc>
        <w:tc>
          <w:tcPr>
            <w:tcW w:w="9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9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1"/>
              </w:rPr>
              <w:t>shares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8"/>
                <w:szCs w:val="18"/>
                <w:color w:val="auto"/>
              </w:rPr>
            </w:pPr>
          </w:p>
        </w:tc>
        <w:tc>
          <w:tcPr>
            <w:tcW w:w="9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beneficially</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24"/>
        </w:trPr>
        <w:tc>
          <w:tcPr>
            <w:tcW w:w="15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owned by</w:t>
            </w:r>
          </w:p>
        </w:tc>
        <w:tc>
          <w:tcPr>
            <w:tcW w:w="2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gridSpan w:val="2"/>
          </w:tcPr>
          <w:p>
            <w:pPr>
              <w:jc w:val="center"/>
              <w:ind w:right="330"/>
              <w:spacing w:after="0" w:line="189" w:lineRule="exact"/>
              <w:rPr>
                <w:sz w:val="20"/>
                <w:szCs w:val="20"/>
                <w:color w:val="auto"/>
              </w:rPr>
            </w:pPr>
            <w:r>
              <w:rPr>
                <w:rFonts w:ascii="Arial" w:cs="Arial" w:eastAsia="Arial" w:hAnsi="Arial"/>
                <w:sz w:val="18"/>
                <w:szCs w:val="18"/>
                <w:color w:val="auto"/>
                <w:w w:val="81"/>
              </w:rPr>
              <w:t>each</w:t>
            </w:r>
          </w:p>
        </w:tc>
        <w:tc>
          <w:tcPr>
            <w:tcW w:w="220" w:type="dxa"/>
            <w:vAlign w:val="bottom"/>
            <w:tcBorders>
              <w:right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962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2"/>
              </w:rPr>
              <w:t>reporting</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87"/>
              </w:rPr>
              <w:t>person</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110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gridSpan w:val="2"/>
            <w:vMerge w:val="continue"/>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20"/>
                <w:szCs w:val="20"/>
                <w:color w:val="auto"/>
              </w:rPr>
            </w:pPr>
          </w:p>
        </w:tc>
        <w:tc>
          <w:tcPr>
            <w:tcW w:w="9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1,615,000</w:t>
            </w:r>
            <w:r>
              <w:rPr>
                <w:rFonts w:ascii="Arial" w:cs="Arial" w:eastAsia="Arial" w:hAnsi="Arial"/>
                <w:sz w:val="25"/>
                <w:szCs w:val="25"/>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72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5.9%</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 w:right="160" w:hanging="272"/>
        <w:spacing w:after="0" w:line="264"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Venrock Healthcare Capital Partners, L.P., VHCP Co-Investment Holdings, LLC, Venrock Healthcare Capital Partners II, L.P., VHCP Co-Investment Holdings II, LLC, VHCP Management, LLC, VHCP Management II, LLC, Bong Koh and Anders Hove are members of a group for the purposes of this Schedule 13G/A.</w:t>
      </w:r>
    </w:p>
    <w:p>
      <w:pPr>
        <w:spacing w:after="0" w:line="208" w:lineRule="exact"/>
        <w:rPr>
          <w:sz w:val="20"/>
          <w:szCs w:val="20"/>
          <w:color w:val="auto"/>
        </w:rPr>
      </w:pPr>
    </w:p>
    <w:p>
      <w:pPr>
        <w:jc w:val="both"/>
        <w:ind w:left="280" w:right="600" w:hanging="272"/>
        <w:spacing w:after="0" w:line="264"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409,577 ordinary shares owned by Venrock Healthcare Capital Partners, L.P., 74,923 ordinary shares owned by VHCP Co-Investment Holdings, LLC, 940,234 ordinary shares owned by Venrock Healthcare Capital Partners II, L.P. and 190,266 ordinary shares owned by VHCP Co-Investment Holdings II, LLC.</w:t>
      </w:r>
    </w:p>
    <w:p>
      <w:pPr>
        <w:spacing w:after="0" w:line="208" w:lineRule="exact"/>
        <w:rPr>
          <w:sz w:val="20"/>
          <w:szCs w:val="20"/>
          <w:color w:val="auto"/>
        </w:rPr>
      </w:pPr>
    </w:p>
    <w:p>
      <w:pPr>
        <w:ind w:left="280" w:right="40" w:hanging="272"/>
        <w:spacing w:after="0" w:line="26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percentage is calculated based upon 27,356,722 ordinary shares outstanding as of the closing of the Issuer’s public offering in November 2015, as set forth in Issuer’s prospectus supplement dated November 16, 2015 filed with the Securities and Exchange Commission pursuant to Rule 424(b)(5) under the Securities Act of 1933, as amended, on November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6"/>
          <w:szCs w:val="16"/>
          <w:color w:val="auto"/>
        </w:rPr>
        <w:t>Page 10 of 15</w:t>
      </w:r>
    </w:p>
    <w:p>
      <w:pPr>
        <w:spacing w:after="0" w:line="2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Introductory Note: </w:t>
      </w:r>
      <w:r>
        <w:rPr>
          <w:rFonts w:ascii="Arial" w:cs="Arial" w:eastAsia="Arial" w:hAnsi="Arial"/>
          <w:sz w:val="18"/>
          <w:szCs w:val="18"/>
          <w:color w:val="auto"/>
        </w:rPr>
        <w:t>This Schedule 13G/A is filed on behalf of Venrock Healthcare Capital Partners, L.P., a limited partnership organized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 (“VHCP LP”), VHCP Co-Investment Holdings, LLC, a limited liability company organized under the laws of the State of Delaware (“VHCP Co-Investment”), Venrock Healthcare Capital Partners II, L.P., a limited partnership organized under the laws of the State of Delaware (“VHCP II LP”), VHCP Co-Investment Holdings II, LLC, a limited liability company organized under the laws of the State of Delaware (“VHCP Co-Investment II”), VHCP Management, LLC, a limited liability company organized under the laws of the State of Delaware (“VHCP Management”), VHCP Management II, LLC, a limited liability company organized under the laws of the State of Delaware (“VHCP Management II” and collectively with VHCP LP, VHCP II LP, VHCP Co-Investment II, VHCP Management and VHCP Co-Investment, the “Venrock Entities”), Anders Hove (“Hove”) and Bong Koh (“Koh”) in respect of ordinary shares of Alcobra Ltd.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right="9440" w:firstLine="440"/>
        <w:spacing w:after="0" w:line="516" w:lineRule="auto"/>
        <w:tabs>
          <w:tab w:leader="none" w:pos="8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Issuer Alcobra Ltd.</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Anders Hove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New York Office:</w:t>
            </w:r>
          </w:p>
        </w:tc>
        <w:tc>
          <w:tcPr>
            <w:tcW w:w="3820" w:type="dxa"/>
            <w:vAlign w:val="bottom"/>
          </w:tcPr>
          <w:p>
            <w:pPr>
              <w:ind w:left="1100"/>
              <w:spacing w:after="0"/>
              <w:rPr>
                <w:sz w:val="20"/>
                <w:szCs w:val="20"/>
                <w:color w:val="auto"/>
              </w:rPr>
            </w:pPr>
            <w:r>
              <w:rPr>
                <w:rFonts w:ascii="Arial" w:cs="Arial" w:eastAsia="Arial" w:hAnsi="Arial"/>
                <w:sz w:val="18"/>
                <w:szCs w:val="18"/>
                <w:color w:val="auto"/>
              </w:rPr>
              <w:t>Palo Alto Office:</w:t>
            </w:r>
          </w:p>
        </w:tc>
        <w:tc>
          <w:tcPr>
            <w:tcW w:w="2560" w:type="dxa"/>
            <w:vAlign w:val="bottom"/>
          </w:tcPr>
          <w:p>
            <w:pPr>
              <w:ind w:left="1080"/>
              <w:spacing w:after="0"/>
              <w:rPr>
                <w:sz w:val="20"/>
                <w:szCs w:val="20"/>
                <w:color w:val="auto"/>
              </w:rPr>
            </w:pPr>
            <w:r>
              <w:rPr>
                <w:rFonts w:ascii="Arial" w:cs="Arial" w:eastAsia="Arial" w:hAnsi="Arial"/>
                <w:sz w:val="18"/>
                <w:szCs w:val="18"/>
                <w:color w:val="auto"/>
              </w:rPr>
              <w:t>Boston Office:</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530 Fifth Avenue</w:t>
            </w:r>
          </w:p>
        </w:tc>
        <w:tc>
          <w:tcPr>
            <w:tcW w:w="3820" w:type="dxa"/>
            <w:vAlign w:val="bottom"/>
          </w:tcPr>
          <w:p>
            <w:pPr>
              <w:ind w:left="1100"/>
              <w:spacing w:after="0"/>
              <w:rPr>
                <w:sz w:val="20"/>
                <w:szCs w:val="20"/>
                <w:color w:val="auto"/>
              </w:rPr>
            </w:pPr>
            <w:r>
              <w:rPr>
                <w:rFonts w:ascii="Arial" w:cs="Arial" w:eastAsia="Arial" w:hAnsi="Arial"/>
                <w:sz w:val="18"/>
                <w:szCs w:val="18"/>
                <w:color w:val="auto"/>
              </w:rPr>
              <w:t>3340 Hillview Avenue</w:t>
            </w:r>
          </w:p>
        </w:tc>
        <w:tc>
          <w:tcPr>
            <w:tcW w:w="2560" w:type="dxa"/>
            <w:vAlign w:val="bottom"/>
          </w:tcPr>
          <w:p>
            <w:pPr>
              <w:ind w:left="1080"/>
              <w:spacing w:after="0"/>
              <w:rPr>
                <w:sz w:val="20"/>
                <w:szCs w:val="20"/>
                <w:color w:val="auto"/>
              </w:rPr>
            </w:pPr>
            <w:r>
              <w:rPr>
                <w:rFonts w:ascii="Arial" w:cs="Arial" w:eastAsia="Arial" w:hAnsi="Arial"/>
                <w:sz w:val="18"/>
                <w:szCs w:val="18"/>
                <w:color w:val="auto"/>
                <w:w w:val="91"/>
              </w:rPr>
              <w:t>470 Atlantic Avenue</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22nd Floor</w:t>
            </w:r>
          </w:p>
        </w:tc>
        <w:tc>
          <w:tcPr>
            <w:tcW w:w="3820" w:type="dxa"/>
            <w:vAlign w:val="bottom"/>
          </w:tcPr>
          <w:p>
            <w:pPr>
              <w:ind w:left="1100"/>
              <w:spacing w:after="0"/>
              <w:rPr>
                <w:sz w:val="20"/>
                <w:szCs w:val="20"/>
                <w:color w:val="auto"/>
              </w:rPr>
            </w:pPr>
            <w:r>
              <w:rPr>
                <w:rFonts w:ascii="Arial" w:cs="Arial" w:eastAsia="Arial" w:hAnsi="Arial"/>
                <w:sz w:val="18"/>
                <w:szCs w:val="18"/>
                <w:color w:val="auto"/>
              </w:rPr>
              <w:t>Palo Alto, CA 94304</w:t>
            </w:r>
          </w:p>
        </w:tc>
        <w:tc>
          <w:tcPr>
            <w:tcW w:w="2560" w:type="dxa"/>
            <w:vAlign w:val="bottom"/>
          </w:tcPr>
          <w:p>
            <w:pPr>
              <w:ind w:left="1080"/>
              <w:spacing w:after="0"/>
              <w:rPr>
                <w:sz w:val="20"/>
                <w:szCs w:val="20"/>
                <w:color w:val="auto"/>
              </w:rPr>
            </w:pPr>
            <w:r>
              <w:rPr>
                <w:rFonts w:ascii="Arial" w:cs="Arial" w:eastAsia="Arial" w:hAnsi="Arial"/>
                <w:sz w:val="18"/>
                <w:szCs w:val="18"/>
                <w:color w:val="auto"/>
              </w:rPr>
              <w:t>4th Floor</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New York, NY 10036</w:t>
            </w:r>
          </w:p>
        </w:tc>
        <w:tc>
          <w:tcPr>
            <w:tcW w:w="3820" w:type="dxa"/>
            <w:vAlign w:val="bottom"/>
          </w:tcPr>
          <w:p>
            <w:pPr>
              <w:spacing w:after="0"/>
              <w:rPr>
                <w:sz w:val="24"/>
                <w:szCs w:val="24"/>
                <w:color w:val="auto"/>
              </w:rPr>
            </w:pPr>
          </w:p>
        </w:tc>
        <w:tc>
          <w:tcPr>
            <w:tcW w:w="2560" w:type="dxa"/>
            <w:vAlign w:val="bottom"/>
          </w:tcPr>
          <w:p>
            <w:pPr>
              <w:ind w:left="1080"/>
              <w:spacing w:after="0"/>
              <w:rPr>
                <w:sz w:val="20"/>
                <w:szCs w:val="20"/>
                <w:color w:val="auto"/>
              </w:rPr>
            </w:pPr>
            <w:r>
              <w:rPr>
                <w:rFonts w:ascii="Arial" w:cs="Arial" w:eastAsia="Arial" w:hAnsi="Arial"/>
                <w:sz w:val="18"/>
                <w:szCs w:val="18"/>
                <w:color w:val="auto"/>
                <w:w w:val="98"/>
              </w:rPr>
              <w:t>Boston, MA 02210</w:t>
            </w:r>
          </w:p>
        </w:tc>
      </w:tr>
    </w:tbl>
    <w:p>
      <w:pPr>
        <w:spacing w:after="0" w:line="202"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of the Venrock Entities was organized in Delaware. Hove and Koh are both United States citizens.</w:t>
      </w:r>
    </w:p>
    <w:p>
      <w:pPr>
        <w:spacing w:after="0" w:line="225" w:lineRule="exact"/>
        <w:rPr>
          <w:sz w:val="20"/>
          <w:szCs w:val="20"/>
          <w:color w:val="auto"/>
        </w:rPr>
      </w:pPr>
    </w:p>
    <w:p>
      <w:pPr>
        <w:ind w:right="8120" w:firstLine="440"/>
        <w:spacing w:after="0" w:line="581" w:lineRule="auto"/>
        <w:tabs>
          <w:tab w:leader="none" w:pos="8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Title of Class of Securities Ordinary shares, par value NIS 0.01 per share</w:t>
      </w: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M223P109</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0" w:name="page11"/>
    <w:bookmarkEnd w:id="10"/>
    <w:p>
      <w:pPr>
        <w:spacing w:after="0"/>
        <w:tabs>
          <w:tab w:leader="none" w:pos="1042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5"/>
          <w:szCs w:val="15"/>
          <w:color w:val="auto"/>
        </w:rPr>
        <w:t>Page 11 of 15</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440" w:hanging="568"/>
        <w:spacing w:after="0"/>
        <w:tabs>
          <w:tab w:leader="none" w:pos="1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Beneficially Owned as of December 31,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VHCP Management,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Anders Hove</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Bong Koh</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bl>
    <w:p>
      <w:pPr>
        <w:spacing w:after="0" w:line="202" w:lineRule="exact"/>
        <w:rPr>
          <w:sz w:val="20"/>
          <w:szCs w:val="20"/>
          <w:color w:val="auto"/>
        </w:rPr>
      </w:pPr>
    </w:p>
    <w:p>
      <w:pPr>
        <w:ind w:left="1440" w:hanging="568"/>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as of December 31,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VHCP Management, LLC</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Anders Hove</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Bong Koh</w:t>
            </w: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2" w:lineRule="exact"/>
        <w:rPr>
          <w:sz w:val="20"/>
          <w:szCs w:val="20"/>
          <w:color w:val="auto"/>
        </w:rPr>
      </w:pPr>
    </w:p>
    <w:p>
      <w:pPr>
        <w:ind w:left="1440" w:hanging="568"/>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as to which the person has, as of December 31, 2015:</w:t>
      </w:r>
    </w:p>
    <w:p>
      <w:pPr>
        <w:spacing w:after="0" w:line="225" w:lineRule="exact"/>
        <w:rPr>
          <w:sz w:val="20"/>
          <w:szCs w:val="20"/>
          <w:color w:val="auto"/>
        </w:rPr>
      </w:pPr>
    </w:p>
    <w:p>
      <w:pPr>
        <w:ind w:left="1440" w:hanging="568"/>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VHCP Management, LLC</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Anders Hove</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Bong Koh</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440" w:hanging="568"/>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Management, LLC</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Management II, LLC</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Anders Hove</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Bong Koh</w:t>
            </w:r>
          </w:p>
        </w:tc>
        <w:tc>
          <w:tcPr>
            <w:tcW w:w="7500" w:type="dxa"/>
            <w:vAlign w:val="bottom"/>
          </w:tcPr>
          <w:p>
            <w:pPr>
              <w:jc w:val="right"/>
              <w:ind w:right="5730"/>
              <w:spacing w:after="0"/>
              <w:rPr>
                <w:sz w:val="20"/>
                <w:szCs w:val="20"/>
                <w:color w:val="auto"/>
              </w:rPr>
            </w:pPr>
            <w:r>
              <w:rPr>
                <w:rFonts w:ascii="Arial" w:cs="Arial" w:eastAsia="Arial" w:hAnsi="Arial"/>
                <w:sz w:val="18"/>
                <w:szCs w:val="18"/>
                <w:color w:val="auto"/>
              </w:rPr>
              <w:t>1,615,000(1)</w:t>
            </w:r>
          </w:p>
        </w:tc>
      </w:tr>
      <w:tr>
        <w:trPr>
          <w:trHeight w:val="875"/>
        </w:trPr>
        <w:tc>
          <w:tcPr>
            <w:tcW w:w="3920" w:type="dxa"/>
            <w:vAlign w:val="bottom"/>
            <w:tcBorders>
              <w:bottom w:val="single" w:sz="8" w:color="808080"/>
            </w:tcBorders>
          </w:tcPr>
          <w:p>
            <w:pPr>
              <w:spacing w:after="0"/>
              <w:rPr>
                <w:sz w:val="24"/>
                <w:szCs w:val="24"/>
                <w:color w:val="auto"/>
              </w:rPr>
            </w:pPr>
          </w:p>
        </w:tc>
        <w:tc>
          <w:tcPr>
            <w:tcW w:w="7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CUSIP No. M2239P109</w:t>
            </w:r>
          </w:p>
        </w:tc>
        <w:tc>
          <w:tcPr>
            <w:tcW w:w="6100" w:type="dxa"/>
            <w:vAlign w:val="bottom"/>
          </w:tcPr>
          <w:p>
            <w:pPr>
              <w:jc w:val="right"/>
              <w:spacing w:after="0"/>
              <w:rPr>
                <w:sz w:val="20"/>
                <w:szCs w:val="20"/>
                <w:color w:val="auto"/>
              </w:rPr>
            </w:pPr>
            <w:r>
              <w:rPr>
                <w:rFonts w:ascii="Arial" w:cs="Arial" w:eastAsia="Arial" w:hAnsi="Arial"/>
                <w:sz w:val="18"/>
                <w:szCs w:val="18"/>
                <w:color w:val="auto"/>
              </w:rPr>
              <w:t>Page 12 of 15</w:t>
            </w:r>
          </w:p>
        </w:tc>
      </w:tr>
      <w:tr>
        <w:trPr>
          <w:trHeight w:val="459"/>
        </w:trPr>
        <w:tc>
          <w:tcPr>
            <w:tcW w:w="5320" w:type="dxa"/>
            <w:vAlign w:val="bottom"/>
          </w:tcPr>
          <w:p>
            <w:pPr>
              <w:ind w:left="880"/>
              <w:spacing w:after="0"/>
              <w:rPr>
                <w:sz w:val="20"/>
                <w:szCs w:val="20"/>
                <w:color w:val="auto"/>
              </w:rPr>
            </w:pPr>
            <w:r>
              <w:rPr>
                <w:rFonts w:ascii="Arial" w:cs="Arial" w:eastAsia="Arial" w:hAnsi="Arial"/>
                <w:sz w:val="18"/>
                <w:szCs w:val="18"/>
                <w:color w:val="auto"/>
                <w:w w:val="99"/>
              </w:rPr>
              <w:t>(iii)   Sole power to dispose or to direct the disposition of</w:t>
            </w:r>
          </w:p>
        </w:tc>
        <w:tc>
          <w:tcPr>
            <w:tcW w:w="6100" w:type="dxa"/>
            <w:vAlign w:val="bottom"/>
          </w:tcPr>
          <w:p>
            <w:pPr>
              <w:spacing w:after="0"/>
              <w:rPr>
                <w:sz w:val="24"/>
                <w:szCs w:val="24"/>
                <w:color w:val="auto"/>
              </w:rPr>
            </w:pPr>
          </w:p>
        </w:tc>
      </w:tr>
      <w:tr>
        <w:trPr>
          <w:trHeight w:val="634"/>
        </w:trPr>
        <w:tc>
          <w:tcPr>
            <w:tcW w:w="532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VHCP Management, LLC</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VHCP Management II, LLC</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Anders Hove</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Bong Koh</w:t>
            </w:r>
          </w:p>
        </w:tc>
        <w:tc>
          <w:tcPr>
            <w:tcW w:w="6100" w:type="dxa"/>
            <w:vAlign w:val="bottom"/>
          </w:tcPr>
          <w:p>
            <w:pPr>
              <w:jc w:val="right"/>
              <w:ind w:right="577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440" w:hanging="568"/>
        <w:spacing w:after="0"/>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Venrock Healthcare Capital Partners, L.P.</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Venrock Healthcare Capital Partners II, L.P.</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Management,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Anders Hove</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Bong Koh</w:t>
            </w:r>
          </w:p>
        </w:tc>
        <w:tc>
          <w:tcPr>
            <w:tcW w:w="1680" w:type="dxa"/>
            <w:vAlign w:val="bottom"/>
          </w:tcPr>
          <w:p>
            <w:pPr>
              <w:jc w:val="right"/>
              <w:spacing w:after="0"/>
              <w:rPr>
                <w:sz w:val="20"/>
                <w:szCs w:val="20"/>
                <w:color w:val="auto"/>
              </w:rPr>
            </w:pPr>
            <w:r>
              <w:rPr>
                <w:rFonts w:ascii="Arial" w:cs="Arial" w:eastAsia="Arial" w:hAnsi="Arial"/>
                <w:sz w:val="18"/>
                <w:szCs w:val="18"/>
                <w:color w:val="auto"/>
              </w:rPr>
              <w:t>1,615,000(1)</w:t>
            </w:r>
          </w:p>
        </w:tc>
      </w:tr>
    </w:tbl>
    <w:p>
      <w:pPr>
        <w:spacing w:after="0" w:line="202" w:lineRule="exact"/>
        <w:rPr>
          <w:sz w:val="20"/>
          <w:szCs w:val="20"/>
          <w:color w:val="auto"/>
        </w:rPr>
      </w:pPr>
    </w:p>
    <w:p>
      <w:pPr>
        <w:ind w:left="700" w:right="140" w:hanging="692"/>
        <w:spacing w:after="0" w:line="273"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shares are owned directly as follows: 409,577 ordinary shares are owned by Venrock Healthcare Capital Partners, L.P., 74,923 ordinary shares are owned by VHCP Co-Investment Holdings, LLC, 940,234 ordinary shares are owned by Venrock Healthcare Capital Partners II, L.P. and 190,266 ordinary shares are owned by VHCP Co-Investment Holdings II, LLC. VHCP Management, LLC is the general partner of Venrock Healthcare Capital Partners, L.P. and the manager of VHCP Co-Investment Holdings, LLC. VHCP Management II, LLC is the general partner of Venrock Healthcare Capital Partners II, L.P. and the manager of VHCP Co-Investment Holdings II, LLC. Messrs. Hove and Koh are the managing members of VHCP Management, LLC and VHCP Management II, LLC.</w:t>
      </w:r>
    </w:p>
    <w:p>
      <w:pPr>
        <w:spacing w:after="0" w:line="3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20" w:right="40" w:hanging="1012"/>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tabs>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6"/>
          <w:szCs w:val="16"/>
          <w:color w:val="auto"/>
        </w:rPr>
        <w:t>Page 13 of 15</w:t>
      </w:r>
    </w:p>
    <w:p>
      <w:pPr>
        <w:spacing w:after="0" w:line="3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tabs>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6"/>
          <w:szCs w:val="16"/>
          <w:color w:val="auto"/>
        </w:rPr>
        <w:t>Page 14 of 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ind w:right="360"/>
        <w:spacing w:after="0" w:line="55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16,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L.P.</w:t>
            </w:r>
          </w:p>
        </w:tc>
        <w:tc>
          <w:tcPr>
            <w:tcW w:w="6080" w:type="dxa"/>
            <w:vAlign w:val="bottom"/>
            <w:gridSpan w:val="4"/>
          </w:tcPr>
          <w:p>
            <w:pPr>
              <w:ind w:left="520"/>
              <w:spacing w:after="0"/>
              <w:rPr>
                <w:sz w:val="20"/>
                <w:szCs w:val="20"/>
                <w:color w:val="auto"/>
              </w:rPr>
            </w:pPr>
            <w:r>
              <w:rPr>
                <w:rFonts w:ascii="Arial" w:cs="Arial" w:eastAsia="Arial" w:hAnsi="Arial"/>
                <w:sz w:val="18"/>
                <w:szCs w:val="18"/>
                <w:b w:val="1"/>
                <w:bCs w:val="1"/>
                <w:color w:val="auto"/>
              </w:rPr>
              <w:t>VHCP Co-Investment Holdings, LLC</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VHCP Management, LLC,</w:t>
            </w:r>
          </w:p>
        </w:tc>
        <w:tc>
          <w:tcPr>
            <w:tcW w:w="880" w:type="dxa"/>
            <w:vAlign w:val="bottom"/>
          </w:tcPr>
          <w:p>
            <w:pPr>
              <w:ind w:left="52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VHCP Management, LLC,</w:t>
            </w:r>
          </w:p>
        </w:tc>
      </w:tr>
      <w:tr>
        <w:trPr>
          <w:trHeight w:val="432"/>
        </w:trPr>
        <w:tc>
          <w:tcPr>
            <w:tcW w:w="4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880" w:type="dxa"/>
            <w:vAlign w:val="bottom"/>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its Manager</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52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/s/ David L. Stepp</w:t>
            </w:r>
          </w:p>
        </w:tc>
      </w:tr>
      <w:tr>
        <w:trPr>
          <w:trHeight w:val="230"/>
        </w:trPr>
        <w:tc>
          <w:tcPr>
            <w:tcW w:w="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David L. Stepp</w:t>
            </w:r>
          </w:p>
        </w:tc>
      </w:tr>
      <w:tr>
        <w:trPr>
          <w:trHeight w:val="418"/>
        </w:trPr>
        <w:tc>
          <w:tcPr>
            <w:tcW w:w="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48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VHCP Management, LLC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00"/>
              <w:spacing w:after="0"/>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3877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Anders Hove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3877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Bong Koh</w:t>
            </w:r>
          </w:p>
        </w:tc>
        <w:tc>
          <w:tcPr>
            <w:tcW w:w="4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48"/>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6080" w:type="dxa"/>
            <w:vAlign w:val="bottom"/>
            <w:gridSpan w:val="4"/>
          </w:tcPr>
          <w:p>
            <w:pPr>
              <w:ind w:left="520"/>
              <w:spacing w:after="0"/>
              <w:rPr>
                <w:sz w:val="20"/>
                <w:szCs w:val="20"/>
                <w:color w:val="auto"/>
              </w:rPr>
            </w:pPr>
            <w:r>
              <w:rPr>
                <w:rFonts w:ascii="Arial" w:cs="Arial" w:eastAsia="Arial" w:hAnsi="Arial"/>
                <w:sz w:val="18"/>
                <w:szCs w:val="18"/>
                <w:b w:val="1"/>
                <w:bCs w:val="1"/>
                <w:color w:val="auto"/>
              </w:rPr>
              <w:t>VHCP Co-Investment Holdings II, LLC</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880" w:type="dxa"/>
            <w:vAlign w:val="bottom"/>
          </w:tcPr>
          <w:p>
            <w:pPr>
              <w:ind w:left="52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VHCP Management II, LLC,</w:t>
            </w:r>
          </w:p>
        </w:tc>
      </w:tr>
      <w:tr>
        <w:trPr>
          <w:trHeight w:val="432"/>
        </w:trPr>
        <w:tc>
          <w:tcPr>
            <w:tcW w:w="4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880" w:type="dxa"/>
            <w:vAlign w:val="bottom"/>
          </w:tcPr>
          <w:p>
            <w:pPr>
              <w:spacing w:after="0"/>
              <w:rPr>
                <w:sz w:val="24"/>
                <w:szCs w:val="24"/>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its Manager</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2"/>
          </w:tcPr>
          <w:p>
            <w:pPr>
              <w:spacing w:after="0"/>
              <w:rPr>
                <w:sz w:val="20"/>
                <w:szCs w:val="20"/>
                <w:color w:val="auto"/>
              </w:rPr>
            </w:pPr>
            <w:r>
              <w:rPr>
                <w:rFonts w:ascii="Arial" w:cs="Arial" w:eastAsia="Arial" w:hAnsi="Arial"/>
                <w:sz w:val="18"/>
                <w:szCs w:val="18"/>
                <w:color w:val="auto"/>
              </w:rPr>
              <w:t>/s/ David L. Stepp</w:t>
            </w:r>
          </w:p>
        </w:tc>
        <w:tc>
          <w:tcPr>
            <w:tcW w:w="880" w:type="dxa"/>
            <w:vAlign w:val="bottom"/>
          </w:tcPr>
          <w:p>
            <w:pPr>
              <w:ind w:left="52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/s/ David L. Stepp</w:t>
            </w:r>
          </w:p>
        </w:tc>
      </w:tr>
      <w:tr>
        <w:trPr>
          <w:trHeight w:val="230"/>
        </w:trPr>
        <w:tc>
          <w:tcPr>
            <w:tcW w:w="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David L. Stepp</w:t>
            </w:r>
          </w:p>
        </w:tc>
      </w:tr>
      <w:tr>
        <w:trPr>
          <w:trHeight w:val="418"/>
        </w:trPr>
        <w:tc>
          <w:tcPr>
            <w:tcW w:w="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480" w:type="dxa"/>
            <w:vAlign w:val="bottom"/>
          </w:tcPr>
          <w:p>
            <w:pPr>
              <w:ind w:left="120"/>
              <w:spacing w:after="0"/>
              <w:rPr>
                <w:sz w:val="20"/>
                <w:szCs w:val="20"/>
                <w:color w:val="auto"/>
              </w:rPr>
            </w:pPr>
            <w:r>
              <w:rPr>
                <w:rFonts w:ascii="Arial" w:cs="Arial" w:eastAsia="Arial" w:hAnsi="Arial"/>
                <w:sz w:val="18"/>
                <w:szCs w:val="18"/>
                <w:color w:val="auto"/>
              </w:rPr>
              <w:t>Authorized Signatory</w:t>
            </w: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39"/>
        </w:trPr>
        <w:tc>
          <w:tcPr>
            <w:tcW w:w="5340" w:type="dxa"/>
            <w:vAlign w:val="bottom"/>
            <w:gridSpan w:val="3"/>
          </w:tcPr>
          <w:p>
            <w:pPr>
              <w:spacing w:after="0"/>
              <w:rPr>
                <w:sz w:val="20"/>
                <w:szCs w:val="20"/>
                <w:color w:val="auto"/>
              </w:rPr>
            </w:pPr>
            <w:r>
              <w:rPr>
                <w:rFonts w:ascii="Arial" w:cs="Arial" w:eastAsia="Arial" w:hAnsi="Arial"/>
                <w:sz w:val="18"/>
                <w:szCs w:val="18"/>
                <w:color w:val="auto"/>
              </w:rPr>
              <w:t>By:  /s/ David L. Stepp</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David L. Stepp</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8"/>
        </w:trPr>
        <w:tc>
          <w:tcPr>
            <w:tcW w:w="4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659"/>
        </w:trPr>
        <w:tc>
          <w:tcPr>
            <w:tcW w:w="4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tabs>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6"/>
          <w:szCs w:val="16"/>
          <w:color w:val="auto"/>
        </w:rPr>
        <w:t>Page 15 of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Joint Filing Agreement (Incorporated by reference from Exhibit A to Schedule 13G filed on January 26, 2015)</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Power of Attorney for Anders Hove (Incorporated by reference from Exhibit B to Schedule 13G filed on January 26, 2015)</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Power of Attorney for Bong Koh (Incorporated by reference from Exhibit C to Schedule 13G filed on January 26, 2015)</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bullet"/>
      <w:start w:val="1"/>
    </w:lvl>
  </w:abstractNum>
  <w:abstractNum w:abstractNumId="3">
    <w:nsid w:val="333AB105"/>
    <w:multiLevelType w:val="hybridMultilevel"/>
    <w:lvl w:ilvl="0">
      <w:lvlJc w:val="left"/>
      <w:lvlText w:val="2"/>
      <w:numFmt w:val="bullet"/>
      <w:start w:val="1"/>
    </w:lvl>
  </w:abstractNum>
  <w:abstractNum w:abstractNumId="4">
    <w:nsid w:val="721DA317"/>
    <w:multiLevelType w:val="hybridMultilevel"/>
    <w:lvl w:ilvl="0">
      <w:lvlJc w:val="left"/>
      <w:lvlText w:val="3"/>
      <w:numFmt w:val="bullet"/>
      <w:start w:val="1"/>
    </w:lvl>
  </w:abstractNum>
  <w:abstractNum w:abstractNumId="5">
    <w:nsid w:val="2443A858"/>
    <w:multiLevelType w:val="hybridMultilevel"/>
    <w:lvl w:ilvl="0">
      <w:lvlJc w:val="left"/>
      <w:lvlText w:val="1"/>
      <w:numFmt w:val="bullet"/>
      <w:start w:val="1"/>
    </w:lvl>
  </w:abstractNum>
  <w:abstractNum w:abstractNumId="6">
    <w:nsid w:val="2D1D5AE9"/>
    <w:multiLevelType w:val="hybridMultilevel"/>
    <w:lvl w:ilvl="0">
      <w:lvlJc w:val="left"/>
      <w:lvlText w:val="2"/>
      <w:numFmt w:val="bullet"/>
      <w:start w:val="1"/>
    </w:lvl>
  </w:abstractNum>
  <w:abstractNum w:abstractNumId="7">
    <w:nsid w:val="6763845E"/>
    <w:multiLevelType w:val="hybridMultilevel"/>
    <w:lvl w:ilvl="0">
      <w:lvlJc w:val="left"/>
      <w:lvlText w:val="3"/>
      <w:numFmt w:val="bullet"/>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2"/>
      <w:numFmt w:val="bullet"/>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2"/>
      <w:numFmt w:val="bullet"/>
      <w:start w:val="1"/>
    </w:lvl>
  </w:abstractNum>
  <w:abstractNum w:abstractNumId="13">
    <w:nsid w:val="189A769B"/>
    <w:multiLevelType w:val="hybridMultilevel"/>
    <w:lvl w:ilvl="0">
      <w:lvlJc w:val="left"/>
      <w:lvlText w:val="3"/>
      <w:numFmt w:val="bullet"/>
      <w:start w:val="1"/>
    </w:lvl>
  </w:abstractNum>
  <w:abstractNum w:abstractNumId="14">
    <w:nsid w:val="54E49EB4"/>
    <w:multiLevelType w:val="hybridMultilevel"/>
    <w:lvl w:ilvl="0">
      <w:lvlJc w:val="left"/>
      <w:lvlText w:val="1"/>
      <w:numFmt w:val="bullet"/>
      <w:start w:val="1"/>
    </w:lvl>
  </w:abstractNum>
  <w:abstractNum w:abstractNumId="15">
    <w:nsid w:val="71F32454"/>
    <w:multiLevelType w:val="hybridMultilevel"/>
    <w:lvl w:ilvl="0">
      <w:lvlJc w:val="left"/>
      <w:lvlText w:val="2"/>
      <w:numFmt w:val="bullet"/>
      <w:start w:val="1"/>
    </w:lvl>
  </w:abstractNum>
  <w:abstractNum w:abstractNumId="16">
    <w:nsid w:val="2CA88611"/>
    <w:multiLevelType w:val="hybridMultilevel"/>
    <w:lvl w:ilvl="0">
      <w:lvlJc w:val="left"/>
      <w:lvlText w:val="3"/>
      <w:numFmt w:val="bullet"/>
      <w:start w:val="1"/>
    </w:lvl>
  </w:abstractNum>
  <w:abstractNum w:abstractNumId="17">
    <w:nsid w:val="836C40E"/>
    <w:multiLevelType w:val="hybridMultilevel"/>
    <w:lvl w:ilvl="0">
      <w:lvlJc w:val="left"/>
      <w:lvlText w:val="1"/>
      <w:numFmt w:val="bullet"/>
      <w:start w:val="1"/>
    </w:lvl>
  </w:abstractNum>
  <w:abstractNum w:abstractNumId="18">
    <w:nsid w:val="2901D82"/>
    <w:multiLevelType w:val="hybridMultilevel"/>
    <w:lvl w:ilvl="0">
      <w:lvlJc w:val="left"/>
      <w:lvlText w:val="2"/>
      <w:numFmt w:val="bullet"/>
      <w:start w:val="1"/>
    </w:lvl>
  </w:abstractNum>
  <w:abstractNum w:abstractNumId="19">
    <w:nsid w:val="3A95F874"/>
    <w:multiLevelType w:val="hybridMultilevel"/>
    <w:lvl w:ilvl="0">
      <w:lvlJc w:val="left"/>
      <w:lvlText w:val="3"/>
      <w:numFmt w:val="bullet"/>
      <w:start w:val="1"/>
    </w:lvl>
  </w:abstractNum>
  <w:abstractNum w:abstractNumId="20">
    <w:nsid w:val="8138641"/>
    <w:multiLevelType w:val="hybridMultilevel"/>
    <w:lvl w:ilvl="0">
      <w:lvlJc w:val="left"/>
      <w:lvlText w:val="1"/>
      <w:numFmt w:val="bullet"/>
      <w:start w:val="1"/>
    </w:lvl>
  </w:abstractNum>
  <w:abstractNum w:abstractNumId="21">
    <w:nsid w:val="1E7FF521"/>
    <w:multiLevelType w:val="hybridMultilevel"/>
    <w:lvl w:ilvl="0">
      <w:lvlJc w:val="left"/>
      <w:lvlText w:val="2"/>
      <w:numFmt w:val="bullet"/>
      <w:start w:val="1"/>
    </w:lvl>
  </w:abstractNum>
  <w:abstractNum w:abstractNumId="22">
    <w:nsid w:val="7C3DBD3D"/>
    <w:multiLevelType w:val="hybridMultilevel"/>
    <w:lvl w:ilvl="0">
      <w:lvlJc w:val="left"/>
      <w:lvlText w:val="3"/>
      <w:numFmt w:val="bullet"/>
      <w:start w:val="1"/>
    </w:lvl>
  </w:abstractNum>
  <w:abstractNum w:abstractNumId="23">
    <w:nsid w:val="737B8DDC"/>
    <w:multiLevelType w:val="hybridMultilevel"/>
    <w:lvl w:ilvl="0">
      <w:lvlJc w:val="left"/>
      <w:lvlText w:val="1"/>
      <w:numFmt w:val="bullet"/>
      <w:start w:val="1"/>
    </w:lvl>
  </w:abstractNum>
  <w:abstractNum w:abstractNumId="24">
    <w:nsid w:val="6CEAF087"/>
    <w:multiLevelType w:val="hybridMultilevel"/>
    <w:lvl w:ilvl="0">
      <w:lvlJc w:val="left"/>
      <w:lvlText w:val="2"/>
      <w:numFmt w:val="bullet"/>
      <w:start w:val="1"/>
    </w:lvl>
  </w:abstractNum>
  <w:abstractNum w:abstractNumId="25">
    <w:nsid w:val="22221A70"/>
    <w:multiLevelType w:val="hybridMultilevel"/>
    <w:lvl w:ilvl="0">
      <w:lvlJc w:val="left"/>
      <w:lvlText w:val="3"/>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lowerRoman"/>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lowerRoman"/>
      <w:start w:val="4"/>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2019-12-21T06:29:33Z</dcterms:created>
  <dcterms:modified xsi:type="dcterms:W3CDTF">2019-12-21T06:29:33Z</dcterms:modified>
</cp:coreProperties>
</file>