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NDER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XCHANGE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CT OF</w:t>
      </w:r>
      <w:r>
        <w:rPr>
          <w:rFonts w:ascii="Arial" w:cs="Arial" w:eastAsia="Arial" w:hAnsi="Arial"/>
          <w:sz w:val="18"/>
          <w:szCs w:val="18"/>
          <w:b w:val="1"/>
          <w:bCs w:val="1"/>
          <w:color w:val="auto"/>
        </w:rPr>
        <w:t xml:space="preserve"> 1934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(Amendment No. ______)*</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ARCTURUS THERAPEUTICS LTD.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Ordinary Shares, par value NIS 0.01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M1492T105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CRAIG WILLETT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ARCTURUS THERAPEUTICS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10628 SCIENCE CENTER DRIVE,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858-900-2660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November 15,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66" w:lineRule="exact"/>
        <w:rPr>
          <w:sz w:val="24"/>
          <w:szCs w:val="24"/>
          <w:color w:val="auto"/>
        </w:rPr>
      </w:pPr>
    </w:p>
    <w:p>
      <w:pPr>
        <w:ind w:right="20" w:firstLine="8"/>
        <w:spacing w:after="0" w:line="277" w:lineRule="auto"/>
        <w:tabs>
          <w:tab w:leader="none" w:pos="14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tbl>
      <w:tblPr>
        <w:tblLayout w:type="fixed"/>
        <w:tblInd w:w="10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b w:val="1"/>
                <w:bCs w:val="1"/>
                <w:color w:val="auto"/>
              </w:rPr>
              <w:t>CUSIP No. M1492T105</w:t>
            </w:r>
          </w:p>
        </w:tc>
        <w:tc>
          <w:tcPr>
            <w:tcW w:w="2140" w:type="dxa"/>
            <w:vAlign w:val="bottom"/>
          </w:tcPr>
          <w:p>
            <w:pPr>
              <w:ind w:left="1820"/>
              <w:spacing w:after="0"/>
              <w:rPr>
                <w:sz w:val="20"/>
                <w:szCs w:val="20"/>
                <w:color w:val="auto"/>
              </w:rPr>
            </w:pPr>
            <w:r>
              <w:rPr>
                <w:rFonts w:ascii="Arial" w:cs="Arial" w:eastAsia="Arial" w:hAnsi="Arial"/>
                <w:sz w:val="18"/>
                <w:szCs w:val="18"/>
                <w:b w:val="1"/>
                <w:bCs w:val="1"/>
                <w:color w:val="auto"/>
                <w:w w:val="90"/>
              </w:rPr>
              <w:t>13D</w:t>
            </w:r>
          </w:p>
        </w:tc>
      </w:tr>
    </w:tbl>
    <w:p>
      <w:pPr>
        <w:ind w:left="920" w:hanging="815"/>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Craig Willett</w:t>
      </w:r>
    </w:p>
    <w:p>
      <w:pPr>
        <w:spacing w:after="0" w:line="27" w:lineRule="exact"/>
        <w:rPr>
          <w:rFonts w:ascii="Arial" w:cs="Arial" w:eastAsia="Arial" w:hAnsi="Arial"/>
          <w:sz w:val="18"/>
          <w:szCs w:val="18"/>
          <w:color w:val="auto"/>
        </w:rPr>
      </w:pPr>
    </w:p>
    <w:p>
      <w:pPr>
        <w:ind w:left="920" w:hanging="815"/>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1" w:lineRule="exact"/>
        <w:rPr>
          <w:rFonts w:ascii="Arial" w:cs="Arial" w:eastAsia="Arial" w:hAnsi="Arial"/>
          <w:sz w:val="18"/>
          <w:szCs w:val="18"/>
          <w:color w:val="auto"/>
        </w:rPr>
      </w:pPr>
    </w:p>
    <w:p>
      <w:pPr>
        <w:ind w:left="1160" w:hanging="245"/>
        <w:spacing w:after="0" w:line="207" w:lineRule="exact"/>
        <w:tabs>
          <w:tab w:leader="none" w:pos="11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80" w:hanging="265"/>
        <w:spacing w:after="0" w:line="207" w:lineRule="exact"/>
        <w:tabs>
          <w:tab w:leader="none" w:pos="11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920" w:hanging="815"/>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rFonts w:ascii="Arial" w:cs="Arial" w:eastAsia="Arial" w:hAnsi="Arial"/>
          <w:sz w:val="18"/>
          <w:szCs w:val="18"/>
          <w:color w:val="auto"/>
        </w:rPr>
      </w:pPr>
    </w:p>
    <w:p>
      <w:pPr>
        <w:ind w:left="920" w:hanging="815"/>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-979805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8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5.</w:t>
            </w:r>
          </w:p>
        </w:tc>
        <w:tc>
          <w:tcPr>
            <w:tcW w:w="8040" w:type="dxa"/>
            <w:vAlign w:val="bottom"/>
            <w:tcBorders>
              <w:top w:val="single" w:sz="8" w:color="auto"/>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2560" w:type="dxa"/>
            <w:vAlign w:val="bottom"/>
            <w:tcBorders>
              <w:top w:val="single" w:sz="8" w:color="auto"/>
              <w:bottom w:val="single" w:sz="8" w:color="auto"/>
            </w:tcBorders>
            <w:shd w:val="clear" w:color="auto" w:fill="E5E5E5"/>
          </w:tcPr>
          <w:p>
            <w:pPr>
              <w:ind w:left="1960"/>
              <w:spacing w:after="0" w:line="181" w:lineRule="exact"/>
              <w:rPr>
                <w:sz w:val="20"/>
                <w:szCs w:val="20"/>
                <w:color w:val="auto"/>
              </w:rPr>
            </w:pPr>
            <w:r>
              <w:rPr>
                <w:rFonts w:ascii="MS PGothic" w:cs="MS PGothic" w:eastAsia="MS PGothic" w:hAnsi="MS PGothic"/>
                <w:sz w:val="18"/>
                <w:szCs w:val="18"/>
                <w:color w:val="auto"/>
              </w:rPr>
              <w:t>☐</w:t>
            </w:r>
          </w:p>
        </w:tc>
      </w:tr>
    </w:tbl>
    <w:p>
      <w:pPr>
        <w:ind w:left="920" w:hanging="81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United States of America</w:t>
      </w:r>
    </w:p>
    <w:p>
      <w:pPr>
        <w:spacing w:after="0" w:line="27" w:lineRule="exact"/>
        <w:rPr>
          <w:rFonts w:ascii="Arial" w:cs="Arial" w:eastAsia="Arial" w:hAnsi="Arial"/>
          <w:sz w:val="18"/>
          <w:szCs w:val="18"/>
          <w:color w:val="auto"/>
        </w:rPr>
      </w:pPr>
    </w:p>
    <w:p>
      <w:pPr>
        <w:ind w:left="2860" w:hanging="797"/>
        <w:spacing w:after="0"/>
        <w:tabs>
          <w:tab w:leader="none" w:pos="28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420" w:type="dxa"/>
            <w:vAlign w:val="bottom"/>
            <w:vMerge w:val="restart"/>
          </w:tcPr>
          <w:p>
            <w:pPr>
              <w:jc w:val="center"/>
              <w:ind w:right="430"/>
              <w:spacing w:after="0"/>
              <w:rPr>
                <w:sz w:val="20"/>
                <w:szCs w:val="20"/>
                <w:color w:val="auto"/>
              </w:rPr>
            </w:pPr>
            <w:r>
              <w:rPr>
                <w:rFonts w:ascii="Arial" w:cs="Arial" w:eastAsia="Arial" w:hAnsi="Arial"/>
                <w:sz w:val="18"/>
                <w:szCs w:val="18"/>
                <w:color w:val="auto"/>
                <w:w w:val="92"/>
              </w:rPr>
              <w:t>Number of</w:t>
            </w:r>
          </w:p>
        </w:tc>
        <w:tc>
          <w:tcPr>
            <w:tcW w:w="620" w:type="dxa"/>
            <w:vAlign w:val="bottom"/>
            <w:tcBorders>
              <w:bottom w:val="single" w:sz="8" w:color="auto"/>
            </w:tcBorders>
          </w:tcPr>
          <w:p>
            <w:pPr>
              <w:spacing w:after="0"/>
              <w:rPr>
                <w:sz w:val="20"/>
                <w:szCs w:val="20"/>
                <w:color w:val="auto"/>
              </w:rPr>
            </w:pPr>
          </w:p>
        </w:tc>
        <w:tc>
          <w:tcPr>
            <w:tcW w:w="88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108,282 Ordinary Shares</w:t>
            </w:r>
          </w:p>
        </w:tc>
        <w:tc>
          <w:tcPr>
            <w:tcW w:w="0" w:type="dxa"/>
            <w:vAlign w:val="bottom"/>
          </w:tcPr>
          <w:p>
            <w:pPr>
              <w:spacing w:after="0"/>
              <w:rPr>
                <w:sz w:val="1"/>
                <w:szCs w:val="1"/>
                <w:color w:val="auto"/>
              </w:rPr>
            </w:pPr>
          </w:p>
        </w:tc>
      </w:tr>
      <w:tr>
        <w:trPr>
          <w:trHeight w:val="87"/>
        </w:trPr>
        <w:tc>
          <w:tcPr>
            <w:tcW w:w="1420" w:type="dxa"/>
            <w:vAlign w:val="bottom"/>
            <w:vMerge w:val="continue"/>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8.</w:t>
            </w:r>
          </w:p>
        </w:tc>
        <w:tc>
          <w:tcPr>
            <w:tcW w:w="884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84"/>
              </w:rPr>
              <w:t>Shares</w:t>
            </w:r>
          </w:p>
        </w:tc>
        <w:tc>
          <w:tcPr>
            <w:tcW w:w="620" w:type="dxa"/>
            <w:vAlign w:val="bottom"/>
            <w:vMerge w:val="continue"/>
          </w:tcPr>
          <w:p>
            <w:pPr>
              <w:spacing w:after="0"/>
              <w:rPr>
                <w:sz w:val="11"/>
                <w:szCs w:val="11"/>
                <w:color w:val="auto"/>
              </w:rPr>
            </w:pPr>
          </w:p>
        </w:tc>
        <w:tc>
          <w:tcPr>
            <w:tcW w:w="8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4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8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6"/>
              </w:rPr>
              <w:t>Beneficially</w:t>
            </w:r>
          </w:p>
        </w:tc>
        <w:tc>
          <w:tcPr>
            <w:tcW w:w="620" w:type="dxa"/>
            <w:vAlign w:val="bottom"/>
          </w:tcPr>
          <w:p>
            <w:pPr>
              <w:spacing w:after="0"/>
              <w:rPr>
                <w:sz w:val="18"/>
                <w:szCs w:val="18"/>
                <w:color w:val="auto"/>
              </w:rPr>
            </w:pPr>
          </w:p>
        </w:tc>
        <w:tc>
          <w:tcPr>
            <w:tcW w:w="88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758,060 Ordinary Shares</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Owned by</w:t>
            </w:r>
          </w:p>
        </w:tc>
        <w:tc>
          <w:tcPr>
            <w:tcW w:w="620" w:type="dxa"/>
            <w:vAlign w:val="bottom"/>
            <w:tcBorders>
              <w:bottom w:val="single" w:sz="8" w:color="auto"/>
            </w:tcBorders>
          </w:tcPr>
          <w:p>
            <w:pPr>
              <w:spacing w:after="0"/>
              <w:rPr>
                <w:sz w:val="10"/>
                <w:szCs w:val="10"/>
                <w:color w:val="auto"/>
              </w:rPr>
            </w:pPr>
          </w:p>
        </w:tc>
        <w:tc>
          <w:tcPr>
            <w:tcW w:w="88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42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9.</w:t>
            </w:r>
          </w:p>
        </w:tc>
        <w:tc>
          <w:tcPr>
            <w:tcW w:w="884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87"/>
              </w:rPr>
              <w:t>Each</w:t>
            </w:r>
          </w:p>
        </w:tc>
        <w:tc>
          <w:tcPr>
            <w:tcW w:w="620" w:type="dxa"/>
            <w:vAlign w:val="bottom"/>
            <w:vMerge w:val="continue"/>
          </w:tcPr>
          <w:p>
            <w:pPr>
              <w:spacing w:after="0"/>
              <w:rPr>
                <w:sz w:val="13"/>
                <w:szCs w:val="13"/>
                <w:color w:val="auto"/>
              </w:rPr>
            </w:pPr>
          </w:p>
        </w:tc>
        <w:tc>
          <w:tcPr>
            <w:tcW w:w="8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2"/>
              </w:rPr>
              <w:t>Reporting</w:t>
            </w:r>
          </w:p>
        </w:tc>
        <w:tc>
          <w:tcPr>
            <w:tcW w:w="620" w:type="dxa"/>
            <w:vAlign w:val="bottom"/>
          </w:tcPr>
          <w:p>
            <w:pPr>
              <w:spacing w:after="0"/>
              <w:rPr>
                <w:sz w:val="18"/>
                <w:szCs w:val="18"/>
                <w:color w:val="auto"/>
              </w:rPr>
            </w:pPr>
          </w:p>
        </w:tc>
        <w:tc>
          <w:tcPr>
            <w:tcW w:w="88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108,282 Ordinary Shares</w:t>
            </w:r>
          </w:p>
        </w:tc>
        <w:tc>
          <w:tcPr>
            <w:tcW w:w="0" w:type="dxa"/>
            <w:vAlign w:val="bottom"/>
          </w:tcPr>
          <w:p>
            <w:pPr>
              <w:spacing w:after="0"/>
              <w:rPr>
                <w:sz w:val="1"/>
                <w:szCs w:val="1"/>
                <w:color w:val="auto"/>
              </w:rPr>
            </w:pPr>
          </w:p>
        </w:tc>
      </w:tr>
      <w:tr>
        <w:trPr>
          <w:trHeight w:val="136"/>
        </w:trPr>
        <w:tc>
          <w:tcPr>
            <w:tcW w:w="142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Person With</w:t>
            </w:r>
          </w:p>
        </w:tc>
        <w:tc>
          <w:tcPr>
            <w:tcW w:w="620" w:type="dxa"/>
            <w:vAlign w:val="bottom"/>
            <w:tcBorders>
              <w:bottom w:val="single" w:sz="8" w:color="auto"/>
            </w:tcBorders>
          </w:tcPr>
          <w:p>
            <w:pPr>
              <w:spacing w:after="0"/>
              <w:rPr>
                <w:sz w:val="11"/>
                <w:szCs w:val="11"/>
                <w:color w:val="auto"/>
              </w:rPr>
            </w:pPr>
          </w:p>
        </w:tc>
        <w:tc>
          <w:tcPr>
            <w:tcW w:w="8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42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10.</w:t>
            </w:r>
          </w:p>
        </w:tc>
        <w:tc>
          <w:tcPr>
            <w:tcW w:w="884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40" w:type="dxa"/>
            <w:vAlign w:val="bottom"/>
          </w:tcPr>
          <w:p>
            <w:pPr>
              <w:ind w:left="280"/>
              <w:spacing w:after="0"/>
              <w:rPr>
                <w:sz w:val="20"/>
                <w:szCs w:val="20"/>
                <w:color w:val="auto"/>
              </w:rPr>
            </w:pPr>
            <w:r>
              <w:rPr>
                <w:rFonts w:ascii="Arial" w:cs="Arial" w:eastAsia="Arial" w:hAnsi="Arial"/>
                <w:sz w:val="18"/>
                <w:szCs w:val="18"/>
                <w:b w:val="1"/>
                <w:bCs w:val="1"/>
                <w:color w:val="auto"/>
              </w:rPr>
              <w:t>758,060 Ordinary Shares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11.</w:t>
            </w:r>
          </w:p>
        </w:tc>
        <w:tc>
          <w:tcPr>
            <w:tcW w:w="840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Aggregate Amount Beneficially Owned by Each Reporting Person</w:t>
            </w:r>
          </w:p>
        </w:tc>
        <w:tc>
          <w:tcPr>
            <w:tcW w:w="2400" w:type="dxa"/>
            <w:vAlign w:val="bottom"/>
            <w:tcBorders>
              <w:top w:val="single" w:sz="8" w:color="auto"/>
            </w:tcBorders>
          </w:tcPr>
          <w:p>
            <w:pPr>
              <w:spacing w:after="0"/>
              <w:rPr>
                <w:sz w:val="20"/>
                <w:szCs w:val="20"/>
                <w:color w:val="auto"/>
              </w:rPr>
            </w:pPr>
          </w:p>
        </w:tc>
      </w:tr>
      <w:tr>
        <w:trPr>
          <w:trHeight w:val="411"/>
        </w:trPr>
        <w:tc>
          <w:tcPr>
            <w:tcW w:w="6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866,342 Ordinary Shares</w:t>
            </w:r>
          </w:p>
        </w:tc>
        <w:tc>
          <w:tcPr>
            <w:tcW w:w="2400" w:type="dxa"/>
            <w:vAlign w:val="bottom"/>
            <w:tcBorders>
              <w:bottom w:val="single" w:sz="8" w:color="auto"/>
            </w:tcBorders>
          </w:tcPr>
          <w:p>
            <w:pPr>
              <w:spacing w:after="0"/>
              <w:rPr>
                <w:sz w:val="24"/>
                <w:szCs w:val="24"/>
                <w:color w:val="auto"/>
              </w:rPr>
            </w:pPr>
          </w:p>
        </w:tc>
      </w:tr>
      <w:tr>
        <w:trPr>
          <w:trHeight w:val="225"/>
        </w:trPr>
        <w:tc>
          <w:tcPr>
            <w:tcW w:w="62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8400" w:type="dxa"/>
            <w:vAlign w:val="bottom"/>
          </w:tcPr>
          <w:p>
            <w:pPr>
              <w:ind w:left="3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40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920" w:hanging="81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8.1% (1)</w:t>
      </w:r>
    </w:p>
    <w:p>
      <w:pPr>
        <w:spacing w:after="0" w:line="27" w:lineRule="exact"/>
        <w:rPr>
          <w:rFonts w:ascii="Arial" w:cs="Arial" w:eastAsia="Arial" w:hAnsi="Arial"/>
          <w:sz w:val="18"/>
          <w:szCs w:val="18"/>
          <w:color w:val="auto"/>
        </w:rPr>
      </w:pPr>
    </w:p>
    <w:p>
      <w:pPr>
        <w:ind w:left="920" w:hanging="81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42" w:lineRule="exact"/>
        <w:rPr>
          <w:rFonts w:ascii="Arial" w:cs="Arial" w:eastAsia="Arial" w:hAnsi="Arial"/>
          <w:sz w:val="18"/>
          <w:szCs w:val="18"/>
          <w:color w:val="auto"/>
        </w:rPr>
      </w:pPr>
    </w:p>
    <w:p>
      <w:pPr>
        <w:ind w:left="660" w:hanging="328"/>
        <w:spacing w:after="0" w:line="342" w:lineRule="auto"/>
        <w:tabs>
          <w:tab w:leader="none" w:pos="660" w:val="left"/>
        </w:tabs>
        <w:numPr>
          <w:ilvl w:val="1"/>
          <w:numId w:val="4"/>
        </w:numPr>
        <w:rPr>
          <w:rFonts w:ascii="Arial" w:cs="Arial" w:eastAsia="Arial" w:hAnsi="Arial"/>
          <w:sz w:val="16"/>
          <w:szCs w:val="16"/>
          <w:color w:val="auto"/>
        </w:rPr>
      </w:pPr>
      <w:r>
        <w:rPr>
          <w:rFonts w:ascii="Arial" w:cs="Arial" w:eastAsia="Arial" w:hAnsi="Arial"/>
          <w:sz w:val="16"/>
          <w:szCs w:val="16"/>
          <w:color w:val="auto"/>
        </w:rPr>
        <w:t>The percentage calculation is based upon 10,691,945 Ordinary Shares outstanding, which is the total number of Ordinary Shares outstanding as reported in the Issuer’s Report of Foreign Private Issuer on Form 6-K filed with the Securities and Exchange Commission on February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tbl>
      <w:tblPr>
        <w:tblLayout w:type="fixed"/>
        <w:tblInd w:w="10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b w:val="1"/>
                <w:bCs w:val="1"/>
                <w:color w:val="auto"/>
              </w:rPr>
              <w:t>CUSIP No. M1492T105</w:t>
            </w:r>
          </w:p>
        </w:tc>
        <w:tc>
          <w:tcPr>
            <w:tcW w:w="2140" w:type="dxa"/>
            <w:vAlign w:val="bottom"/>
          </w:tcPr>
          <w:p>
            <w:pPr>
              <w:ind w:left="1820"/>
              <w:spacing w:after="0"/>
              <w:rPr>
                <w:sz w:val="20"/>
                <w:szCs w:val="20"/>
                <w:color w:val="auto"/>
              </w:rPr>
            </w:pPr>
            <w:r>
              <w:rPr>
                <w:rFonts w:ascii="Arial" w:cs="Arial" w:eastAsia="Arial" w:hAnsi="Arial"/>
                <w:sz w:val="18"/>
                <w:szCs w:val="18"/>
                <w:b w:val="1"/>
                <w:bCs w:val="1"/>
                <w:color w:val="auto"/>
                <w:w w:val="90"/>
              </w:rPr>
              <w:t>13D</w:t>
            </w:r>
          </w:p>
        </w:tc>
      </w:tr>
    </w:tbl>
    <w:p>
      <w:pPr>
        <w:ind w:left="920" w:hanging="815"/>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Phoenician Enterprises, Ltd.</w:t>
      </w:r>
    </w:p>
    <w:p>
      <w:pPr>
        <w:spacing w:after="0" w:line="27" w:lineRule="exact"/>
        <w:rPr>
          <w:rFonts w:ascii="Arial" w:cs="Arial" w:eastAsia="Arial" w:hAnsi="Arial"/>
          <w:sz w:val="18"/>
          <w:szCs w:val="18"/>
          <w:color w:val="auto"/>
        </w:rPr>
      </w:pPr>
    </w:p>
    <w:p>
      <w:pPr>
        <w:ind w:left="920" w:hanging="815"/>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1" w:lineRule="exact"/>
        <w:rPr>
          <w:rFonts w:ascii="Arial" w:cs="Arial" w:eastAsia="Arial" w:hAnsi="Arial"/>
          <w:sz w:val="18"/>
          <w:szCs w:val="18"/>
          <w:color w:val="auto"/>
        </w:rPr>
      </w:pPr>
    </w:p>
    <w:p>
      <w:pPr>
        <w:ind w:left="1160" w:hanging="245"/>
        <w:spacing w:after="0" w:line="207" w:lineRule="exact"/>
        <w:tabs>
          <w:tab w:leader="none" w:pos="11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80" w:hanging="265"/>
        <w:spacing w:after="0" w:line="207" w:lineRule="exact"/>
        <w:tabs>
          <w:tab w:leader="none" w:pos="11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920" w:hanging="815"/>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rFonts w:ascii="Arial" w:cs="Arial" w:eastAsia="Arial" w:hAnsi="Arial"/>
          <w:sz w:val="18"/>
          <w:szCs w:val="18"/>
          <w:color w:val="auto"/>
        </w:rPr>
      </w:pPr>
    </w:p>
    <w:p>
      <w:pPr>
        <w:ind w:left="920" w:hanging="815"/>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-979805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-1400175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8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5.</w:t>
            </w:r>
          </w:p>
        </w:tc>
        <w:tc>
          <w:tcPr>
            <w:tcW w:w="8040" w:type="dxa"/>
            <w:vAlign w:val="bottom"/>
            <w:tcBorders>
              <w:top w:val="single" w:sz="8" w:color="auto"/>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2560" w:type="dxa"/>
            <w:vAlign w:val="bottom"/>
            <w:tcBorders>
              <w:top w:val="single" w:sz="8" w:color="auto"/>
              <w:bottom w:val="single" w:sz="8" w:color="auto"/>
            </w:tcBorders>
            <w:shd w:val="clear" w:color="auto" w:fill="E5E5E5"/>
          </w:tcPr>
          <w:p>
            <w:pPr>
              <w:ind w:left="1960"/>
              <w:spacing w:after="0" w:line="181" w:lineRule="exact"/>
              <w:rPr>
                <w:sz w:val="20"/>
                <w:szCs w:val="20"/>
                <w:color w:val="auto"/>
              </w:rPr>
            </w:pPr>
            <w:r>
              <w:rPr>
                <w:rFonts w:ascii="MS PGothic" w:cs="MS PGothic" w:eastAsia="MS PGothic" w:hAnsi="MS PGothic"/>
                <w:sz w:val="18"/>
                <w:szCs w:val="18"/>
                <w:color w:val="auto"/>
              </w:rPr>
              <w:t>☐</w:t>
            </w:r>
          </w:p>
        </w:tc>
      </w:tr>
    </w:tbl>
    <w:p>
      <w:pPr>
        <w:ind w:left="920" w:hanging="815"/>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Utah</w:t>
      </w:r>
    </w:p>
    <w:p>
      <w:pPr>
        <w:spacing w:after="0" w:line="27" w:lineRule="exact"/>
        <w:rPr>
          <w:rFonts w:ascii="Arial" w:cs="Arial" w:eastAsia="Arial" w:hAnsi="Arial"/>
          <w:sz w:val="18"/>
          <w:szCs w:val="18"/>
          <w:color w:val="auto"/>
        </w:rPr>
      </w:pPr>
    </w:p>
    <w:p>
      <w:pPr>
        <w:ind w:left="2860" w:hanging="797"/>
        <w:spacing w:after="0"/>
        <w:tabs>
          <w:tab w:leader="none" w:pos="286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420" w:type="dxa"/>
            <w:vAlign w:val="bottom"/>
            <w:vMerge w:val="restart"/>
          </w:tcPr>
          <w:p>
            <w:pPr>
              <w:jc w:val="center"/>
              <w:ind w:right="430"/>
              <w:spacing w:after="0"/>
              <w:rPr>
                <w:sz w:val="20"/>
                <w:szCs w:val="20"/>
                <w:color w:val="auto"/>
              </w:rPr>
            </w:pPr>
            <w:r>
              <w:rPr>
                <w:rFonts w:ascii="Arial" w:cs="Arial" w:eastAsia="Arial" w:hAnsi="Arial"/>
                <w:sz w:val="18"/>
                <w:szCs w:val="18"/>
                <w:color w:val="auto"/>
                <w:w w:val="92"/>
              </w:rPr>
              <w:t>Number of</w:t>
            </w:r>
          </w:p>
        </w:tc>
        <w:tc>
          <w:tcPr>
            <w:tcW w:w="620" w:type="dxa"/>
            <w:vAlign w:val="bottom"/>
            <w:tcBorders>
              <w:bottom w:val="single" w:sz="8" w:color="auto"/>
            </w:tcBorders>
          </w:tcPr>
          <w:p>
            <w:pPr>
              <w:spacing w:after="0"/>
              <w:rPr>
                <w:sz w:val="20"/>
                <w:szCs w:val="20"/>
                <w:color w:val="auto"/>
              </w:rPr>
            </w:pPr>
          </w:p>
        </w:tc>
        <w:tc>
          <w:tcPr>
            <w:tcW w:w="88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7"/>
        </w:trPr>
        <w:tc>
          <w:tcPr>
            <w:tcW w:w="1420" w:type="dxa"/>
            <w:vAlign w:val="bottom"/>
            <w:vMerge w:val="continue"/>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8.</w:t>
            </w:r>
          </w:p>
        </w:tc>
        <w:tc>
          <w:tcPr>
            <w:tcW w:w="884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84"/>
              </w:rPr>
              <w:t>Shares</w:t>
            </w:r>
          </w:p>
        </w:tc>
        <w:tc>
          <w:tcPr>
            <w:tcW w:w="620" w:type="dxa"/>
            <w:vAlign w:val="bottom"/>
            <w:vMerge w:val="continue"/>
          </w:tcPr>
          <w:p>
            <w:pPr>
              <w:spacing w:after="0"/>
              <w:rPr>
                <w:sz w:val="11"/>
                <w:szCs w:val="11"/>
                <w:color w:val="auto"/>
              </w:rPr>
            </w:pPr>
          </w:p>
        </w:tc>
        <w:tc>
          <w:tcPr>
            <w:tcW w:w="8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4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8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6"/>
              </w:rPr>
              <w:t>Beneficially</w:t>
            </w:r>
          </w:p>
        </w:tc>
        <w:tc>
          <w:tcPr>
            <w:tcW w:w="620" w:type="dxa"/>
            <w:vAlign w:val="bottom"/>
          </w:tcPr>
          <w:p>
            <w:pPr>
              <w:spacing w:after="0"/>
              <w:rPr>
                <w:sz w:val="18"/>
                <w:szCs w:val="18"/>
                <w:color w:val="auto"/>
              </w:rPr>
            </w:pPr>
          </w:p>
        </w:tc>
        <w:tc>
          <w:tcPr>
            <w:tcW w:w="88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294,113 Ordinary Shares</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Owned by</w:t>
            </w:r>
          </w:p>
        </w:tc>
        <w:tc>
          <w:tcPr>
            <w:tcW w:w="620" w:type="dxa"/>
            <w:vAlign w:val="bottom"/>
            <w:tcBorders>
              <w:bottom w:val="single" w:sz="8" w:color="auto"/>
            </w:tcBorders>
          </w:tcPr>
          <w:p>
            <w:pPr>
              <w:spacing w:after="0"/>
              <w:rPr>
                <w:sz w:val="10"/>
                <w:szCs w:val="10"/>
                <w:color w:val="auto"/>
              </w:rPr>
            </w:pPr>
          </w:p>
        </w:tc>
        <w:tc>
          <w:tcPr>
            <w:tcW w:w="88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42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9.</w:t>
            </w:r>
          </w:p>
        </w:tc>
        <w:tc>
          <w:tcPr>
            <w:tcW w:w="884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87"/>
              </w:rPr>
              <w:t>Each</w:t>
            </w:r>
          </w:p>
        </w:tc>
        <w:tc>
          <w:tcPr>
            <w:tcW w:w="620" w:type="dxa"/>
            <w:vAlign w:val="bottom"/>
            <w:vMerge w:val="continue"/>
          </w:tcPr>
          <w:p>
            <w:pPr>
              <w:spacing w:after="0"/>
              <w:rPr>
                <w:sz w:val="13"/>
                <w:szCs w:val="13"/>
                <w:color w:val="auto"/>
              </w:rPr>
            </w:pPr>
          </w:p>
        </w:tc>
        <w:tc>
          <w:tcPr>
            <w:tcW w:w="8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2"/>
              </w:rPr>
              <w:t>Reporting</w:t>
            </w:r>
          </w:p>
        </w:tc>
        <w:tc>
          <w:tcPr>
            <w:tcW w:w="620" w:type="dxa"/>
            <w:vAlign w:val="bottom"/>
          </w:tcPr>
          <w:p>
            <w:pPr>
              <w:spacing w:after="0"/>
              <w:rPr>
                <w:sz w:val="18"/>
                <w:szCs w:val="18"/>
                <w:color w:val="auto"/>
              </w:rPr>
            </w:pPr>
          </w:p>
        </w:tc>
        <w:tc>
          <w:tcPr>
            <w:tcW w:w="88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36"/>
        </w:trPr>
        <w:tc>
          <w:tcPr>
            <w:tcW w:w="142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Person With</w:t>
            </w:r>
          </w:p>
        </w:tc>
        <w:tc>
          <w:tcPr>
            <w:tcW w:w="620" w:type="dxa"/>
            <w:vAlign w:val="bottom"/>
            <w:tcBorders>
              <w:bottom w:val="single" w:sz="8" w:color="auto"/>
            </w:tcBorders>
          </w:tcPr>
          <w:p>
            <w:pPr>
              <w:spacing w:after="0"/>
              <w:rPr>
                <w:sz w:val="11"/>
                <w:szCs w:val="11"/>
                <w:color w:val="auto"/>
              </w:rPr>
            </w:pPr>
          </w:p>
        </w:tc>
        <w:tc>
          <w:tcPr>
            <w:tcW w:w="8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42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10.</w:t>
            </w:r>
          </w:p>
        </w:tc>
        <w:tc>
          <w:tcPr>
            <w:tcW w:w="884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40" w:type="dxa"/>
            <w:vAlign w:val="bottom"/>
          </w:tcPr>
          <w:p>
            <w:pPr>
              <w:ind w:left="280"/>
              <w:spacing w:after="0"/>
              <w:rPr>
                <w:sz w:val="20"/>
                <w:szCs w:val="20"/>
                <w:color w:val="auto"/>
              </w:rPr>
            </w:pPr>
            <w:r>
              <w:rPr>
                <w:rFonts w:ascii="Arial" w:cs="Arial" w:eastAsia="Arial" w:hAnsi="Arial"/>
                <w:sz w:val="18"/>
                <w:szCs w:val="18"/>
                <w:b w:val="1"/>
                <w:bCs w:val="1"/>
                <w:color w:val="auto"/>
              </w:rPr>
              <w:t>294,113 Ordinary Shares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11.</w:t>
            </w:r>
          </w:p>
        </w:tc>
        <w:tc>
          <w:tcPr>
            <w:tcW w:w="840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Aggregate Amount Beneficially Owned by Each Reporting Person</w:t>
            </w:r>
          </w:p>
        </w:tc>
        <w:tc>
          <w:tcPr>
            <w:tcW w:w="2400" w:type="dxa"/>
            <w:vAlign w:val="bottom"/>
            <w:tcBorders>
              <w:top w:val="single" w:sz="8" w:color="auto"/>
            </w:tcBorders>
          </w:tcPr>
          <w:p>
            <w:pPr>
              <w:spacing w:after="0"/>
              <w:rPr>
                <w:sz w:val="20"/>
                <w:szCs w:val="20"/>
                <w:color w:val="auto"/>
              </w:rPr>
            </w:pPr>
          </w:p>
        </w:tc>
      </w:tr>
      <w:tr>
        <w:trPr>
          <w:trHeight w:val="411"/>
        </w:trPr>
        <w:tc>
          <w:tcPr>
            <w:tcW w:w="6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294,113 Ordinary Shares</w:t>
            </w:r>
          </w:p>
        </w:tc>
        <w:tc>
          <w:tcPr>
            <w:tcW w:w="2400" w:type="dxa"/>
            <w:vAlign w:val="bottom"/>
            <w:tcBorders>
              <w:bottom w:val="single" w:sz="8" w:color="auto"/>
            </w:tcBorders>
          </w:tcPr>
          <w:p>
            <w:pPr>
              <w:spacing w:after="0"/>
              <w:rPr>
                <w:sz w:val="24"/>
                <w:szCs w:val="24"/>
                <w:color w:val="auto"/>
              </w:rPr>
            </w:pPr>
          </w:p>
        </w:tc>
      </w:tr>
      <w:tr>
        <w:trPr>
          <w:trHeight w:val="225"/>
        </w:trPr>
        <w:tc>
          <w:tcPr>
            <w:tcW w:w="62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8400" w:type="dxa"/>
            <w:vAlign w:val="bottom"/>
          </w:tcPr>
          <w:p>
            <w:pPr>
              <w:ind w:left="3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40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920" w:hanging="815"/>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2.8% (1)</w:t>
      </w:r>
    </w:p>
    <w:p>
      <w:pPr>
        <w:spacing w:after="0" w:line="27" w:lineRule="exact"/>
        <w:rPr>
          <w:rFonts w:ascii="Arial" w:cs="Arial" w:eastAsia="Arial" w:hAnsi="Arial"/>
          <w:sz w:val="18"/>
          <w:szCs w:val="18"/>
          <w:color w:val="auto"/>
        </w:rPr>
      </w:pPr>
    </w:p>
    <w:p>
      <w:pPr>
        <w:ind w:left="920" w:hanging="815"/>
        <w:spacing w:after="0"/>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PN</w:t>
      </w:r>
    </w:p>
    <w:p>
      <w:pPr>
        <w:spacing w:after="0" w:line="242" w:lineRule="exact"/>
        <w:rPr>
          <w:rFonts w:ascii="Arial" w:cs="Arial" w:eastAsia="Arial" w:hAnsi="Arial"/>
          <w:sz w:val="18"/>
          <w:szCs w:val="18"/>
          <w:color w:val="auto"/>
        </w:rPr>
      </w:pPr>
    </w:p>
    <w:p>
      <w:pPr>
        <w:ind w:left="660" w:hanging="328"/>
        <w:spacing w:after="0" w:line="342" w:lineRule="auto"/>
        <w:tabs>
          <w:tab w:leader="none" w:pos="660"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percentage calculation is based upon 10,691,945 Ordinary Shares outstanding, which is the total number of Ordinary Shares outstanding as reported in the Issuer’s Report of Foreign Private Issuer on Form 6-K filed with the Securities and Exchange Commission on February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10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b w:val="1"/>
                <w:bCs w:val="1"/>
                <w:color w:val="auto"/>
              </w:rPr>
              <w:t>CUSIP No. M1492T105</w:t>
            </w:r>
          </w:p>
        </w:tc>
        <w:tc>
          <w:tcPr>
            <w:tcW w:w="2140" w:type="dxa"/>
            <w:vAlign w:val="bottom"/>
          </w:tcPr>
          <w:p>
            <w:pPr>
              <w:ind w:left="1820"/>
              <w:spacing w:after="0"/>
              <w:rPr>
                <w:sz w:val="20"/>
                <w:szCs w:val="20"/>
                <w:color w:val="auto"/>
              </w:rPr>
            </w:pPr>
            <w:r>
              <w:rPr>
                <w:rFonts w:ascii="Arial" w:cs="Arial" w:eastAsia="Arial" w:hAnsi="Arial"/>
                <w:sz w:val="18"/>
                <w:szCs w:val="18"/>
                <w:b w:val="1"/>
                <w:bCs w:val="1"/>
                <w:color w:val="auto"/>
                <w:w w:val="90"/>
              </w:rPr>
              <w:t>13D</w:t>
            </w:r>
          </w:p>
        </w:tc>
      </w:tr>
    </w:tbl>
    <w:p>
      <w:pPr>
        <w:ind w:left="920" w:hanging="815"/>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DUR Holdings, LC</w:t>
      </w:r>
    </w:p>
    <w:p>
      <w:pPr>
        <w:spacing w:after="0" w:line="27" w:lineRule="exact"/>
        <w:rPr>
          <w:rFonts w:ascii="Arial" w:cs="Arial" w:eastAsia="Arial" w:hAnsi="Arial"/>
          <w:sz w:val="18"/>
          <w:szCs w:val="18"/>
          <w:color w:val="auto"/>
        </w:rPr>
      </w:pPr>
    </w:p>
    <w:p>
      <w:pPr>
        <w:ind w:left="920" w:hanging="815"/>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1" w:lineRule="exact"/>
        <w:rPr>
          <w:rFonts w:ascii="Arial" w:cs="Arial" w:eastAsia="Arial" w:hAnsi="Arial"/>
          <w:sz w:val="18"/>
          <w:szCs w:val="18"/>
          <w:color w:val="auto"/>
        </w:rPr>
      </w:pPr>
    </w:p>
    <w:p>
      <w:pPr>
        <w:ind w:left="1160" w:hanging="245"/>
        <w:spacing w:after="0" w:line="207" w:lineRule="exact"/>
        <w:tabs>
          <w:tab w:leader="none" w:pos="11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80" w:hanging="265"/>
        <w:spacing w:after="0" w:line="207" w:lineRule="exact"/>
        <w:tabs>
          <w:tab w:leader="none" w:pos="11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920" w:hanging="815"/>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rFonts w:ascii="Arial" w:cs="Arial" w:eastAsia="Arial" w:hAnsi="Arial"/>
          <w:sz w:val="18"/>
          <w:szCs w:val="18"/>
          <w:color w:val="auto"/>
        </w:rPr>
      </w:pPr>
    </w:p>
    <w:p>
      <w:pPr>
        <w:ind w:left="920" w:hanging="815"/>
        <w:spacing w:after="0"/>
        <w:tabs>
          <w:tab w:leader="none" w:pos="9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-979805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-1400175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8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5.</w:t>
            </w:r>
          </w:p>
        </w:tc>
        <w:tc>
          <w:tcPr>
            <w:tcW w:w="8040" w:type="dxa"/>
            <w:vAlign w:val="bottom"/>
            <w:tcBorders>
              <w:top w:val="single" w:sz="8" w:color="auto"/>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2560" w:type="dxa"/>
            <w:vAlign w:val="bottom"/>
            <w:tcBorders>
              <w:top w:val="single" w:sz="8" w:color="auto"/>
              <w:bottom w:val="single" w:sz="8" w:color="auto"/>
            </w:tcBorders>
            <w:shd w:val="clear" w:color="auto" w:fill="E5E5E5"/>
          </w:tcPr>
          <w:p>
            <w:pPr>
              <w:ind w:left="1960"/>
              <w:spacing w:after="0" w:line="181" w:lineRule="exact"/>
              <w:rPr>
                <w:sz w:val="20"/>
                <w:szCs w:val="20"/>
                <w:color w:val="auto"/>
              </w:rPr>
            </w:pPr>
            <w:r>
              <w:rPr>
                <w:rFonts w:ascii="MS PGothic" w:cs="MS PGothic" w:eastAsia="MS PGothic" w:hAnsi="MS PGothic"/>
                <w:sz w:val="18"/>
                <w:szCs w:val="18"/>
                <w:color w:val="auto"/>
              </w:rPr>
              <w:t>☐</w:t>
            </w:r>
          </w:p>
        </w:tc>
      </w:tr>
    </w:tbl>
    <w:p>
      <w:pPr>
        <w:ind w:left="920" w:hanging="815"/>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Arizona</w:t>
      </w:r>
    </w:p>
    <w:p>
      <w:pPr>
        <w:spacing w:after="0" w:line="27" w:lineRule="exact"/>
        <w:rPr>
          <w:rFonts w:ascii="Arial" w:cs="Arial" w:eastAsia="Arial" w:hAnsi="Arial"/>
          <w:sz w:val="18"/>
          <w:szCs w:val="18"/>
          <w:color w:val="auto"/>
        </w:rPr>
      </w:pPr>
    </w:p>
    <w:p>
      <w:pPr>
        <w:ind w:left="2860" w:hanging="797"/>
        <w:spacing w:after="0"/>
        <w:tabs>
          <w:tab w:leader="none" w:pos="28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420" w:type="dxa"/>
            <w:vAlign w:val="bottom"/>
            <w:vMerge w:val="restart"/>
          </w:tcPr>
          <w:p>
            <w:pPr>
              <w:jc w:val="center"/>
              <w:ind w:right="430"/>
              <w:spacing w:after="0"/>
              <w:rPr>
                <w:sz w:val="20"/>
                <w:szCs w:val="20"/>
                <w:color w:val="auto"/>
              </w:rPr>
            </w:pPr>
            <w:r>
              <w:rPr>
                <w:rFonts w:ascii="Arial" w:cs="Arial" w:eastAsia="Arial" w:hAnsi="Arial"/>
                <w:sz w:val="18"/>
                <w:szCs w:val="18"/>
                <w:color w:val="auto"/>
                <w:w w:val="92"/>
              </w:rPr>
              <w:t>Number of</w:t>
            </w:r>
          </w:p>
        </w:tc>
        <w:tc>
          <w:tcPr>
            <w:tcW w:w="620" w:type="dxa"/>
            <w:vAlign w:val="bottom"/>
            <w:tcBorders>
              <w:bottom w:val="single" w:sz="8" w:color="auto"/>
            </w:tcBorders>
          </w:tcPr>
          <w:p>
            <w:pPr>
              <w:spacing w:after="0"/>
              <w:rPr>
                <w:sz w:val="20"/>
                <w:szCs w:val="20"/>
                <w:color w:val="auto"/>
              </w:rPr>
            </w:pPr>
          </w:p>
        </w:tc>
        <w:tc>
          <w:tcPr>
            <w:tcW w:w="88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7"/>
        </w:trPr>
        <w:tc>
          <w:tcPr>
            <w:tcW w:w="1420" w:type="dxa"/>
            <w:vAlign w:val="bottom"/>
            <w:vMerge w:val="continue"/>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8.</w:t>
            </w:r>
          </w:p>
        </w:tc>
        <w:tc>
          <w:tcPr>
            <w:tcW w:w="884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84"/>
              </w:rPr>
              <w:t>Shares</w:t>
            </w:r>
          </w:p>
        </w:tc>
        <w:tc>
          <w:tcPr>
            <w:tcW w:w="620" w:type="dxa"/>
            <w:vAlign w:val="bottom"/>
            <w:vMerge w:val="continue"/>
          </w:tcPr>
          <w:p>
            <w:pPr>
              <w:spacing w:after="0"/>
              <w:rPr>
                <w:sz w:val="11"/>
                <w:szCs w:val="11"/>
                <w:color w:val="auto"/>
              </w:rPr>
            </w:pPr>
          </w:p>
        </w:tc>
        <w:tc>
          <w:tcPr>
            <w:tcW w:w="8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4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8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6"/>
              </w:rPr>
              <w:t>Beneficially</w:t>
            </w:r>
          </w:p>
        </w:tc>
        <w:tc>
          <w:tcPr>
            <w:tcW w:w="620" w:type="dxa"/>
            <w:vAlign w:val="bottom"/>
          </w:tcPr>
          <w:p>
            <w:pPr>
              <w:spacing w:after="0"/>
              <w:rPr>
                <w:sz w:val="18"/>
                <w:szCs w:val="18"/>
                <w:color w:val="auto"/>
              </w:rPr>
            </w:pPr>
          </w:p>
        </w:tc>
        <w:tc>
          <w:tcPr>
            <w:tcW w:w="88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280,810 Ordinary Shares</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Owned by</w:t>
            </w:r>
          </w:p>
        </w:tc>
        <w:tc>
          <w:tcPr>
            <w:tcW w:w="620" w:type="dxa"/>
            <w:vAlign w:val="bottom"/>
            <w:tcBorders>
              <w:bottom w:val="single" w:sz="8" w:color="auto"/>
            </w:tcBorders>
          </w:tcPr>
          <w:p>
            <w:pPr>
              <w:spacing w:after="0"/>
              <w:rPr>
                <w:sz w:val="10"/>
                <w:szCs w:val="10"/>
                <w:color w:val="auto"/>
              </w:rPr>
            </w:pPr>
          </w:p>
        </w:tc>
        <w:tc>
          <w:tcPr>
            <w:tcW w:w="88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42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9.</w:t>
            </w:r>
          </w:p>
        </w:tc>
        <w:tc>
          <w:tcPr>
            <w:tcW w:w="884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87"/>
              </w:rPr>
              <w:t>Each</w:t>
            </w:r>
          </w:p>
        </w:tc>
        <w:tc>
          <w:tcPr>
            <w:tcW w:w="620" w:type="dxa"/>
            <w:vAlign w:val="bottom"/>
            <w:vMerge w:val="continue"/>
          </w:tcPr>
          <w:p>
            <w:pPr>
              <w:spacing w:after="0"/>
              <w:rPr>
                <w:sz w:val="13"/>
                <w:szCs w:val="13"/>
                <w:color w:val="auto"/>
              </w:rPr>
            </w:pPr>
          </w:p>
        </w:tc>
        <w:tc>
          <w:tcPr>
            <w:tcW w:w="8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2"/>
              </w:rPr>
              <w:t>Reporting</w:t>
            </w:r>
          </w:p>
        </w:tc>
        <w:tc>
          <w:tcPr>
            <w:tcW w:w="620" w:type="dxa"/>
            <w:vAlign w:val="bottom"/>
          </w:tcPr>
          <w:p>
            <w:pPr>
              <w:spacing w:after="0"/>
              <w:rPr>
                <w:sz w:val="18"/>
                <w:szCs w:val="18"/>
                <w:color w:val="auto"/>
              </w:rPr>
            </w:pPr>
          </w:p>
        </w:tc>
        <w:tc>
          <w:tcPr>
            <w:tcW w:w="88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36"/>
        </w:trPr>
        <w:tc>
          <w:tcPr>
            <w:tcW w:w="142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Person With</w:t>
            </w:r>
          </w:p>
        </w:tc>
        <w:tc>
          <w:tcPr>
            <w:tcW w:w="620" w:type="dxa"/>
            <w:vAlign w:val="bottom"/>
            <w:tcBorders>
              <w:bottom w:val="single" w:sz="8" w:color="auto"/>
            </w:tcBorders>
          </w:tcPr>
          <w:p>
            <w:pPr>
              <w:spacing w:after="0"/>
              <w:rPr>
                <w:sz w:val="11"/>
                <w:szCs w:val="11"/>
                <w:color w:val="auto"/>
              </w:rPr>
            </w:pPr>
          </w:p>
        </w:tc>
        <w:tc>
          <w:tcPr>
            <w:tcW w:w="8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42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10.</w:t>
            </w:r>
          </w:p>
        </w:tc>
        <w:tc>
          <w:tcPr>
            <w:tcW w:w="884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40" w:type="dxa"/>
            <w:vAlign w:val="bottom"/>
          </w:tcPr>
          <w:p>
            <w:pPr>
              <w:ind w:left="280"/>
              <w:spacing w:after="0"/>
              <w:rPr>
                <w:sz w:val="20"/>
                <w:szCs w:val="20"/>
                <w:color w:val="auto"/>
              </w:rPr>
            </w:pPr>
            <w:r>
              <w:rPr>
                <w:rFonts w:ascii="Arial" w:cs="Arial" w:eastAsia="Arial" w:hAnsi="Arial"/>
                <w:sz w:val="18"/>
                <w:szCs w:val="18"/>
                <w:b w:val="1"/>
                <w:bCs w:val="1"/>
                <w:color w:val="auto"/>
              </w:rPr>
              <w:t>280,810 Ordinary Shares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11.</w:t>
            </w:r>
          </w:p>
        </w:tc>
        <w:tc>
          <w:tcPr>
            <w:tcW w:w="840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Aggregate Amount Beneficially Owned by Each Reporting Person</w:t>
            </w:r>
          </w:p>
        </w:tc>
        <w:tc>
          <w:tcPr>
            <w:tcW w:w="2400" w:type="dxa"/>
            <w:vAlign w:val="bottom"/>
            <w:tcBorders>
              <w:top w:val="single" w:sz="8" w:color="auto"/>
            </w:tcBorders>
          </w:tcPr>
          <w:p>
            <w:pPr>
              <w:spacing w:after="0"/>
              <w:rPr>
                <w:sz w:val="20"/>
                <w:szCs w:val="20"/>
                <w:color w:val="auto"/>
              </w:rPr>
            </w:pPr>
          </w:p>
        </w:tc>
      </w:tr>
      <w:tr>
        <w:trPr>
          <w:trHeight w:val="411"/>
        </w:trPr>
        <w:tc>
          <w:tcPr>
            <w:tcW w:w="6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280,810 Ordinary Shares</w:t>
            </w:r>
          </w:p>
        </w:tc>
        <w:tc>
          <w:tcPr>
            <w:tcW w:w="2400" w:type="dxa"/>
            <w:vAlign w:val="bottom"/>
            <w:tcBorders>
              <w:bottom w:val="single" w:sz="8" w:color="auto"/>
            </w:tcBorders>
          </w:tcPr>
          <w:p>
            <w:pPr>
              <w:spacing w:after="0"/>
              <w:rPr>
                <w:sz w:val="24"/>
                <w:szCs w:val="24"/>
                <w:color w:val="auto"/>
              </w:rPr>
            </w:pPr>
          </w:p>
        </w:tc>
      </w:tr>
      <w:tr>
        <w:trPr>
          <w:trHeight w:val="225"/>
        </w:trPr>
        <w:tc>
          <w:tcPr>
            <w:tcW w:w="62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8400" w:type="dxa"/>
            <w:vAlign w:val="bottom"/>
          </w:tcPr>
          <w:p>
            <w:pPr>
              <w:ind w:left="3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40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920" w:hanging="815"/>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2.6% (1)</w:t>
      </w:r>
    </w:p>
    <w:p>
      <w:pPr>
        <w:spacing w:after="0" w:line="27" w:lineRule="exact"/>
        <w:rPr>
          <w:rFonts w:ascii="Arial" w:cs="Arial" w:eastAsia="Arial" w:hAnsi="Arial"/>
          <w:sz w:val="18"/>
          <w:szCs w:val="18"/>
          <w:color w:val="auto"/>
        </w:rPr>
      </w:pPr>
    </w:p>
    <w:p>
      <w:pPr>
        <w:ind w:left="920" w:hanging="815"/>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42" w:lineRule="exact"/>
        <w:rPr>
          <w:rFonts w:ascii="Arial" w:cs="Arial" w:eastAsia="Arial" w:hAnsi="Arial"/>
          <w:sz w:val="18"/>
          <w:szCs w:val="18"/>
          <w:color w:val="auto"/>
        </w:rPr>
      </w:pPr>
    </w:p>
    <w:p>
      <w:pPr>
        <w:ind w:left="660" w:hanging="328"/>
        <w:spacing w:after="0" w:line="342" w:lineRule="auto"/>
        <w:tabs>
          <w:tab w:leader="none" w:pos="6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percentage calculation is based upon 10,691,945 Ordinary Shares outstanding, which is the total number of Ordinary Shares outstanding as reported in the Issuer’s Report of Foreign Private Issuer on Form 6-K filed with the Securities and Exchange Commission on February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tbl>
      <w:tblPr>
        <w:tblLayout w:type="fixed"/>
        <w:tblInd w:w="10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b w:val="1"/>
                <w:bCs w:val="1"/>
                <w:color w:val="auto"/>
              </w:rPr>
              <w:t>CUSIP No. M1492T105</w:t>
            </w:r>
          </w:p>
        </w:tc>
        <w:tc>
          <w:tcPr>
            <w:tcW w:w="2140" w:type="dxa"/>
            <w:vAlign w:val="bottom"/>
          </w:tcPr>
          <w:p>
            <w:pPr>
              <w:ind w:left="1820"/>
              <w:spacing w:after="0"/>
              <w:rPr>
                <w:sz w:val="20"/>
                <w:szCs w:val="20"/>
                <w:color w:val="auto"/>
              </w:rPr>
            </w:pPr>
            <w:r>
              <w:rPr>
                <w:rFonts w:ascii="Arial" w:cs="Arial" w:eastAsia="Arial" w:hAnsi="Arial"/>
                <w:sz w:val="18"/>
                <w:szCs w:val="18"/>
                <w:b w:val="1"/>
                <w:bCs w:val="1"/>
                <w:color w:val="auto"/>
                <w:w w:val="90"/>
              </w:rPr>
              <w:t>13D</w:t>
            </w:r>
          </w:p>
        </w:tc>
      </w:tr>
    </w:tbl>
    <w:p>
      <w:pPr>
        <w:ind w:left="920" w:hanging="815"/>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6-W Discretionary Trust</w:t>
      </w:r>
    </w:p>
    <w:p>
      <w:pPr>
        <w:spacing w:after="0" w:line="27" w:lineRule="exact"/>
        <w:rPr>
          <w:rFonts w:ascii="Arial" w:cs="Arial" w:eastAsia="Arial" w:hAnsi="Arial"/>
          <w:sz w:val="18"/>
          <w:szCs w:val="18"/>
          <w:color w:val="auto"/>
        </w:rPr>
      </w:pPr>
    </w:p>
    <w:p>
      <w:pPr>
        <w:ind w:left="920" w:hanging="815"/>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1" w:lineRule="exact"/>
        <w:rPr>
          <w:rFonts w:ascii="Arial" w:cs="Arial" w:eastAsia="Arial" w:hAnsi="Arial"/>
          <w:sz w:val="18"/>
          <w:szCs w:val="18"/>
          <w:color w:val="auto"/>
        </w:rPr>
      </w:pPr>
    </w:p>
    <w:p>
      <w:pPr>
        <w:ind w:left="1160" w:hanging="245"/>
        <w:spacing w:after="0" w:line="207" w:lineRule="exact"/>
        <w:tabs>
          <w:tab w:leader="none" w:pos="11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1180" w:hanging="265"/>
        <w:spacing w:after="0" w:line="207" w:lineRule="exact"/>
        <w:tabs>
          <w:tab w:leader="none" w:pos="118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920" w:hanging="815"/>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7" w:lineRule="exact"/>
        <w:rPr>
          <w:rFonts w:ascii="Arial" w:cs="Arial" w:eastAsia="Arial" w:hAnsi="Arial"/>
          <w:sz w:val="18"/>
          <w:szCs w:val="18"/>
          <w:color w:val="auto"/>
        </w:rPr>
      </w:pPr>
    </w:p>
    <w:p>
      <w:pPr>
        <w:ind w:left="920" w:hanging="815"/>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-979805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-1400175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8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5.</w:t>
            </w:r>
          </w:p>
        </w:tc>
        <w:tc>
          <w:tcPr>
            <w:tcW w:w="8040" w:type="dxa"/>
            <w:vAlign w:val="bottom"/>
            <w:tcBorders>
              <w:top w:val="single" w:sz="8" w:color="auto"/>
              <w:bottom w:val="single" w:sz="8" w:color="auto"/>
            </w:tcBorders>
            <w:shd w:val="clear" w:color="auto" w:fill="E5E5E5"/>
          </w:tcPr>
          <w:p>
            <w:pPr>
              <w:ind w:left="10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2560" w:type="dxa"/>
            <w:vAlign w:val="bottom"/>
            <w:tcBorders>
              <w:top w:val="single" w:sz="8" w:color="auto"/>
              <w:bottom w:val="single" w:sz="8" w:color="auto"/>
            </w:tcBorders>
            <w:shd w:val="clear" w:color="auto" w:fill="E5E5E5"/>
          </w:tcPr>
          <w:p>
            <w:pPr>
              <w:ind w:left="1960"/>
              <w:spacing w:after="0" w:line="181" w:lineRule="exact"/>
              <w:rPr>
                <w:sz w:val="20"/>
                <w:szCs w:val="20"/>
                <w:color w:val="auto"/>
              </w:rPr>
            </w:pPr>
            <w:r>
              <w:rPr>
                <w:rFonts w:ascii="MS PGothic" w:cs="MS PGothic" w:eastAsia="MS PGothic" w:hAnsi="MS PGothic"/>
                <w:sz w:val="18"/>
                <w:szCs w:val="18"/>
                <w:color w:val="auto"/>
              </w:rPr>
              <w:t>☐</w:t>
            </w:r>
          </w:p>
        </w:tc>
      </w:tr>
    </w:tbl>
    <w:p>
      <w:pPr>
        <w:ind w:left="920" w:hanging="815"/>
        <w:spacing w:after="0"/>
        <w:tabs>
          <w:tab w:leader="none" w:pos="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Utah</w:t>
      </w:r>
    </w:p>
    <w:p>
      <w:pPr>
        <w:spacing w:after="0" w:line="27" w:lineRule="exact"/>
        <w:rPr>
          <w:rFonts w:ascii="Arial" w:cs="Arial" w:eastAsia="Arial" w:hAnsi="Arial"/>
          <w:sz w:val="18"/>
          <w:szCs w:val="18"/>
          <w:color w:val="auto"/>
        </w:rPr>
      </w:pPr>
    </w:p>
    <w:p>
      <w:pPr>
        <w:ind w:left="2860" w:hanging="797"/>
        <w:spacing w:after="0"/>
        <w:tabs>
          <w:tab w:leader="none" w:pos="28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1420" w:type="dxa"/>
            <w:vAlign w:val="bottom"/>
            <w:vMerge w:val="restart"/>
          </w:tcPr>
          <w:p>
            <w:pPr>
              <w:jc w:val="center"/>
              <w:ind w:right="430"/>
              <w:spacing w:after="0"/>
              <w:rPr>
                <w:sz w:val="20"/>
                <w:szCs w:val="20"/>
                <w:color w:val="auto"/>
              </w:rPr>
            </w:pPr>
            <w:r>
              <w:rPr>
                <w:rFonts w:ascii="Arial" w:cs="Arial" w:eastAsia="Arial" w:hAnsi="Arial"/>
                <w:sz w:val="18"/>
                <w:szCs w:val="18"/>
                <w:color w:val="auto"/>
                <w:w w:val="92"/>
              </w:rPr>
              <w:t>Number of</w:t>
            </w:r>
          </w:p>
        </w:tc>
        <w:tc>
          <w:tcPr>
            <w:tcW w:w="620" w:type="dxa"/>
            <w:vAlign w:val="bottom"/>
            <w:tcBorders>
              <w:bottom w:val="single" w:sz="8" w:color="auto"/>
            </w:tcBorders>
          </w:tcPr>
          <w:p>
            <w:pPr>
              <w:spacing w:after="0"/>
              <w:rPr>
                <w:sz w:val="20"/>
                <w:szCs w:val="20"/>
                <w:color w:val="auto"/>
              </w:rPr>
            </w:pPr>
          </w:p>
        </w:tc>
        <w:tc>
          <w:tcPr>
            <w:tcW w:w="88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7"/>
        </w:trPr>
        <w:tc>
          <w:tcPr>
            <w:tcW w:w="1420" w:type="dxa"/>
            <w:vAlign w:val="bottom"/>
            <w:vMerge w:val="continue"/>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8.</w:t>
            </w:r>
          </w:p>
        </w:tc>
        <w:tc>
          <w:tcPr>
            <w:tcW w:w="884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84"/>
              </w:rPr>
              <w:t>Shares</w:t>
            </w:r>
          </w:p>
        </w:tc>
        <w:tc>
          <w:tcPr>
            <w:tcW w:w="620" w:type="dxa"/>
            <w:vAlign w:val="bottom"/>
            <w:vMerge w:val="continue"/>
          </w:tcPr>
          <w:p>
            <w:pPr>
              <w:spacing w:after="0"/>
              <w:rPr>
                <w:sz w:val="11"/>
                <w:szCs w:val="11"/>
                <w:color w:val="auto"/>
              </w:rPr>
            </w:pPr>
          </w:p>
        </w:tc>
        <w:tc>
          <w:tcPr>
            <w:tcW w:w="8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4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8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6"/>
              </w:rPr>
              <w:t>Beneficially</w:t>
            </w:r>
          </w:p>
        </w:tc>
        <w:tc>
          <w:tcPr>
            <w:tcW w:w="620" w:type="dxa"/>
            <w:vAlign w:val="bottom"/>
          </w:tcPr>
          <w:p>
            <w:pPr>
              <w:spacing w:after="0"/>
              <w:rPr>
                <w:sz w:val="18"/>
                <w:szCs w:val="18"/>
                <w:color w:val="auto"/>
              </w:rPr>
            </w:pPr>
          </w:p>
        </w:tc>
        <w:tc>
          <w:tcPr>
            <w:tcW w:w="88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183,137 Ordinary Shares</w:t>
            </w:r>
          </w:p>
        </w:tc>
        <w:tc>
          <w:tcPr>
            <w:tcW w:w="0" w:type="dxa"/>
            <w:vAlign w:val="bottom"/>
          </w:tcPr>
          <w:p>
            <w:pPr>
              <w:spacing w:after="0"/>
              <w:rPr>
                <w:sz w:val="1"/>
                <w:szCs w:val="1"/>
                <w:color w:val="auto"/>
              </w:rPr>
            </w:pPr>
          </w:p>
        </w:tc>
      </w:tr>
      <w:tr>
        <w:trPr>
          <w:trHeight w:val="122"/>
        </w:trPr>
        <w:tc>
          <w:tcPr>
            <w:tcW w:w="142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Owned by</w:t>
            </w:r>
          </w:p>
        </w:tc>
        <w:tc>
          <w:tcPr>
            <w:tcW w:w="620" w:type="dxa"/>
            <w:vAlign w:val="bottom"/>
            <w:tcBorders>
              <w:bottom w:val="single" w:sz="8" w:color="auto"/>
            </w:tcBorders>
          </w:tcPr>
          <w:p>
            <w:pPr>
              <w:spacing w:after="0"/>
              <w:rPr>
                <w:sz w:val="10"/>
                <w:szCs w:val="10"/>
                <w:color w:val="auto"/>
              </w:rPr>
            </w:pPr>
          </w:p>
        </w:tc>
        <w:tc>
          <w:tcPr>
            <w:tcW w:w="88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42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9.</w:t>
            </w:r>
          </w:p>
        </w:tc>
        <w:tc>
          <w:tcPr>
            <w:tcW w:w="884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420" w:type="dxa"/>
            <w:vAlign w:val="bottom"/>
            <w:vMerge w:val="restart"/>
          </w:tcPr>
          <w:p>
            <w:pPr>
              <w:jc w:val="center"/>
              <w:ind w:right="450"/>
              <w:spacing w:after="0"/>
              <w:rPr>
                <w:sz w:val="20"/>
                <w:szCs w:val="20"/>
                <w:color w:val="auto"/>
              </w:rPr>
            </w:pPr>
            <w:r>
              <w:rPr>
                <w:rFonts w:ascii="Arial" w:cs="Arial" w:eastAsia="Arial" w:hAnsi="Arial"/>
                <w:sz w:val="18"/>
                <w:szCs w:val="18"/>
                <w:color w:val="auto"/>
                <w:w w:val="87"/>
              </w:rPr>
              <w:t>Each</w:t>
            </w:r>
          </w:p>
        </w:tc>
        <w:tc>
          <w:tcPr>
            <w:tcW w:w="620" w:type="dxa"/>
            <w:vAlign w:val="bottom"/>
            <w:vMerge w:val="continue"/>
          </w:tcPr>
          <w:p>
            <w:pPr>
              <w:spacing w:after="0"/>
              <w:rPr>
                <w:sz w:val="13"/>
                <w:szCs w:val="13"/>
                <w:color w:val="auto"/>
              </w:rPr>
            </w:pPr>
          </w:p>
        </w:tc>
        <w:tc>
          <w:tcPr>
            <w:tcW w:w="8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4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450"/>
              <w:spacing w:after="0"/>
              <w:rPr>
                <w:sz w:val="20"/>
                <w:szCs w:val="20"/>
                <w:color w:val="auto"/>
              </w:rPr>
            </w:pPr>
            <w:r>
              <w:rPr>
                <w:rFonts w:ascii="Arial" w:cs="Arial" w:eastAsia="Arial" w:hAnsi="Arial"/>
                <w:sz w:val="18"/>
                <w:szCs w:val="18"/>
                <w:color w:val="auto"/>
                <w:w w:val="92"/>
              </w:rPr>
              <w:t>Reporting</w:t>
            </w:r>
          </w:p>
        </w:tc>
        <w:tc>
          <w:tcPr>
            <w:tcW w:w="620" w:type="dxa"/>
            <w:vAlign w:val="bottom"/>
          </w:tcPr>
          <w:p>
            <w:pPr>
              <w:spacing w:after="0"/>
              <w:rPr>
                <w:sz w:val="18"/>
                <w:szCs w:val="18"/>
                <w:color w:val="auto"/>
              </w:rPr>
            </w:pPr>
          </w:p>
        </w:tc>
        <w:tc>
          <w:tcPr>
            <w:tcW w:w="88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36"/>
        </w:trPr>
        <w:tc>
          <w:tcPr>
            <w:tcW w:w="1420" w:type="dxa"/>
            <w:vAlign w:val="bottom"/>
            <w:vMerge w:val="restart"/>
          </w:tcPr>
          <w:p>
            <w:pPr>
              <w:jc w:val="center"/>
              <w:ind w:right="430"/>
              <w:spacing w:after="0"/>
              <w:rPr>
                <w:sz w:val="20"/>
                <w:szCs w:val="20"/>
                <w:color w:val="auto"/>
              </w:rPr>
            </w:pPr>
            <w:r>
              <w:rPr>
                <w:rFonts w:ascii="Arial" w:cs="Arial" w:eastAsia="Arial" w:hAnsi="Arial"/>
                <w:sz w:val="18"/>
                <w:szCs w:val="18"/>
                <w:color w:val="auto"/>
                <w:w w:val="91"/>
              </w:rPr>
              <w:t>Person With</w:t>
            </w:r>
          </w:p>
        </w:tc>
        <w:tc>
          <w:tcPr>
            <w:tcW w:w="620" w:type="dxa"/>
            <w:vAlign w:val="bottom"/>
            <w:tcBorders>
              <w:bottom w:val="single" w:sz="8" w:color="auto"/>
            </w:tcBorders>
          </w:tcPr>
          <w:p>
            <w:pPr>
              <w:spacing w:after="0"/>
              <w:rPr>
                <w:sz w:val="11"/>
                <w:szCs w:val="11"/>
                <w:color w:val="auto"/>
              </w:rPr>
            </w:pPr>
          </w:p>
        </w:tc>
        <w:tc>
          <w:tcPr>
            <w:tcW w:w="88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420" w:type="dxa"/>
            <w:vAlign w:val="bottom"/>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Arial" w:cs="Arial" w:eastAsia="Arial" w:hAnsi="Arial"/>
                <w:sz w:val="18"/>
                <w:szCs w:val="18"/>
                <w:color w:val="auto"/>
              </w:rPr>
              <w:t>10.</w:t>
            </w:r>
          </w:p>
        </w:tc>
        <w:tc>
          <w:tcPr>
            <w:tcW w:w="8840" w:type="dxa"/>
            <w:vAlign w:val="bottom"/>
            <w:vMerge w:val="restart"/>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40" w:type="dxa"/>
            <w:vAlign w:val="bottom"/>
          </w:tcPr>
          <w:p>
            <w:pPr>
              <w:ind w:left="280"/>
              <w:spacing w:after="0"/>
              <w:rPr>
                <w:sz w:val="20"/>
                <w:szCs w:val="20"/>
                <w:color w:val="auto"/>
              </w:rPr>
            </w:pPr>
            <w:r>
              <w:rPr>
                <w:rFonts w:ascii="Arial" w:cs="Arial" w:eastAsia="Arial" w:hAnsi="Arial"/>
                <w:sz w:val="18"/>
                <w:szCs w:val="18"/>
                <w:b w:val="1"/>
                <w:bCs w:val="1"/>
                <w:color w:val="auto"/>
              </w:rPr>
              <w:t>183,137 Ordinary Shares</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11.</w:t>
            </w:r>
          </w:p>
        </w:tc>
        <w:tc>
          <w:tcPr>
            <w:tcW w:w="840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Aggregate Amount Beneficially Owned by Each Reporting Person</w:t>
            </w:r>
          </w:p>
        </w:tc>
        <w:tc>
          <w:tcPr>
            <w:tcW w:w="2400" w:type="dxa"/>
            <w:vAlign w:val="bottom"/>
            <w:tcBorders>
              <w:top w:val="single" w:sz="8" w:color="auto"/>
            </w:tcBorders>
          </w:tcPr>
          <w:p>
            <w:pPr>
              <w:spacing w:after="0"/>
              <w:rPr>
                <w:sz w:val="20"/>
                <w:szCs w:val="20"/>
                <w:color w:val="auto"/>
              </w:rPr>
            </w:pPr>
          </w:p>
        </w:tc>
      </w:tr>
      <w:tr>
        <w:trPr>
          <w:trHeight w:val="411"/>
        </w:trPr>
        <w:tc>
          <w:tcPr>
            <w:tcW w:w="62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183,137 Ordinary Shares</w:t>
            </w:r>
          </w:p>
        </w:tc>
        <w:tc>
          <w:tcPr>
            <w:tcW w:w="2400" w:type="dxa"/>
            <w:vAlign w:val="bottom"/>
            <w:tcBorders>
              <w:bottom w:val="single" w:sz="8" w:color="auto"/>
            </w:tcBorders>
          </w:tcPr>
          <w:p>
            <w:pPr>
              <w:spacing w:after="0"/>
              <w:rPr>
                <w:sz w:val="24"/>
                <w:szCs w:val="24"/>
                <w:color w:val="auto"/>
              </w:rPr>
            </w:pPr>
          </w:p>
        </w:tc>
      </w:tr>
      <w:tr>
        <w:trPr>
          <w:trHeight w:val="225"/>
        </w:trPr>
        <w:tc>
          <w:tcPr>
            <w:tcW w:w="620" w:type="dxa"/>
            <w:vAlign w:val="bottom"/>
          </w:tcPr>
          <w:p>
            <w:pPr>
              <w:jc w:val="right"/>
              <w:ind w:right="190"/>
              <w:spacing w:after="0"/>
              <w:rPr>
                <w:sz w:val="20"/>
                <w:szCs w:val="20"/>
                <w:color w:val="auto"/>
              </w:rPr>
            </w:pPr>
            <w:r>
              <w:rPr>
                <w:rFonts w:ascii="Arial" w:cs="Arial" w:eastAsia="Arial" w:hAnsi="Arial"/>
                <w:sz w:val="18"/>
                <w:szCs w:val="18"/>
                <w:color w:val="auto"/>
              </w:rPr>
              <w:t>12.</w:t>
            </w:r>
          </w:p>
        </w:tc>
        <w:tc>
          <w:tcPr>
            <w:tcW w:w="8400" w:type="dxa"/>
            <w:vAlign w:val="bottom"/>
          </w:tcPr>
          <w:p>
            <w:pPr>
              <w:ind w:left="30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240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920" w:hanging="81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05"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1.7% (1)</w:t>
      </w:r>
    </w:p>
    <w:p>
      <w:pPr>
        <w:spacing w:after="0" w:line="27" w:lineRule="exact"/>
        <w:rPr>
          <w:rFonts w:ascii="Arial" w:cs="Arial" w:eastAsia="Arial" w:hAnsi="Arial"/>
          <w:sz w:val="18"/>
          <w:szCs w:val="18"/>
          <w:color w:val="auto"/>
        </w:rPr>
      </w:pPr>
    </w:p>
    <w:p>
      <w:pPr>
        <w:ind w:left="920" w:hanging="81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42" w:lineRule="exact"/>
        <w:rPr>
          <w:rFonts w:ascii="Arial" w:cs="Arial" w:eastAsia="Arial" w:hAnsi="Arial"/>
          <w:sz w:val="18"/>
          <w:szCs w:val="18"/>
          <w:color w:val="auto"/>
        </w:rPr>
      </w:pPr>
    </w:p>
    <w:p>
      <w:pPr>
        <w:ind w:left="660" w:hanging="328"/>
        <w:spacing w:after="0" w:line="342"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percentage calculation is based upon 10,691,945 Ordinary Shares outstanding, which is the total number of Ordinary Shares outstanding as reported in the Issuer’s Report of Foreign Private Issuer on Form 6-K filed with the Securities and Exchange Commission on February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following constitutes the Schedule 13D filed by the undersigned (the “Schedule 13D”). This Schedule 13D is being filed by the Reporting Persons (as defined below) to report the acquisition of Ordinary Shares of the Issuer (as defined below) on November 15, 2017 as described in Item 4 below.</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ind w:firstLine="8"/>
        <w:spacing w:after="0" w:line="277" w:lineRule="auto"/>
        <w:tabs>
          <w:tab w:leader="none" w:pos="9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statement relates to the Ordinary Shares, par value of NIS 0.01, of Arcturus Therapeutics Ltd. (formerly known as Alcobra Ltd.), an Israeli corporation (the “Issuer”).</w:t>
      </w:r>
    </w:p>
    <w:p>
      <w:pPr>
        <w:spacing w:after="0" w:line="170" w:lineRule="exact"/>
        <w:rPr>
          <w:rFonts w:ascii="Arial" w:cs="Arial" w:eastAsia="Arial" w:hAnsi="Arial"/>
          <w:sz w:val="18"/>
          <w:szCs w:val="18"/>
          <w:color w:val="auto"/>
        </w:rPr>
      </w:pPr>
    </w:p>
    <w:p>
      <w:pPr>
        <w:ind w:left="940" w:hanging="932"/>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executive offices of the Issuer are located at 10628 Science Center Drive, Suite 200, San Diego, CA 92121.</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firstLine="8"/>
        <w:spacing w:after="0" w:line="277" w:lineRule="auto"/>
        <w:tabs>
          <w:tab w:leader="none" w:pos="5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statement is being filed by Craig Willett, Phoenician Enterprises, Ltd. (“Phoenician”), DUR Holdings, LC (“DUR”) and 6-W Discretionary Trust (“6-W Trust”, and together with Craig Willett, Phoenician and DUR, the “Reporting Persons”).</w:t>
      </w:r>
    </w:p>
    <w:p>
      <w:pPr>
        <w:spacing w:after="0" w:line="386" w:lineRule="exact"/>
        <w:rPr>
          <w:rFonts w:ascii="Arial" w:cs="Arial" w:eastAsia="Arial" w:hAnsi="Arial"/>
          <w:sz w:val="18"/>
          <w:szCs w:val="18"/>
          <w:color w:val="auto"/>
        </w:rPr>
      </w:pPr>
    </w:p>
    <w:p>
      <w:pPr>
        <w:jc w:val="both"/>
        <w:ind w:firstLine="8"/>
        <w:spacing w:after="0" w:line="259" w:lineRule="auto"/>
        <w:tabs>
          <w:tab w:leader="none" w:pos="5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address of the principal place of business of Craig Willett is c/o Arcturus Therapeutics Ltd., 10628 Science Center Drive, Suite 200, San Diego, CA 92121. The address of the principal place of business of Phoenician is 1301 N. Val Vista Drive Mesa, AZ 85213 The address of the principal place of business of DUR is 1301 N. Val Vista Drive Mesa, AZ 85213. The address of the principal place of business of 6-W Trust is 1301 N. Val Vista Drive Mesa AZ 85213 .</w:t>
      </w:r>
    </w:p>
    <w:p>
      <w:pPr>
        <w:spacing w:after="0" w:line="186" w:lineRule="exact"/>
        <w:rPr>
          <w:rFonts w:ascii="Arial" w:cs="Arial" w:eastAsia="Arial" w:hAnsi="Arial"/>
          <w:sz w:val="18"/>
          <w:szCs w:val="18"/>
          <w:color w:val="auto"/>
        </w:rPr>
      </w:pPr>
    </w:p>
    <w:p>
      <w:pPr>
        <w:ind w:firstLine="8"/>
        <w:spacing w:after="0" w:line="277" w:lineRule="auto"/>
        <w:tabs>
          <w:tab w:leader="none" w:pos="5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Mr.Willett serves on the board of directors of the Issuer. Mr. Willett is the general partner of Phoenician. Mr. Willett is the president of Elizann, Inc., which is the manager of DUR. Mr. Willett is the investment trustee of 6-W Trust.</w:t>
      </w:r>
    </w:p>
    <w:p>
      <w:pPr>
        <w:spacing w:after="0" w:line="170" w:lineRule="exact"/>
        <w:rPr>
          <w:rFonts w:ascii="Arial" w:cs="Arial" w:eastAsia="Arial" w:hAnsi="Arial"/>
          <w:sz w:val="18"/>
          <w:szCs w:val="18"/>
          <w:color w:val="auto"/>
        </w:rPr>
      </w:pPr>
    </w:p>
    <w:p>
      <w:pPr>
        <w:ind w:firstLine="8"/>
        <w:spacing w:after="0" w:line="277" w:lineRule="auto"/>
        <w:tabs>
          <w:tab w:leader="none" w:pos="6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have been convicted in a criminal proceeding (excluding traffic violations or similar misdemeanors).</w:t>
      </w:r>
    </w:p>
    <w:p>
      <w:pPr>
        <w:spacing w:after="0" w:line="170" w:lineRule="exact"/>
        <w:rPr>
          <w:rFonts w:ascii="Arial" w:cs="Arial" w:eastAsia="Arial" w:hAnsi="Arial"/>
          <w:sz w:val="18"/>
          <w:szCs w:val="18"/>
          <w:color w:val="auto"/>
        </w:rPr>
      </w:pPr>
    </w:p>
    <w:p>
      <w:pPr>
        <w:jc w:val="both"/>
        <w:ind w:firstLine="8"/>
        <w:spacing w:after="0" w:line="264" w:lineRule="auto"/>
        <w:tabs>
          <w:tab w:leader="none" w:pos="60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1" w:lineRule="exact"/>
        <w:rPr>
          <w:rFonts w:ascii="Arial" w:cs="Arial" w:eastAsia="Arial" w:hAnsi="Arial"/>
          <w:sz w:val="18"/>
          <w:szCs w:val="18"/>
          <w:color w:val="auto"/>
        </w:rPr>
      </w:pPr>
    </w:p>
    <w:p>
      <w:pPr>
        <w:ind w:right="300" w:firstLine="8"/>
        <w:spacing w:after="0" w:line="277" w:lineRule="auto"/>
        <w:tabs>
          <w:tab w:leader="none" w:pos="4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Mr.Willett is a citizen of the United States. Phoenician is a Utah Limited Partnership. DUR is an Arizona limited liability company. 6-W Trust is an irrevocable trust.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Ordinary Shares held by the Reporting Persons were acquired as described in Item 4 below.</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reported in the Issuer’s Report of Foreign Private Issuer on Form 6-K filed with the Securities and Exchange Commission on November 16, 2017, on November 15, 2017, the Issuer completed its business combination with what was then known as “Arcturus Therapeutics, Inc.” (“Private Arcturus”) in accordance with the terms of the Agreement and Plan of Merger and Reorganization, dated as of September 27, 2017, by and among the Issuer, Aleph MergerSub, Inc. (“Merger Sub”), and Private Arcturus (the “Merger Agreement”), pursuant to which Merger Sub merged with and into Private Arcturus, with Private Arcturus surviving as a wholly owned subsidiary of the Issuer (the “Merger”). In connection with, and prior to the completion of, the Merger, the Issuer effected a 7-for-1 reverse stock split of the Issuer’s Ordinary Shares (the “Reverse Share Split”). In connection with the Merger, the Issuer changed its name to “Arcturus Therapeutics Ltd.” Immediately prior to and in connection with the Merger, each outstanding share of Private Arcturus’s capital stock (other than common stock), whether in the form of preferred stock, warrants and convertible notes, was converted into one share of Private Arcturus’s common stock at ratios determined in accordance with Private Arcturus’s certificate of incorporation then in effect. Under the terms of the Merger Agreement, at the effective time of the Merger, the Issuer issued Ordinary Shares to Private Arcturus stockholders, at an exchange ratio of 0.293 Ordinary Shares (after taking into account the Reverse Share Split) per share of Private Arcturus common stock outstanding immediately prior to the Merger. The exchange ratio was determined through arms’-length negotiations between the Issuer and Private Arcturus. An aggregate of approximately 6,631,712 Ordinary Shares were issued to the Private Arcturus stockholders in the Merger, including the Ordinary Shares beneficially owned by the Reporting Persons that are disclosed on the cover pages of this statement. In connection with the Merger, Mr. Willett entered into a Lock-Up Agreement dated September 27, 2017 in the form attached to the Merger Agreement as Exhibit C (the “Lock-Up Agreement”).</w:t>
      </w:r>
    </w:p>
    <w:p>
      <w:pPr>
        <w:spacing w:after="0" w:line="1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Mr. Willett is supportive of the actions taken by the Issuer described in the Issuer's Report of Foreign Private Issuer on Form 6-K filed with the Securities and Exchange Commission on February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 The information contained on the cover pages of this statement is incorporated herein by reference.</w:t>
      </w:r>
    </w:p>
    <w:p>
      <w:pPr>
        <w:spacing w:after="0" w:line="225"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Reporting Persons have not effected any transaction in the Ordinary Shares during the past 60 days.</w:t>
      </w:r>
    </w:p>
    <w:p>
      <w:pPr>
        <w:spacing w:after="0" w:line="225" w:lineRule="exact"/>
        <w:rPr>
          <w:rFonts w:ascii="Arial" w:cs="Arial" w:eastAsia="Arial" w:hAnsi="Arial"/>
          <w:sz w:val="18"/>
          <w:szCs w:val="18"/>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information set forth under Items 4 and 5 and the agreements set forth on the Exhibits attached hereto are incorporated herein by reference. Other than the Merger Agreement and Lock-Up Agreement described above, to the best of the Reporting Person’s knowledge, there are no contracts, arrangements, understandings or relationships (legal or otherwise) between the Reporting Person and any person, with respect to the securities of the Company, including, but not limited to, transfer or voting of any of the securities, finder’s fees, joint ventures, loan or option arrangements, puts or calls, guarantees of profits, division of profits or loss, or the giving or withholding of proxies, including any securities pledged or otherwise subject to a contingency the occurrence of which would give another person voting power or investment power over such securities.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00" w:type="dxa"/>
            <w:vAlign w:val="bottom"/>
            <w:gridSpan w:val="2"/>
          </w:tcPr>
          <w:p>
            <w:pPr>
              <w:ind w:left="60"/>
              <w:spacing w:after="0"/>
              <w:rPr>
                <w:sz w:val="20"/>
                <w:szCs w:val="20"/>
                <w:color w:val="auto"/>
              </w:rPr>
            </w:pPr>
            <w:r>
              <w:rPr>
                <w:rFonts w:ascii="Arial" w:cs="Arial" w:eastAsia="Arial" w:hAnsi="Arial"/>
                <w:sz w:val="18"/>
                <w:szCs w:val="18"/>
                <w:b w:val="1"/>
                <w:bCs w:val="1"/>
                <w:color w:val="auto"/>
              </w:rPr>
              <w:t>MATERIAL TO BE FILED AS EXHIBITS.</w:t>
            </w:r>
          </w:p>
        </w:tc>
      </w:tr>
      <w:tr>
        <w:trPr>
          <w:trHeight w:val="432"/>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340" w:type="dxa"/>
            <w:vAlign w:val="bottom"/>
          </w:tcPr>
          <w:p>
            <w:pPr>
              <w:spacing w:after="0"/>
              <w:rPr>
                <w:sz w:val="24"/>
                <w:szCs w:val="24"/>
                <w:color w:val="auto"/>
              </w:rPr>
            </w:pPr>
          </w:p>
        </w:tc>
        <w:tc>
          <w:tcPr>
            <w:tcW w:w="10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411"/>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Joint Filing Agreement, dated as of February 7, 2018, by and among Craig Willett, DUR Holdings, LC, Phoenician Enterprises, Ltd., and the</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6-W Discretionary Trust.</w:t>
            </w:r>
          </w:p>
        </w:tc>
      </w:tr>
      <w:tr>
        <w:trPr>
          <w:trHeight w:val="418"/>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1"/>
              </w:rPr>
              <w:t>Agreement and Plan of Merger and Reorganization, dated as of September 27, 2017, by and among the Issuer, Aleph MergerSub, Inc., and</w:t>
            </w:r>
          </w:p>
        </w:tc>
      </w:tr>
      <w:tr>
        <w:trPr>
          <w:trHeight w:val="216"/>
        </w:trPr>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Arcturus Therapeutics, Inc. (a copy of which is attached as Exhibit 99.2 to the Report of Foreign Private Issuer on Form 6-K (File No. 001-</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4"/>
              </w:rPr>
              <w:t>35932) furnished to the Securities and Exchange Commission on September 28, 2017, and which is incorporated herein by reference).</w:t>
            </w:r>
          </w:p>
        </w:tc>
      </w:tr>
      <w:tr>
        <w:trPr>
          <w:trHeight w:val="418"/>
        </w:trPr>
        <w:tc>
          <w:tcPr>
            <w:tcW w:w="920" w:type="dxa"/>
            <w:vAlign w:val="bottom"/>
          </w:tcPr>
          <w:p>
            <w:pPr>
              <w:jc w:val="right"/>
              <w:ind w:right="210"/>
              <w:spacing w:after="0"/>
              <w:rPr>
                <w:sz w:val="20"/>
                <w:szCs w:val="20"/>
                <w:color w:val="auto"/>
              </w:rPr>
            </w:pPr>
            <w:r>
              <w:rPr>
                <w:rFonts w:ascii="Arial" w:cs="Arial" w:eastAsia="Arial" w:hAnsi="Arial"/>
                <w:sz w:val="18"/>
                <w:szCs w:val="18"/>
                <w:color w:val="auto"/>
              </w:rPr>
              <w:t>99.3</w:t>
            </w:r>
          </w:p>
        </w:tc>
        <w:tc>
          <w:tcPr>
            <w:tcW w:w="340" w:type="dxa"/>
            <w:vAlign w:val="bottom"/>
          </w:tcPr>
          <w:p>
            <w:pPr>
              <w:spacing w:after="0"/>
              <w:rPr>
                <w:sz w:val="24"/>
                <w:szCs w:val="24"/>
                <w:color w:val="auto"/>
              </w:rPr>
            </w:pPr>
          </w:p>
        </w:tc>
        <w:tc>
          <w:tcPr>
            <w:tcW w:w="10160" w:type="dxa"/>
            <w:vAlign w:val="bottom"/>
          </w:tcPr>
          <w:p>
            <w:pPr>
              <w:spacing w:after="0"/>
              <w:rPr>
                <w:sz w:val="20"/>
                <w:szCs w:val="20"/>
                <w:color w:val="auto"/>
              </w:rPr>
            </w:pPr>
            <w:r>
              <w:rPr>
                <w:rFonts w:ascii="Arial" w:cs="Arial" w:eastAsia="Arial" w:hAnsi="Arial"/>
                <w:sz w:val="18"/>
                <w:szCs w:val="18"/>
                <w:color w:val="auto"/>
                <w:w w:val="92"/>
              </w:rPr>
              <w:t>Lock-Up Agreement, dated as of September 27, 2017, by and between the Issuer and Craig Willett (the form of which is included in Exhibit</w:t>
            </w:r>
          </w:p>
        </w:tc>
      </w:tr>
      <w:tr>
        <w:trPr>
          <w:trHeight w:val="230"/>
        </w:trPr>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99.2 as Exhibit C thereto).</w:t>
            </w:r>
          </w:p>
        </w:tc>
      </w:tr>
      <w:tr>
        <w:trPr>
          <w:trHeight w:val="459"/>
        </w:trPr>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reasonable inquiry and to the best of their knowledge and belief, the undersigned certify that the information set forth in this statement is true, complete and correct. In executing this statement, the undersigned agree, to the extent required by Rule 13d-1(a), that this statement is being filed on behalf of each of the Reporting Persons herein.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color w:val="auto"/>
              </w:rPr>
              <w:t>Date: February 7, 2018</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Craig Willett</w:t>
            </w:r>
          </w:p>
        </w:tc>
        <w:tc>
          <w:tcPr>
            <w:tcW w:w="1700" w:type="dxa"/>
            <w:vAlign w:val="bottom"/>
          </w:tcPr>
          <w:p>
            <w:pPr>
              <w:spacing w:after="0"/>
              <w:rPr>
                <w:sz w:val="20"/>
                <w:szCs w:val="20"/>
                <w:color w:val="auto"/>
              </w:rPr>
            </w:pPr>
          </w:p>
        </w:tc>
      </w:tr>
      <w:tr>
        <w:trPr>
          <w:trHeight w:val="224"/>
        </w:trPr>
        <w:tc>
          <w:tcPr>
            <w:tcW w:w="574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Craig Willett</w:t>
            </w:r>
          </w:p>
        </w:tc>
        <w:tc>
          <w:tcPr>
            <w:tcW w:w="1700" w:type="dxa"/>
            <w:vAlign w:val="bottom"/>
          </w:tcPr>
          <w:p>
            <w:pPr>
              <w:spacing w:after="0"/>
              <w:rPr>
                <w:sz w:val="19"/>
                <w:szCs w:val="19"/>
                <w:color w:val="auto"/>
              </w:rPr>
            </w:pPr>
          </w:p>
        </w:tc>
      </w:tr>
      <w:tr>
        <w:trPr>
          <w:trHeight w:val="634"/>
        </w:trPr>
        <w:tc>
          <w:tcPr>
            <w:tcW w:w="574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Phoenician Enterprises, Ltd.</w:t>
            </w:r>
          </w:p>
        </w:tc>
        <w:tc>
          <w:tcPr>
            <w:tcW w:w="1700" w:type="dxa"/>
            <w:vAlign w:val="bottom"/>
          </w:tcPr>
          <w:p>
            <w:pPr>
              <w:spacing w:after="0"/>
              <w:rPr>
                <w:sz w:val="24"/>
                <w:szCs w:val="24"/>
                <w:color w:val="auto"/>
              </w:rPr>
            </w:pPr>
          </w:p>
        </w:tc>
      </w:tr>
      <w:tr>
        <w:trPr>
          <w:trHeight w:val="432"/>
        </w:trPr>
        <w:tc>
          <w:tcPr>
            <w:tcW w:w="57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Y</w:t>
            </w:r>
            <w:r>
              <w:rPr>
                <w:rFonts w:ascii="Arial" w:cs="Arial" w:eastAsia="Arial" w:hAnsi="Arial"/>
                <w:sz w:val="18"/>
                <w:szCs w:val="18"/>
                <w:color w:val="auto"/>
              </w:rPr>
              <w:t>:</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Craig Willett</w:t>
            </w:r>
          </w:p>
        </w:tc>
        <w:tc>
          <w:tcPr>
            <w:tcW w:w="1700" w:type="dxa"/>
            <w:vAlign w:val="bottom"/>
          </w:tcPr>
          <w:p>
            <w:pPr>
              <w:spacing w:after="0"/>
              <w:rPr>
                <w:sz w:val="24"/>
                <w:szCs w:val="24"/>
                <w:color w:val="auto"/>
              </w:rPr>
            </w:pPr>
          </w:p>
        </w:tc>
      </w:tr>
      <w:tr>
        <w:trPr>
          <w:trHeight w:val="224"/>
        </w:trPr>
        <w:tc>
          <w:tcPr>
            <w:tcW w:w="5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Craig Willet, General Partner</w:t>
            </w:r>
          </w:p>
        </w:tc>
        <w:tc>
          <w:tcPr>
            <w:tcW w:w="1700" w:type="dxa"/>
            <w:vAlign w:val="bottom"/>
          </w:tcPr>
          <w:p>
            <w:pPr>
              <w:spacing w:after="0"/>
              <w:rPr>
                <w:sz w:val="19"/>
                <w:szCs w:val="19"/>
                <w:color w:val="auto"/>
              </w:rPr>
            </w:pPr>
          </w:p>
        </w:tc>
      </w:tr>
      <w:tr>
        <w:trPr>
          <w:trHeight w:val="404"/>
        </w:trPr>
        <w:tc>
          <w:tcPr>
            <w:tcW w:w="574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DUR Holdings, LC</w:t>
            </w:r>
          </w:p>
        </w:tc>
        <w:tc>
          <w:tcPr>
            <w:tcW w:w="1700" w:type="dxa"/>
            <w:vAlign w:val="bottom"/>
          </w:tcPr>
          <w:p>
            <w:pPr>
              <w:spacing w:after="0"/>
              <w:rPr>
                <w:sz w:val="24"/>
                <w:szCs w:val="24"/>
                <w:color w:val="auto"/>
              </w:rPr>
            </w:pPr>
          </w:p>
        </w:tc>
      </w:tr>
      <w:tr>
        <w:trPr>
          <w:trHeight w:val="230"/>
        </w:trPr>
        <w:tc>
          <w:tcPr>
            <w:tcW w:w="574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By:  Elizann, Inc., its Manager</w:t>
            </w:r>
          </w:p>
        </w:tc>
        <w:tc>
          <w:tcPr>
            <w:tcW w:w="1700" w:type="dxa"/>
            <w:vAlign w:val="bottom"/>
          </w:tcPr>
          <w:p>
            <w:pPr>
              <w:spacing w:after="0"/>
              <w:rPr>
                <w:sz w:val="20"/>
                <w:szCs w:val="20"/>
                <w:color w:val="auto"/>
              </w:rPr>
            </w:pPr>
          </w:p>
        </w:tc>
      </w:tr>
      <w:tr>
        <w:trPr>
          <w:trHeight w:val="432"/>
        </w:trPr>
        <w:tc>
          <w:tcPr>
            <w:tcW w:w="57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Y</w:t>
            </w:r>
            <w:r>
              <w:rPr>
                <w:rFonts w:ascii="Arial" w:cs="Arial" w:eastAsia="Arial" w:hAnsi="Arial"/>
                <w:sz w:val="18"/>
                <w:szCs w:val="18"/>
                <w:color w:val="auto"/>
              </w:rPr>
              <w:t>:</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Craig Willett</w:t>
            </w:r>
          </w:p>
        </w:tc>
        <w:tc>
          <w:tcPr>
            <w:tcW w:w="1700" w:type="dxa"/>
            <w:vAlign w:val="bottom"/>
          </w:tcPr>
          <w:p>
            <w:pPr>
              <w:spacing w:after="0"/>
              <w:rPr>
                <w:sz w:val="24"/>
                <w:szCs w:val="24"/>
                <w:color w:val="auto"/>
              </w:rPr>
            </w:pPr>
          </w:p>
        </w:tc>
      </w:tr>
      <w:tr>
        <w:trPr>
          <w:trHeight w:val="224"/>
        </w:trPr>
        <w:tc>
          <w:tcPr>
            <w:tcW w:w="5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Craig Willet, President of Elizann, Inc.</w:t>
            </w:r>
          </w:p>
        </w:tc>
        <w:tc>
          <w:tcPr>
            <w:tcW w:w="1700" w:type="dxa"/>
            <w:vAlign w:val="bottom"/>
          </w:tcPr>
          <w:p>
            <w:pPr>
              <w:spacing w:after="0"/>
              <w:rPr>
                <w:sz w:val="19"/>
                <w:szCs w:val="19"/>
                <w:color w:val="auto"/>
              </w:rPr>
            </w:pPr>
          </w:p>
        </w:tc>
      </w:tr>
      <w:tr>
        <w:trPr>
          <w:trHeight w:val="418"/>
        </w:trPr>
        <w:tc>
          <w:tcPr>
            <w:tcW w:w="574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6-W Discretionary Trust</w:t>
            </w:r>
          </w:p>
        </w:tc>
        <w:tc>
          <w:tcPr>
            <w:tcW w:w="1700" w:type="dxa"/>
            <w:vAlign w:val="bottom"/>
          </w:tcPr>
          <w:p>
            <w:pPr>
              <w:spacing w:after="0"/>
              <w:rPr>
                <w:sz w:val="24"/>
                <w:szCs w:val="24"/>
                <w:color w:val="auto"/>
              </w:rPr>
            </w:pPr>
          </w:p>
        </w:tc>
      </w:tr>
      <w:tr>
        <w:trPr>
          <w:trHeight w:val="432"/>
        </w:trPr>
        <w:tc>
          <w:tcPr>
            <w:tcW w:w="57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Y</w:t>
            </w:r>
            <w:r>
              <w:rPr>
                <w:rFonts w:ascii="Arial" w:cs="Arial" w:eastAsia="Arial" w:hAnsi="Arial"/>
                <w:sz w:val="18"/>
                <w:szCs w:val="18"/>
                <w:color w:val="auto"/>
              </w:rPr>
              <w:t>:</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Craig Willett</w:t>
            </w:r>
          </w:p>
        </w:tc>
        <w:tc>
          <w:tcPr>
            <w:tcW w:w="1700" w:type="dxa"/>
            <w:vAlign w:val="bottom"/>
          </w:tcPr>
          <w:p>
            <w:pPr>
              <w:spacing w:after="0"/>
              <w:rPr>
                <w:sz w:val="24"/>
                <w:szCs w:val="24"/>
                <w:color w:val="auto"/>
              </w:rPr>
            </w:pPr>
          </w:p>
        </w:tc>
      </w:tr>
      <w:tr>
        <w:trPr>
          <w:trHeight w:val="224"/>
        </w:trPr>
        <w:tc>
          <w:tcPr>
            <w:tcW w:w="5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Craig Willet, Trustee</w:t>
            </w:r>
          </w:p>
        </w:tc>
        <w:tc>
          <w:tcPr>
            <w:tcW w:w="1700" w:type="dxa"/>
            <w:vAlign w:val="bottom"/>
          </w:tcPr>
          <w:p>
            <w:pPr>
              <w:spacing w:after="0"/>
              <w:rPr>
                <w:sz w:val="19"/>
                <w:szCs w:val="19"/>
                <w:color w:val="auto"/>
              </w:rPr>
            </w:pPr>
          </w:p>
        </w:tc>
      </w:tr>
      <w:tr>
        <w:trPr>
          <w:trHeight w:val="661"/>
        </w:trPr>
        <w:tc>
          <w:tcPr>
            <w:tcW w:w="5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the signatories of the statement on Schedule 13D to which this Agreement is attached, hereby agree that such statement is, and any amendments thereto filed by any of us will be, filed and on behalf of each of 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Arial" w:cs="Arial" w:eastAsia="Arial" w:hAnsi="Arial"/>
                <w:sz w:val="18"/>
                <w:szCs w:val="18"/>
                <w:color w:val="auto"/>
              </w:rPr>
              <w:t>Date: February 7, 2018</w:t>
            </w:r>
          </w:p>
        </w:tc>
        <w:tc>
          <w:tcPr>
            <w:tcW w:w="3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Craig Willett</w:t>
            </w:r>
          </w:p>
        </w:tc>
        <w:tc>
          <w:tcPr>
            <w:tcW w:w="1700" w:type="dxa"/>
            <w:vAlign w:val="bottom"/>
          </w:tcPr>
          <w:p>
            <w:pPr>
              <w:spacing w:after="0"/>
              <w:rPr>
                <w:sz w:val="20"/>
                <w:szCs w:val="20"/>
                <w:color w:val="auto"/>
              </w:rPr>
            </w:pPr>
          </w:p>
        </w:tc>
      </w:tr>
      <w:tr>
        <w:trPr>
          <w:trHeight w:val="224"/>
        </w:trPr>
        <w:tc>
          <w:tcPr>
            <w:tcW w:w="574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Craig Willett</w:t>
            </w:r>
          </w:p>
        </w:tc>
        <w:tc>
          <w:tcPr>
            <w:tcW w:w="1700" w:type="dxa"/>
            <w:vAlign w:val="bottom"/>
          </w:tcPr>
          <w:p>
            <w:pPr>
              <w:spacing w:after="0"/>
              <w:rPr>
                <w:sz w:val="19"/>
                <w:szCs w:val="19"/>
                <w:color w:val="auto"/>
              </w:rPr>
            </w:pPr>
          </w:p>
        </w:tc>
      </w:tr>
      <w:tr>
        <w:trPr>
          <w:trHeight w:val="634"/>
        </w:trPr>
        <w:tc>
          <w:tcPr>
            <w:tcW w:w="574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Phoenician Enterprises, Ltd.</w:t>
            </w:r>
          </w:p>
        </w:tc>
        <w:tc>
          <w:tcPr>
            <w:tcW w:w="1700" w:type="dxa"/>
            <w:vAlign w:val="bottom"/>
          </w:tcPr>
          <w:p>
            <w:pPr>
              <w:spacing w:after="0"/>
              <w:rPr>
                <w:sz w:val="24"/>
                <w:szCs w:val="24"/>
                <w:color w:val="auto"/>
              </w:rPr>
            </w:pPr>
          </w:p>
        </w:tc>
      </w:tr>
      <w:tr>
        <w:trPr>
          <w:trHeight w:val="432"/>
        </w:trPr>
        <w:tc>
          <w:tcPr>
            <w:tcW w:w="57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Y</w:t>
            </w:r>
            <w:r>
              <w:rPr>
                <w:rFonts w:ascii="Arial" w:cs="Arial" w:eastAsia="Arial" w:hAnsi="Arial"/>
                <w:sz w:val="18"/>
                <w:szCs w:val="18"/>
                <w:color w:val="auto"/>
              </w:rPr>
              <w:t>:</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Craig Willett</w:t>
            </w:r>
          </w:p>
        </w:tc>
        <w:tc>
          <w:tcPr>
            <w:tcW w:w="1700" w:type="dxa"/>
            <w:vAlign w:val="bottom"/>
          </w:tcPr>
          <w:p>
            <w:pPr>
              <w:spacing w:after="0"/>
              <w:rPr>
                <w:sz w:val="24"/>
                <w:szCs w:val="24"/>
                <w:color w:val="auto"/>
              </w:rPr>
            </w:pPr>
          </w:p>
        </w:tc>
      </w:tr>
      <w:tr>
        <w:trPr>
          <w:trHeight w:val="224"/>
        </w:trPr>
        <w:tc>
          <w:tcPr>
            <w:tcW w:w="5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Craig Willet, General Partner</w:t>
            </w:r>
          </w:p>
        </w:tc>
        <w:tc>
          <w:tcPr>
            <w:tcW w:w="1700" w:type="dxa"/>
            <w:vAlign w:val="bottom"/>
          </w:tcPr>
          <w:p>
            <w:pPr>
              <w:spacing w:after="0"/>
              <w:rPr>
                <w:sz w:val="19"/>
                <w:szCs w:val="19"/>
                <w:color w:val="auto"/>
              </w:rPr>
            </w:pPr>
          </w:p>
        </w:tc>
      </w:tr>
      <w:tr>
        <w:trPr>
          <w:trHeight w:val="404"/>
        </w:trPr>
        <w:tc>
          <w:tcPr>
            <w:tcW w:w="574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DUR Holdings, LC</w:t>
            </w:r>
          </w:p>
        </w:tc>
        <w:tc>
          <w:tcPr>
            <w:tcW w:w="1700" w:type="dxa"/>
            <w:vAlign w:val="bottom"/>
          </w:tcPr>
          <w:p>
            <w:pPr>
              <w:spacing w:after="0"/>
              <w:rPr>
                <w:sz w:val="24"/>
                <w:szCs w:val="24"/>
                <w:color w:val="auto"/>
              </w:rPr>
            </w:pPr>
          </w:p>
        </w:tc>
      </w:tr>
      <w:tr>
        <w:trPr>
          <w:trHeight w:val="230"/>
        </w:trPr>
        <w:tc>
          <w:tcPr>
            <w:tcW w:w="574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By:  Elizann, Inc., its Manager</w:t>
            </w:r>
          </w:p>
        </w:tc>
        <w:tc>
          <w:tcPr>
            <w:tcW w:w="1700" w:type="dxa"/>
            <w:vAlign w:val="bottom"/>
          </w:tcPr>
          <w:p>
            <w:pPr>
              <w:spacing w:after="0"/>
              <w:rPr>
                <w:sz w:val="20"/>
                <w:szCs w:val="20"/>
                <w:color w:val="auto"/>
              </w:rPr>
            </w:pPr>
          </w:p>
        </w:tc>
      </w:tr>
      <w:tr>
        <w:trPr>
          <w:trHeight w:val="432"/>
        </w:trPr>
        <w:tc>
          <w:tcPr>
            <w:tcW w:w="57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Y</w:t>
            </w:r>
            <w:r>
              <w:rPr>
                <w:rFonts w:ascii="Arial" w:cs="Arial" w:eastAsia="Arial" w:hAnsi="Arial"/>
                <w:sz w:val="18"/>
                <w:szCs w:val="18"/>
                <w:color w:val="auto"/>
              </w:rPr>
              <w:t>:</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Craig Willett</w:t>
            </w:r>
          </w:p>
        </w:tc>
        <w:tc>
          <w:tcPr>
            <w:tcW w:w="1700" w:type="dxa"/>
            <w:vAlign w:val="bottom"/>
          </w:tcPr>
          <w:p>
            <w:pPr>
              <w:spacing w:after="0"/>
              <w:rPr>
                <w:sz w:val="24"/>
                <w:szCs w:val="24"/>
                <w:color w:val="auto"/>
              </w:rPr>
            </w:pPr>
          </w:p>
        </w:tc>
      </w:tr>
      <w:tr>
        <w:trPr>
          <w:trHeight w:val="224"/>
        </w:trPr>
        <w:tc>
          <w:tcPr>
            <w:tcW w:w="5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Craig Willet, President of Elizann, Inc.</w:t>
            </w:r>
          </w:p>
        </w:tc>
        <w:tc>
          <w:tcPr>
            <w:tcW w:w="1700" w:type="dxa"/>
            <w:vAlign w:val="bottom"/>
          </w:tcPr>
          <w:p>
            <w:pPr>
              <w:spacing w:after="0"/>
              <w:rPr>
                <w:sz w:val="19"/>
                <w:szCs w:val="19"/>
                <w:color w:val="auto"/>
              </w:rPr>
            </w:pPr>
          </w:p>
        </w:tc>
      </w:tr>
      <w:tr>
        <w:trPr>
          <w:trHeight w:val="418"/>
        </w:trPr>
        <w:tc>
          <w:tcPr>
            <w:tcW w:w="574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6-W Discretionary Trust</w:t>
            </w:r>
          </w:p>
        </w:tc>
        <w:tc>
          <w:tcPr>
            <w:tcW w:w="1700" w:type="dxa"/>
            <w:vAlign w:val="bottom"/>
          </w:tcPr>
          <w:p>
            <w:pPr>
              <w:spacing w:after="0"/>
              <w:rPr>
                <w:sz w:val="24"/>
                <w:szCs w:val="24"/>
                <w:color w:val="auto"/>
              </w:rPr>
            </w:pPr>
          </w:p>
        </w:tc>
      </w:tr>
      <w:tr>
        <w:trPr>
          <w:trHeight w:val="432"/>
        </w:trPr>
        <w:tc>
          <w:tcPr>
            <w:tcW w:w="574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Y</w:t>
            </w:r>
            <w:r>
              <w:rPr>
                <w:rFonts w:ascii="Arial" w:cs="Arial" w:eastAsia="Arial" w:hAnsi="Arial"/>
                <w:sz w:val="18"/>
                <w:szCs w:val="18"/>
                <w:color w:val="auto"/>
              </w:rPr>
              <w:t>:</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8"/>
                <w:szCs w:val="18"/>
                <w:color w:val="auto"/>
              </w:rPr>
              <w:t>/ Craig Willett</w:t>
            </w:r>
          </w:p>
        </w:tc>
        <w:tc>
          <w:tcPr>
            <w:tcW w:w="1700" w:type="dxa"/>
            <w:vAlign w:val="bottom"/>
          </w:tcPr>
          <w:p>
            <w:pPr>
              <w:spacing w:after="0"/>
              <w:rPr>
                <w:sz w:val="24"/>
                <w:szCs w:val="24"/>
                <w:color w:val="auto"/>
              </w:rPr>
            </w:pPr>
          </w:p>
        </w:tc>
      </w:tr>
      <w:tr>
        <w:trPr>
          <w:trHeight w:val="224"/>
        </w:trPr>
        <w:tc>
          <w:tcPr>
            <w:tcW w:w="5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Craig Willet, Trustee</w:t>
            </w:r>
          </w:p>
        </w:tc>
        <w:tc>
          <w:tcPr>
            <w:tcW w:w="1700" w:type="dxa"/>
            <w:vAlign w:val="bottom"/>
          </w:tcPr>
          <w:p>
            <w:pPr>
              <w:spacing w:after="0"/>
              <w:rPr>
                <w:sz w:val="19"/>
                <w:szCs w:val="19"/>
                <w:color w:val="auto"/>
              </w:rPr>
            </w:pPr>
          </w:p>
        </w:tc>
      </w:tr>
      <w:tr>
        <w:trPr>
          <w:trHeight w:val="661"/>
        </w:trPr>
        <w:tc>
          <w:tcPr>
            <w:tcW w:w="5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lvl w:ilvl="1">
      <w:lvlJc w:val="left"/>
      <w:lvlText w:val="(%2)"/>
      <w:numFmt w:val="lowerLetter"/>
      <w:start w:val="1"/>
    </w:lvl>
  </w:abstractNum>
  <w:abstractNum w:abstractNumId="2">
    <w:nsid w:val="12200854"/>
    <w:multiLevelType w:val="hybridMultilevel"/>
    <w:lvl w:ilvl="0">
      <w:lvlJc w:val="left"/>
      <w:lvlText w:val="%1."/>
      <w:numFmt w:val="decimal"/>
      <w:start w:val="6"/>
    </w:lvl>
    <w:lvl w:ilvl="1">
      <w:lvlJc w:val="left"/>
      <w:lvlText w:val="%2."/>
      <w:numFmt w:val="decimal"/>
      <w:start w:val="7"/>
    </w:lvl>
  </w:abstractNum>
  <w:abstractNum w:abstractNumId="3">
    <w:nsid w:val="4DB127F8"/>
    <w:multiLevelType w:val="hybridMultilevel"/>
    <w:lvl w:ilvl="0">
      <w:lvlJc w:val="left"/>
      <w:lvlText w:val="%1."/>
      <w:numFmt w:val="decimal"/>
      <w:start w:val="13"/>
    </w:lvl>
    <w:lvl w:ilvl="1">
      <w:lvlJc w:val="left"/>
      <w:lvlText w:val="(%2)"/>
      <w:numFmt w:val="decimal"/>
      <w:start w:val="1"/>
    </w:lvl>
  </w:abstractNum>
  <w:abstractNum w:abstractNumId="4">
    <w:nsid w:val="216231B"/>
    <w:multiLevelType w:val="hybridMultilevel"/>
    <w:lvl w:ilvl="0">
      <w:lvlJc w:val="left"/>
      <w:lvlText w:val="%1."/>
      <w:numFmt w:val="decimal"/>
      <w:start w:val="1"/>
    </w:lvl>
    <w:lvl w:ilvl="1">
      <w:lvlJc w:val="left"/>
      <w:lvlText w:val="(%2)"/>
      <w:numFmt w:val="lowerLetter"/>
      <w:start w:val="1"/>
    </w:lvl>
  </w:abstractNum>
  <w:abstractNum w:abstractNumId="5">
    <w:nsid w:val="1F16E9E8"/>
    <w:multiLevelType w:val="hybridMultilevel"/>
    <w:lvl w:ilvl="0">
      <w:lvlJc w:val="left"/>
      <w:lvlText w:val="%1."/>
      <w:numFmt w:val="decimal"/>
      <w:start w:val="6"/>
    </w:lvl>
    <w:lvl w:ilvl="1">
      <w:lvlJc w:val="left"/>
      <w:lvlText w:val="%2."/>
      <w:numFmt w:val="decimal"/>
      <w:start w:val="7"/>
    </w:lvl>
  </w:abstractNum>
  <w:abstractNum w:abstractNumId="6">
    <w:nsid w:val="1190CDE7"/>
    <w:multiLevelType w:val="hybridMultilevel"/>
    <w:lvl w:ilvl="0">
      <w:lvlJc w:val="left"/>
      <w:lvlText w:val="%1."/>
      <w:numFmt w:val="decimal"/>
      <w:start w:val="13"/>
    </w:lvl>
    <w:lvl w:ilvl="1">
      <w:lvlJc w:val="left"/>
      <w:lvlText w:val="(%2)"/>
      <w:numFmt w:val="decimal"/>
      <w:start w:val="1"/>
    </w:lvl>
  </w:abstractNum>
  <w:abstractNum w:abstractNumId="7">
    <w:nsid w:val="66EF438D"/>
    <w:multiLevelType w:val="hybridMultilevel"/>
    <w:lvl w:ilvl="0">
      <w:lvlJc w:val="left"/>
      <w:lvlText w:val="%1."/>
      <w:numFmt w:val="decimal"/>
      <w:start w:val="1"/>
    </w:lvl>
    <w:lvl w:ilvl="1">
      <w:lvlJc w:val="left"/>
      <w:lvlText w:val="(%2)"/>
      <w:numFmt w:val="lowerLetter"/>
      <w:start w:val="1"/>
    </w:lvl>
  </w:abstractNum>
  <w:abstractNum w:abstractNumId="8">
    <w:nsid w:val="140E0F76"/>
    <w:multiLevelType w:val="hybridMultilevel"/>
    <w:lvl w:ilvl="0">
      <w:lvlJc w:val="left"/>
      <w:lvlText w:val="%1."/>
      <w:numFmt w:val="decimal"/>
      <w:start w:val="6"/>
    </w:lvl>
    <w:lvl w:ilvl="1">
      <w:lvlJc w:val="left"/>
      <w:lvlText w:val="%2."/>
      <w:numFmt w:val="decimal"/>
      <w:start w:val="7"/>
    </w:lvl>
  </w:abstractNum>
  <w:abstractNum w:abstractNumId="9">
    <w:nsid w:val="3352255A"/>
    <w:multiLevelType w:val="hybridMultilevel"/>
    <w:lvl w:ilvl="0">
      <w:lvlJc w:val="left"/>
      <w:lvlText w:val="%1."/>
      <w:numFmt w:val="decimal"/>
      <w:start w:val="13"/>
    </w:lvl>
    <w:lvl w:ilvl="1">
      <w:lvlJc w:val="left"/>
      <w:lvlText w:val="(%2)"/>
      <w:numFmt w:val="decimal"/>
      <w:start w:val="1"/>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decimal"/>
      <w:start w:val="6"/>
    </w:lvl>
    <w:lvl w:ilvl="1">
      <w:lvlJc w:val="left"/>
      <w:lvlText w:val="%2."/>
      <w:numFmt w:val="decimal"/>
      <w:start w:val="7"/>
    </w:lvl>
  </w:abstractNum>
  <w:abstractNum w:abstractNumId="12">
    <w:nsid w:val="7FDCC233"/>
    <w:multiLevelType w:val="hybridMultilevel"/>
    <w:lvl w:ilvl="0">
      <w:lvlJc w:val="left"/>
      <w:lvlText w:val="%1."/>
      <w:numFmt w:val="decimal"/>
      <w:start w:val="13"/>
    </w:lvl>
    <w:lvl w:ilvl="1">
      <w:lvlJc w:val="left"/>
      <w:lvlText w:val="(%2)"/>
      <w:numFmt w:val="decimal"/>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2019-12-08T05:30:23Z</dcterms:created>
  <dcterms:modified xsi:type="dcterms:W3CDTF">2019-12-08T05:30:23Z</dcterms:modified>
</cp:coreProperties>
</file>