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NIS $0.01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Rule 13d-1(b)</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13d-1(c)</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13d-1(d)</w:t>
      </w:r>
    </w:p>
    <w:p>
      <w:pPr>
        <w:spacing w:after="0" w:line="225" w:lineRule="exact"/>
        <w:rPr>
          <w:sz w:val="24"/>
          <w:szCs w:val="24"/>
          <w:color w:val="auto"/>
        </w:rPr>
      </w:pPr>
    </w:p>
    <w:p>
      <w:pPr>
        <w:ind w:right="300" w:firstLine="648"/>
        <w:spacing w:after="0" w:line="347" w:lineRule="auto"/>
        <w:rPr>
          <w:sz w:val="20"/>
          <w:szCs w:val="20"/>
          <w:color w:val="auto"/>
        </w:rPr>
      </w:pPr>
      <w:r>
        <w:rPr>
          <w:rFonts w:ascii="Arial" w:cs="Arial" w:eastAsia="Arial" w:hAnsi="Arial"/>
          <w:sz w:val="16"/>
          <w:szCs w:val="16"/>
          <w:b w:val="1"/>
          <w:bCs w:val="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6" w:lineRule="exact"/>
        <w:rPr>
          <w:sz w:val="24"/>
          <w:szCs w:val="24"/>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39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9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M2239P109</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47"/>
        </w:trPr>
        <w:tc>
          <w:tcPr>
            <w:tcW w:w="48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20" w:type="dxa"/>
            <w:vAlign w:val="bottom"/>
            <w:tcBorders>
              <w:top w:val="single" w:sz="8" w:color="auto"/>
              <w:right w:val="single" w:sz="8" w:color="auto"/>
            </w:tcBorders>
          </w:tcPr>
          <w:p>
            <w:pPr>
              <w:spacing w:after="0"/>
              <w:rPr>
                <w:sz w:val="24"/>
                <w:szCs w:val="24"/>
                <w:color w:val="auto"/>
              </w:rPr>
            </w:pPr>
          </w:p>
        </w:tc>
        <w:tc>
          <w:tcPr>
            <w:tcW w:w="87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0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w w:val="93"/>
              </w:rPr>
              <w:t>Baker Bros. Advisors LP</w:t>
            </w:r>
          </w:p>
        </w:tc>
        <w:tc>
          <w:tcPr>
            <w:tcW w:w="4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gridSpan w:val="2"/>
          </w:tcPr>
          <w:p>
            <w:pPr>
              <w:spacing w:after="0"/>
              <w:rPr>
                <w:sz w:val="23"/>
                <w:szCs w:val="23"/>
                <w:color w:val="auto"/>
              </w:rPr>
            </w:pPr>
          </w:p>
        </w:tc>
        <w:tc>
          <w:tcPr>
            <w:tcW w:w="6460" w:type="dxa"/>
            <w:vAlign w:val="bottom"/>
            <w:tcBorders>
              <w:bottom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80" w:type="dxa"/>
            <w:vAlign w:val="bottom"/>
            <w:tcBorders>
              <w:left w:val="single" w:sz="8" w:color="auto"/>
            </w:tcBorders>
          </w:tcPr>
          <w:p>
            <w:pPr>
              <w:jc w:val="center"/>
              <w:spacing w:after="0" w:line="259" w:lineRule="exact"/>
              <w:rPr>
                <w:sz w:val="20"/>
                <w:szCs w:val="20"/>
                <w:color w:val="auto"/>
              </w:rPr>
            </w:pPr>
            <w:r>
              <w:rPr>
                <w:rFonts w:ascii="Arial" w:cs="Arial" w:eastAsia="Arial" w:hAnsi="Arial"/>
                <w:sz w:val="29"/>
                <w:szCs w:val="29"/>
                <w:b w:val="1"/>
                <w:bCs w:val="1"/>
                <w:color w:val="auto"/>
                <w:w w:val="98"/>
              </w:rPr>
              <w:t>2</w:t>
            </w:r>
          </w:p>
        </w:tc>
        <w:tc>
          <w:tcPr>
            <w:tcW w:w="120" w:type="dxa"/>
            <w:vAlign w:val="bottom"/>
            <w:tcBorders>
              <w:right w:val="single" w:sz="8" w:color="auto"/>
            </w:tcBorders>
          </w:tcPr>
          <w:p>
            <w:pPr>
              <w:spacing w:after="0"/>
              <w:rPr>
                <w:sz w:val="22"/>
                <w:szCs w:val="22"/>
                <w:color w:val="auto"/>
              </w:rPr>
            </w:pPr>
          </w:p>
        </w:tc>
        <w:tc>
          <w:tcPr>
            <w:tcW w:w="87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080" w:type="dxa"/>
            <w:vAlign w:val="bottom"/>
            <w:tcBorders>
              <w:right w:val="single" w:sz="8" w:color="auto"/>
            </w:tcBorders>
          </w:tcPr>
          <w:p>
            <w:pPr>
              <w:ind w:left="130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80" w:type="dxa"/>
            <w:vAlign w:val="bottom"/>
            <w:tcBorders>
              <w:right w:val="single" w:sz="8" w:color="auto"/>
            </w:tcBorders>
          </w:tcPr>
          <w:p>
            <w:pPr>
              <w:ind w:left="128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08"/>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20" w:type="dxa"/>
            <w:vAlign w:val="bottom"/>
            <w:tcBorders>
              <w:right w:val="single" w:sz="8" w:color="auto"/>
            </w:tcBorders>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SEC USE ONLY</w:t>
            </w:r>
          </w:p>
        </w:tc>
        <w:tc>
          <w:tcPr>
            <w:tcW w:w="4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6460" w:type="dxa"/>
            <w:vAlign w:val="bottom"/>
            <w:tcBorders>
              <w:bottom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20" w:type="dxa"/>
            <w:vAlign w:val="bottom"/>
            <w:tcBorders>
              <w:right w:val="single" w:sz="8" w:color="auto"/>
            </w:tcBorders>
          </w:tcPr>
          <w:p>
            <w:pPr>
              <w:spacing w:after="0"/>
              <w:rPr>
                <w:sz w:val="24"/>
                <w:szCs w:val="24"/>
                <w:color w:val="auto"/>
              </w:rPr>
            </w:pPr>
          </w:p>
        </w:tc>
        <w:tc>
          <w:tcPr>
            <w:tcW w:w="87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jc w:val="right"/>
              <w:ind w:right="58"/>
              <w:spacing w:after="0"/>
              <w:rPr>
                <w:sz w:val="20"/>
                <w:szCs w:val="20"/>
                <w:color w:val="auto"/>
              </w:rPr>
            </w:pPr>
            <w:r>
              <w:rPr>
                <w:rFonts w:ascii="Arial" w:cs="Arial" w:eastAsia="Arial" w:hAnsi="Arial"/>
                <w:sz w:val="32"/>
                <w:szCs w:val="32"/>
                <w:b w:val="1"/>
                <w:bCs w:val="1"/>
                <w:color w:val="auto"/>
              </w:rPr>
              <w:t>5</w:t>
            </w:r>
          </w:p>
        </w:tc>
        <w:tc>
          <w:tcPr>
            <w:tcW w:w="646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2,336,359</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4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Borders>
              <w:right w:val="single" w:sz="8" w:color="auto"/>
            </w:tcBorders>
            <w:vMerge w:val="restart"/>
          </w:tcPr>
          <w:p>
            <w:pPr>
              <w:jc w:val="right"/>
              <w:ind w:right="58"/>
              <w:spacing w:after="0" w:line="319" w:lineRule="exact"/>
              <w:rPr>
                <w:sz w:val="20"/>
                <w:szCs w:val="20"/>
                <w:color w:val="auto"/>
              </w:rPr>
            </w:pPr>
            <w:r>
              <w:rPr>
                <w:rFonts w:ascii="Arial" w:cs="Arial" w:eastAsia="Arial" w:hAnsi="Arial"/>
                <w:sz w:val="32"/>
                <w:szCs w:val="32"/>
                <w:b w:val="1"/>
                <w:bCs w:val="1"/>
                <w:color w:val="auto"/>
              </w:rPr>
              <w:t>6</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SHARED VOTING POWER</w:t>
            </w: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5"/>
              </w:rPr>
              <w:t>SHARES</w:t>
            </w:r>
          </w:p>
        </w:tc>
        <w:tc>
          <w:tcPr>
            <w:tcW w:w="140" w:type="dxa"/>
            <w:vAlign w:val="bottom"/>
          </w:tcPr>
          <w:p>
            <w:pPr>
              <w:spacing w:after="0"/>
              <w:rPr>
                <w:sz w:val="20"/>
                <w:szCs w:val="20"/>
                <w:color w:val="auto"/>
              </w:rPr>
            </w:pPr>
          </w:p>
        </w:tc>
        <w:tc>
          <w:tcPr>
            <w:tcW w:w="420" w:type="dxa"/>
            <w:vAlign w:val="bottom"/>
            <w:tcBorders>
              <w:right w:val="single" w:sz="8" w:color="auto"/>
            </w:tcBorders>
            <w:vMerge w:val="continue"/>
          </w:tcPr>
          <w:p>
            <w:pPr>
              <w:spacing w:after="0"/>
              <w:rPr>
                <w:sz w:val="20"/>
                <w:szCs w:val="20"/>
                <w:color w:val="auto"/>
              </w:rPr>
            </w:pPr>
          </w:p>
        </w:tc>
        <w:tc>
          <w:tcPr>
            <w:tcW w:w="6460" w:type="dxa"/>
            <w:vAlign w:val="bottom"/>
            <w:vMerge w:val="continue"/>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0" w:type="dxa"/>
            <w:vAlign w:val="bottom"/>
            <w:tcBorders>
              <w:left w:val="single" w:sz="8" w:color="auto"/>
            </w:tcBorders>
          </w:tcPr>
          <w:p>
            <w:pPr>
              <w:spacing w:after="0"/>
              <w:rPr>
                <w:sz w:val="17"/>
                <w:szCs w:val="17"/>
                <w:color w:val="auto"/>
              </w:rPr>
            </w:pPr>
          </w:p>
        </w:tc>
        <w:tc>
          <w:tcPr>
            <w:tcW w:w="1840" w:type="dxa"/>
            <w:vAlign w:val="bottom"/>
            <w:tcBorders>
              <w:right w:val="single" w:sz="8" w:color="auto"/>
            </w:tcBorders>
            <w:gridSpan w:val="2"/>
          </w:tcPr>
          <w:p>
            <w:pPr>
              <w:jc w:val="center"/>
              <w:ind w:right="390"/>
              <w:spacing w:after="0" w:line="196" w:lineRule="exact"/>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OWNED BY</w:t>
            </w: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6460" w:type="dxa"/>
            <w:vAlign w:val="bottom"/>
            <w:tcBorders>
              <w:bottom w:val="single" w:sz="8" w:color="auto"/>
            </w:tcBorders>
            <w:vMerge w:val="continue"/>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right w:val="single" w:sz="8" w:color="auto"/>
            </w:tcBorders>
          </w:tcPr>
          <w:p>
            <w:pPr>
              <w:jc w:val="center"/>
              <w:ind w:right="510"/>
              <w:spacing w:after="0" w:line="178" w:lineRule="exact"/>
              <w:rPr>
                <w:sz w:val="20"/>
                <w:szCs w:val="20"/>
                <w:color w:val="auto"/>
              </w:rPr>
            </w:pPr>
            <w:r>
              <w:rPr>
                <w:rFonts w:ascii="Arial" w:cs="Arial" w:eastAsia="Arial" w:hAnsi="Arial"/>
                <w:sz w:val="18"/>
                <w:szCs w:val="18"/>
                <w:b w:val="1"/>
                <w:bCs w:val="1"/>
                <w:color w:val="auto"/>
              </w:rPr>
              <w:t>EACH</w:t>
            </w:r>
          </w:p>
        </w:tc>
        <w:tc>
          <w:tcPr>
            <w:tcW w:w="140" w:type="dxa"/>
            <w:vAlign w:val="bottom"/>
          </w:tcPr>
          <w:p>
            <w:pPr>
              <w:spacing w:after="0"/>
              <w:rPr>
                <w:sz w:val="15"/>
                <w:szCs w:val="15"/>
                <w:color w:val="auto"/>
              </w:rPr>
            </w:pPr>
          </w:p>
        </w:tc>
        <w:tc>
          <w:tcPr>
            <w:tcW w:w="42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32"/>
                <w:szCs w:val="32"/>
                <w:b w:val="1"/>
                <w:bCs w:val="1"/>
                <w:color w:val="auto"/>
              </w:rPr>
              <w:t>7</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2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REPORTING</w:t>
            </w:r>
          </w:p>
        </w:tc>
        <w:tc>
          <w:tcPr>
            <w:tcW w:w="140" w:type="dxa"/>
            <w:vAlign w:val="bottom"/>
          </w:tcPr>
          <w:p>
            <w:pPr>
              <w:spacing w:after="0"/>
              <w:rPr>
                <w:sz w:val="18"/>
                <w:szCs w:val="18"/>
                <w:color w:val="auto"/>
              </w:rPr>
            </w:pPr>
          </w:p>
        </w:tc>
        <w:tc>
          <w:tcPr>
            <w:tcW w:w="420" w:type="dxa"/>
            <w:vAlign w:val="bottom"/>
            <w:tcBorders>
              <w:right w:val="single" w:sz="8" w:color="auto"/>
            </w:tcBorders>
            <w:vMerge w:val="continue"/>
          </w:tcPr>
          <w:p>
            <w:pPr>
              <w:spacing w:after="0"/>
              <w:rPr>
                <w:sz w:val="18"/>
                <w:szCs w:val="18"/>
                <w:color w:val="auto"/>
              </w:rPr>
            </w:pPr>
          </w:p>
        </w:tc>
        <w:tc>
          <w:tcPr>
            <w:tcW w:w="646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4"/>
              </w:rPr>
              <w:t>PERSON</w:t>
            </w:r>
          </w:p>
        </w:tc>
        <w:tc>
          <w:tcPr>
            <w:tcW w:w="1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2,336,359</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WITH</w:t>
            </w:r>
          </w:p>
        </w:tc>
        <w:tc>
          <w:tcPr>
            <w:tcW w:w="14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6460" w:type="dxa"/>
            <w:vAlign w:val="bottom"/>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8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32"/>
                <w:szCs w:val="32"/>
                <w:b w:val="1"/>
                <w:bCs w:val="1"/>
                <w:color w:val="auto"/>
              </w:rPr>
              <w:t>8</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SHARED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3"/>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vMerge w:val="continue"/>
          </w:tcPr>
          <w:p>
            <w:pPr>
              <w:spacing w:after="0"/>
              <w:rPr>
                <w:sz w:val="24"/>
                <w:szCs w:val="24"/>
                <w:color w:val="auto"/>
              </w:rPr>
            </w:pPr>
          </w:p>
        </w:tc>
        <w:tc>
          <w:tcPr>
            <w:tcW w:w="6460" w:type="dxa"/>
            <w:vAlign w:val="bottom"/>
            <w:vMerge w:val="continue"/>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Borders>
              <w:right w:val="single" w:sz="8" w:color="auto"/>
            </w:tcBorders>
          </w:tcPr>
          <w:p>
            <w:pPr>
              <w:spacing w:after="0"/>
              <w:rPr>
                <w:sz w:val="24"/>
                <w:szCs w:val="24"/>
                <w:color w:val="auto"/>
              </w:rPr>
            </w:pPr>
          </w:p>
        </w:tc>
        <w:tc>
          <w:tcPr>
            <w:tcW w:w="874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2,336,359</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gridSpan w:val="4"/>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8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20" w:type="dxa"/>
            <w:vAlign w:val="bottom"/>
            <w:tcBorders>
              <w:right w:val="single" w:sz="8" w:color="auto"/>
            </w:tcBorders>
          </w:tcPr>
          <w:p>
            <w:pPr>
              <w:spacing w:after="0"/>
              <w:rPr>
                <w:sz w:val="21"/>
                <w:szCs w:val="21"/>
                <w:color w:val="auto"/>
              </w:rPr>
            </w:pPr>
          </w:p>
        </w:tc>
        <w:tc>
          <w:tcPr>
            <w:tcW w:w="87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(See Instructions)</w:t>
            </w:r>
          </w:p>
        </w:tc>
        <w:tc>
          <w:tcPr>
            <w:tcW w:w="4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vMerge w:val="restart"/>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0" w:type="dxa"/>
            <w:vAlign w:val="bottom"/>
            <w:tcBorders>
              <w:left w:val="single" w:sz="8" w:color="auto"/>
              <w:bottom w:val="single" w:sz="8" w:color="auto"/>
              <w:right w:val="single" w:sz="8" w:color="auto"/>
            </w:tcBorders>
            <w:gridSpan w:val="2"/>
          </w:tcPr>
          <w:p>
            <w:pPr>
              <w:spacing w:after="0"/>
              <w:rPr>
                <w:sz w:val="2"/>
                <w:szCs w:val="2"/>
                <w:color w:val="auto"/>
              </w:rPr>
            </w:pPr>
          </w:p>
        </w:tc>
        <w:tc>
          <w:tcPr>
            <w:tcW w:w="8740" w:type="dxa"/>
            <w:vAlign w:val="bottom"/>
            <w:tcBorders>
              <w:bottom w:val="single" w:sz="8" w:color="auto"/>
            </w:tcBorders>
            <w:gridSpan w:val="4"/>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8.5% (1)</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gridSpan w:val="4"/>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20" w:type="dxa"/>
            <w:vAlign w:val="bottom"/>
            <w:tcBorders>
              <w:right w:val="single" w:sz="8" w:color="auto"/>
            </w:tcBorders>
          </w:tcPr>
          <w:p>
            <w:pPr>
              <w:spacing w:after="0"/>
              <w:rPr>
                <w:sz w:val="21"/>
                <w:szCs w:val="21"/>
                <w:color w:val="auto"/>
              </w:rPr>
            </w:pPr>
          </w:p>
        </w:tc>
        <w:tc>
          <w:tcPr>
            <w:tcW w:w="87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60" w:type="dxa"/>
            <w:vAlign w:val="bottom"/>
            <w:gridSpan w:val="2"/>
          </w:tcPr>
          <w:p>
            <w:pPr>
              <w:ind w:left="340"/>
              <w:spacing w:after="0"/>
              <w:rPr>
                <w:sz w:val="20"/>
                <w:szCs w:val="20"/>
                <w:color w:val="auto"/>
              </w:rPr>
            </w:pPr>
            <w:r>
              <w:rPr>
                <w:rFonts w:ascii="Arial" w:cs="Arial" w:eastAsia="Arial" w:hAnsi="Arial"/>
                <w:sz w:val="18"/>
                <w:szCs w:val="18"/>
                <w:color w:val="auto"/>
              </w:rPr>
              <w:t>IA, PN</w:t>
            </w:r>
          </w:p>
        </w:tc>
        <w:tc>
          <w:tcPr>
            <w:tcW w:w="4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460" w:type="dxa"/>
            <w:vAlign w:val="bottom"/>
            <w:tcBorders>
              <w:bottom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left="5080" w:right="400" w:hanging="4748"/>
        <w:spacing w:after="0" w:line="77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27,560,920 ordinary shares outstanding as of December 31, 2015, based on information obtained from the Issuer on January 29, 2016. 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M2239P109</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47"/>
        </w:trPr>
        <w:tc>
          <w:tcPr>
            <w:tcW w:w="48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20" w:type="dxa"/>
            <w:vAlign w:val="bottom"/>
            <w:tcBorders>
              <w:top w:val="single" w:sz="8" w:color="auto"/>
              <w:right w:val="single" w:sz="8" w:color="auto"/>
            </w:tcBorders>
          </w:tcPr>
          <w:p>
            <w:pPr>
              <w:spacing w:after="0"/>
              <w:rPr>
                <w:sz w:val="24"/>
                <w:szCs w:val="24"/>
                <w:color w:val="auto"/>
              </w:rPr>
            </w:pPr>
          </w:p>
        </w:tc>
        <w:tc>
          <w:tcPr>
            <w:tcW w:w="87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0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color w:val="auto"/>
              </w:rPr>
              <w:t>Baker Bros. Advisors (GP) LLC</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6460" w:type="dxa"/>
            <w:vAlign w:val="bottom"/>
            <w:tcBorders>
              <w:bottom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80" w:type="dxa"/>
            <w:vAlign w:val="bottom"/>
            <w:tcBorders>
              <w:left w:val="single" w:sz="8" w:color="auto"/>
            </w:tcBorders>
          </w:tcPr>
          <w:p>
            <w:pPr>
              <w:jc w:val="center"/>
              <w:spacing w:after="0" w:line="259" w:lineRule="exact"/>
              <w:rPr>
                <w:sz w:val="20"/>
                <w:szCs w:val="20"/>
                <w:color w:val="auto"/>
              </w:rPr>
            </w:pPr>
            <w:r>
              <w:rPr>
                <w:rFonts w:ascii="Arial" w:cs="Arial" w:eastAsia="Arial" w:hAnsi="Arial"/>
                <w:sz w:val="29"/>
                <w:szCs w:val="29"/>
                <w:b w:val="1"/>
                <w:bCs w:val="1"/>
                <w:color w:val="auto"/>
                <w:w w:val="98"/>
              </w:rPr>
              <w:t>2</w:t>
            </w:r>
          </w:p>
        </w:tc>
        <w:tc>
          <w:tcPr>
            <w:tcW w:w="120" w:type="dxa"/>
            <w:vAlign w:val="bottom"/>
            <w:tcBorders>
              <w:right w:val="single" w:sz="8" w:color="auto"/>
            </w:tcBorders>
          </w:tcPr>
          <w:p>
            <w:pPr>
              <w:spacing w:after="0"/>
              <w:rPr>
                <w:sz w:val="22"/>
                <w:szCs w:val="22"/>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080" w:type="dxa"/>
            <w:vAlign w:val="bottom"/>
            <w:tcBorders>
              <w:right w:val="single" w:sz="8" w:color="auto"/>
            </w:tcBorders>
          </w:tcPr>
          <w:p>
            <w:pPr>
              <w:ind w:left="130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80" w:type="dxa"/>
            <w:vAlign w:val="bottom"/>
            <w:tcBorders>
              <w:right w:val="single" w:sz="8" w:color="auto"/>
            </w:tcBorders>
          </w:tcPr>
          <w:p>
            <w:pPr>
              <w:ind w:left="128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08"/>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4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20" w:type="dxa"/>
            <w:vAlign w:val="bottom"/>
            <w:tcBorders>
              <w:right w:val="single" w:sz="8" w:color="auto"/>
            </w:tcBorders>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SEC USE ONLY</w:t>
            </w:r>
          </w:p>
        </w:tc>
        <w:tc>
          <w:tcPr>
            <w:tcW w:w="5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460" w:type="dxa"/>
            <w:vAlign w:val="bottom"/>
            <w:tcBorders>
              <w:bottom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20" w:type="dxa"/>
            <w:vAlign w:val="bottom"/>
            <w:tcBorders>
              <w:right w:val="single" w:sz="8" w:color="auto"/>
            </w:tcBorders>
          </w:tcPr>
          <w:p>
            <w:pPr>
              <w:spacing w:after="0"/>
              <w:rPr>
                <w:sz w:val="24"/>
                <w:szCs w:val="24"/>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58"/>
              <w:spacing w:after="0"/>
              <w:rPr>
                <w:sz w:val="20"/>
                <w:szCs w:val="20"/>
                <w:color w:val="auto"/>
              </w:rPr>
            </w:pPr>
            <w:r>
              <w:rPr>
                <w:rFonts w:ascii="Arial" w:cs="Arial" w:eastAsia="Arial" w:hAnsi="Arial"/>
                <w:sz w:val="32"/>
                <w:szCs w:val="32"/>
                <w:b w:val="1"/>
                <w:bCs w:val="1"/>
                <w:color w:val="auto"/>
              </w:rPr>
              <w:t>5</w:t>
            </w:r>
          </w:p>
        </w:tc>
        <w:tc>
          <w:tcPr>
            <w:tcW w:w="646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right w:val="single" w:sz="8" w:color="auto"/>
            </w:tcBorders>
          </w:tcPr>
          <w:p>
            <w:pPr>
              <w:spacing w:after="0"/>
              <w:rPr>
                <w:sz w:val="23"/>
                <w:szCs w:val="23"/>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2,336,359</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4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560" w:type="dxa"/>
            <w:vAlign w:val="bottom"/>
            <w:tcBorders>
              <w:right w:val="single" w:sz="8" w:color="auto"/>
            </w:tcBorders>
            <w:vMerge w:val="restart"/>
          </w:tcPr>
          <w:p>
            <w:pPr>
              <w:jc w:val="right"/>
              <w:ind w:right="58"/>
              <w:spacing w:after="0" w:line="319" w:lineRule="exact"/>
              <w:rPr>
                <w:sz w:val="20"/>
                <w:szCs w:val="20"/>
                <w:color w:val="auto"/>
              </w:rPr>
            </w:pPr>
            <w:r>
              <w:rPr>
                <w:rFonts w:ascii="Arial" w:cs="Arial" w:eastAsia="Arial" w:hAnsi="Arial"/>
                <w:sz w:val="32"/>
                <w:szCs w:val="32"/>
                <w:b w:val="1"/>
                <w:bCs w:val="1"/>
                <w:color w:val="auto"/>
              </w:rPr>
              <w:t>6</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SHARED VOTING POWER</w:t>
            </w: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5"/>
              </w:rPr>
              <w:t>SHARES</w:t>
            </w:r>
          </w:p>
        </w:tc>
        <w:tc>
          <w:tcPr>
            <w:tcW w:w="560" w:type="dxa"/>
            <w:vAlign w:val="bottom"/>
            <w:tcBorders>
              <w:right w:val="single" w:sz="8" w:color="auto"/>
            </w:tcBorders>
            <w:vMerge w:val="continue"/>
          </w:tcPr>
          <w:p>
            <w:pPr>
              <w:spacing w:after="0"/>
              <w:rPr>
                <w:sz w:val="20"/>
                <w:szCs w:val="20"/>
                <w:color w:val="auto"/>
              </w:rPr>
            </w:pPr>
          </w:p>
        </w:tc>
        <w:tc>
          <w:tcPr>
            <w:tcW w:w="6460" w:type="dxa"/>
            <w:vAlign w:val="bottom"/>
            <w:vMerge w:val="continue"/>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0" w:type="dxa"/>
            <w:vAlign w:val="bottom"/>
            <w:tcBorders>
              <w:left w:val="single" w:sz="8" w:color="auto"/>
            </w:tcBorders>
          </w:tcPr>
          <w:p>
            <w:pPr>
              <w:spacing w:after="0"/>
              <w:rPr>
                <w:sz w:val="17"/>
                <w:szCs w:val="17"/>
                <w:color w:val="auto"/>
              </w:rPr>
            </w:pPr>
          </w:p>
        </w:tc>
        <w:tc>
          <w:tcPr>
            <w:tcW w:w="1840" w:type="dxa"/>
            <w:vAlign w:val="bottom"/>
            <w:tcBorders>
              <w:right w:val="single" w:sz="8" w:color="auto"/>
            </w:tcBorders>
            <w:gridSpan w:val="2"/>
          </w:tcPr>
          <w:p>
            <w:pPr>
              <w:jc w:val="center"/>
              <w:ind w:right="390"/>
              <w:spacing w:after="0" w:line="196" w:lineRule="exact"/>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tcPr>
          <w:p>
            <w:pPr>
              <w:spacing w:after="0"/>
              <w:rPr>
                <w:sz w:val="17"/>
                <w:szCs w:val="17"/>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OWNED BY</w:t>
            </w:r>
          </w:p>
        </w:tc>
        <w:tc>
          <w:tcPr>
            <w:tcW w:w="560" w:type="dxa"/>
            <w:vAlign w:val="bottom"/>
            <w:tcBorders>
              <w:bottom w:val="single" w:sz="8" w:color="auto"/>
              <w:right w:val="single" w:sz="8" w:color="auto"/>
            </w:tcBorders>
          </w:tcPr>
          <w:p>
            <w:pPr>
              <w:spacing w:after="0"/>
              <w:rPr>
                <w:sz w:val="20"/>
                <w:szCs w:val="20"/>
                <w:color w:val="auto"/>
              </w:rPr>
            </w:pPr>
          </w:p>
        </w:tc>
        <w:tc>
          <w:tcPr>
            <w:tcW w:w="6460" w:type="dxa"/>
            <w:vAlign w:val="bottom"/>
            <w:tcBorders>
              <w:bottom w:val="single" w:sz="8" w:color="auto"/>
            </w:tcBorders>
            <w:vMerge w:val="continue"/>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right w:val="single" w:sz="8" w:color="auto"/>
            </w:tcBorders>
          </w:tcPr>
          <w:p>
            <w:pPr>
              <w:jc w:val="center"/>
              <w:ind w:right="510"/>
              <w:spacing w:after="0" w:line="178" w:lineRule="exact"/>
              <w:rPr>
                <w:sz w:val="20"/>
                <w:szCs w:val="20"/>
                <w:color w:val="auto"/>
              </w:rPr>
            </w:pPr>
            <w:r>
              <w:rPr>
                <w:rFonts w:ascii="Arial" w:cs="Arial" w:eastAsia="Arial" w:hAnsi="Arial"/>
                <w:sz w:val="18"/>
                <w:szCs w:val="18"/>
                <w:b w:val="1"/>
                <w:bCs w:val="1"/>
                <w:color w:val="auto"/>
              </w:rPr>
              <w:t>EACH</w:t>
            </w:r>
          </w:p>
        </w:tc>
        <w:tc>
          <w:tcPr>
            <w:tcW w:w="5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32"/>
                <w:szCs w:val="32"/>
                <w:b w:val="1"/>
                <w:bCs w:val="1"/>
                <w:color w:val="auto"/>
              </w:rPr>
              <w:t>7</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2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vMerge w:val="continue"/>
          </w:tcPr>
          <w:p>
            <w:pPr>
              <w:spacing w:after="0"/>
              <w:rPr>
                <w:sz w:val="18"/>
                <w:szCs w:val="18"/>
                <w:color w:val="auto"/>
              </w:rPr>
            </w:pPr>
          </w:p>
        </w:tc>
        <w:tc>
          <w:tcPr>
            <w:tcW w:w="646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4"/>
              </w:rPr>
              <w:t>PERSON</w:t>
            </w:r>
          </w:p>
        </w:tc>
        <w:tc>
          <w:tcPr>
            <w:tcW w:w="560" w:type="dxa"/>
            <w:vAlign w:val="bottom"/>
            <w:tcBorders>
              <w:right w:val="single" w:sz="8" w:color="auto"/>
            </w:tcBorders>
          </w:tcPr>
          <w:p>
            <w:pPr>
              <w:spacing w:after="0"/>
              <w:rPr>
                <w:sz w:val="18"/>
                <w:szCs w:val="18"/>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2,336,359</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WITH</w:t>
            </w:r>
          </w:p>
        </w:tc>
        <w:tc>
          <w:tcPr>
            <w:tcW w:w="560" w:type="dxa"/>
            <w:vAlign w:val="bottom"/>
            <w:tcBorders>
              <w:right w:val="single" w:sz="8" w:color="auto"/>
            </w:tcBorders>
          </w:tcPr>
          <w:p>
            <w:pPr>
              <w:spacing w:after="0"/>
              <w:rPr>
                <w:sz w:val="7"/>
                <w:szCs w:val="7"/>
                <w:color w:val="auto"/>
              </w:rPr>
            </w:pPr>
          </w:p>
        </w:tc>
        <w:tc>
          <w:tcPr>
            <w:tcW w:w="6460" w:type="dxa"/>
            <w:vAlign w:val="bottom"/>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8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32"/>
                <w:szCs w:val="32"/>
                <w:b w:val="1"/>
                <w:bCs w:val="1"/>
                <w:color w:val="auto"/>
              </w:rPr>
              <w:t>8</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SHARED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3"/>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460" w:type="dxa"/>
            <w:vAlign w:val="bottom"/>
            <w:vMerge w:val="continue"/>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Borders>
              <w:right w:val="single" w:sz="8" w:color="auto"/>
            </w:tcBorders>
          </w:tcPr>
          <w:p>
            <w:pPr>
              <w:spacing w:after="0"/>
              <w:rPr>
                <w:sz w:val="24"/>
                <w:szCs w:val="24"/>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2,336,359</w:t>
            </w:r>
          </w:p>
        </w:tc>
        <w:tc>
          <w:tcPr>
            <w:tcW w:w="5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gridSpan w:val="3"/>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8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20" w:type="dxa"/>
            <w:vAlign w:val="bottom"/>
            <w:tcBorders>
              <w:right w:val="single" w:sz="8" w:color="auto"/>
            </w:tcBorders>
          </w:tcPr>
          <w:p>
            <w:pPr>
              <w:spacing w:after="0"/>
              <w:rPr>
                <w:sz w:val="21"/>
                <w:szCs w:val="21"/>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(See Instructions)</w:t>
            </w:r>
          </w:p>
        </w:tc>
        <w:tc>
          <w:tcPr>
            <w:tcW w:w="5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vMerge w:val="restart"/>
          </w:tcPr>
          <w:p>
            <w:pPr>
              <w:ind w:left="17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0" w:type="dxa"/>
            <w:vAlign w:val="bottom"/>
            <w:tcBorders>
              <w:left w:val="single" w:sz="8" w:color="auto"/>
              <w:bottom w:val="single" w:sz="8" w:color="auto"/>
              <w:right w:val="single" w:sz="8" w:color="auto"/>
            </w:tcBorders>
            <w:gridSpan w:val="2"/>
          </w:tcPr>
          <w:p>
            <w:pPr>
              <w:spacing w:after="0"/>
              <w:rPr>
                <w:sz w:val="2"/>
                <w:szCs w:val="2"/>
                <w:color w:val="auto"/>
              </w:rPr>
            </w:pPr>
          </w:p>
        </w:tc>
        <w:tc>
          <w:tcPr>
            <w:tcW w:w="874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8.5% (1)</w:t>
            </w:r>
          </w:p>
        </w:tc>
        <w:tc>
          <w:tcPr>
            <w:tcW w:w="5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gridSpan w:val="3"/>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20" w:type="dxa"/>
            <w:vAlign w:val="bottom"/>
            <w:tcBorders>
              <w:right w:val="single" w:sz="8" w:color="auto"/>
            </w:tcBorders>
          </w:tcPr>
          <w:p>
            <w:pPr>
              <w:spacing w:after="0"/>
              <w:rPr>
                <w:sz w:val="21"/>
                <w:szCs w:val="21"/>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HC, OO</w:t>
            </w:r>
          </w:p>
        </w:tc>
        <w:tc>
          <w:tcPr>
            <w:tcW w:w="5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6460" w:type="dxa"/>
            <w:vAlign w:val="bottom"/>
            <w:tcBorders>
              <w:bottom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left="5080" w:right="400" w:hanging="4748"/>
        <w:spacing w:after="0" w:line="77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27,560,920 ordinary shares outstanding as of December 31, 2015, based on information obtained from the Issuer on January 29, 2016. 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M2239P109</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47"/>
        </w:trPr>
        <w:tc>
          <w:tcPr>
            <w:tcW w:w="48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20" w:type="dxa"/>
            <w:vAlign w:val="bottom"/>
            <w:tcBorders>
              <w:top w:val="single" w:sz="8" w:color="auto"/>
              <w:right w:val="single" w:sz="8" w:color="auto"/>
            </w:tcBorders>
          </w:tcPr>
          <w:p>
            <w:pPr>
              <w:spacing w:after="0"/>
              <w:rPr>
                <w:sz w:val="24"/>
                <w:szCs w:val="24"/>
                <w:color w:val="auto"/>
              </w:rPr>
            </w:pPr>
          </w:p>
        </w:tc>
        <w:tc>
          <w:tcPr>
            <w:tcW w:w="87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0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Felix J. Baker</w:t>
            </w:r>
          </w:p>
        </w:tc>
        <w:tc>
          <w:tcPr>
            <w:tcW w:w="5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80" w:type="dxa"/>
            <w:vAlign w:val="bottom"/>
            <w:tcBorders>
              <w:left w:val="single" w:sz="8" w:color="auto"/>
            </w:tcBorders>
          </w:tcPr>
          <w:p>
            <w:pPr>
              <w:jc w:val="center"/>
              <w:spacing w:after="0" w:line="259" w:lineRule="exact"/>
              <w:rPr>
                <w:sz w:val="20"/>
                <w:szCs w:val="20"/>
                <w:color w:val="auto"/>
              </w:rPr>
            </w:pPr>
            <w:r>
              <w:rPr>
                <w:rFonts w:ascii="Arial" w:cs="Arial" w:eastAsia="Arial" w:hAnsi="Arial"/>
                <w:sz w:val="29"/>
                <w:szCs w:val="29"/>
                <w:b w:val="1"/>
                <w:bCs w:val="1"/>
                <w:color w:val="auto"/>
                <w:w w:val="98"/>
              </w:rPr>
              <w:t>2</w:t>
            </w:r>
          </w:p>
        </w:tc>
        <w:tc>
          <w:tcPr>
            <w:tcW w:w="120" w:type="dxa"/>
            <w:vAlign w:val="bottom"/>
            <w:tcBorders>
              <w:right w:val="single" w:sz="8" w:color="auto"/>
            </w:tcBorders>
          </w:tcPr>
          <w:p>
            <w:pPr>
              <w:spacing w:after="0"/>
              <w:rPr>
                <w:sz w:val="22"/>
                <w:szCs w:val="22"/>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080" w:type="dxa"/>
            <w:vAlign w:val="bottom"/>
            <w:tcBorders>
              <w:right w:val="single" w:sz="8" w:color="auto"/>
            </w:tcBorders>
          </w:tcPr>
          <w:p>
            <w:pPr>
              <w:ind w:left="130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80" w:type="dxa"/>
            <w:vAlign w:val="bottom"/>
            <w:tcBorders>
              <w:right w:val="single" w:sz="8" w:color="auto"/>
            </w:tcBorders>
          </w:tcPr>
          <w:p>
            <w:pPr>
              <w:ind w:left="128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08"/>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4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20" w:type="dxa"/>
            <w:vAlign w:val="bottom"/>
            <w:tcBorders>
              <w:right w:val="single" w:sz="8" w:color="auto"/>
            </w:tcBorders>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SEC USE ONLY</w:t>
            </w:r>
          </w:p>
        </w:tc>
        <w:tc>
          <w:tcPr>
            <w:tcW w:w="5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460" w:type="dxa"/>
            <w:vAlign w:val="bottom"/>
            <w:tcBorders>
              <w:bottom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20" w:type="dxa"/>
            <w:vAlign w:val="bottom"/>
            <w:tcBorders>
              <w:right w:val="single" w:sz="8" w:color="auto"/>
            </w:tcBorders>
          </w:tcPr>
          <w:p>
            <w:pPr>
              <w:spacing w:after="0"/>
              <w:rPr>
                <w:sz w:val="24"/>
                <w:szCs w:val="24"/>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5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58"/>
              <w:spacing w:after="0"/>
              <w:rPr>
                <w:sz w:val="20"/>
                <w:szCs w:val="20"/>
                <w:color w:val="auto"/>
              </w:rPr>
            </w:pPr>
            <w:r>
              <w:rPr>
                <w:rFonts w:ascii="Arial" w:cs="Arial" w:eastAsia="Arial" w:hAnsi="Arial"/>
                <w:sz w:val="32"/>
                <w:szCs w:val="32"/>
                <w:b w:val="1"/>
                <w:bCs w:val="1"/>
                <w:color w:val="auto"/>
              </w:rPr>
              <w:t>5</w:t>
            </w:r>
          </w:p>
        </w:tc>
        <w:tc>
          <w:tcPr>
            <w:tcW w:w="646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right w:val="single" w:sz="8" w:color="auto"/>
            </w:tcBorders>
          </w:tcPr>
          <w:p>
            <w:pPr>
              <w:spacing w:after="0"/>
              <w:rPr>
                <w:sz w:val="23"/>
                <w:szCs w:val="23"/>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2,336,359</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4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560" w:type="dxa"/>
            <w:vAlign w:val="bottom"/>
            <w:tcBorders>
              <w:right w:val="single" w:sz="8" w:color="auto"/>
            </w:tcBorders>
            <w:vMerge w:val="restart"/>
          </w:tcPr>
          <w:p>
            <w:pPr>
              <w:jc w:val="right"/>
              <w:ind w:right="58"/>
              <w:spacing w:after="0" w:line="319" w:lineRule="exact"/>
              <w:rPr>
                <w:sz w:val="20"/>
                <w:szCs w:val="20"/>
                <w:color w:val="auto"/>
              </w:rPr>
            </w:pPr>
            <w:r>
              <w:rPr>
                <w:rFonts w:ascii="Arial" w:cs="Arial" w:eastAsia="Arial" w:hAnsi="Arial"/>
                <w:sz w:val="32"/>
                <w:szCs w:val="32"/>
                <w:b w:val="1"/>
                <w:bCs w:val="1"/>
                <w:color w:val="auto"/>
              </w:rPr>
              <w:t>6</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SHARED VOTING POWER</w:t>
            </w: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5"/>
              </w:rPr>
              <w:t>SHARES</w:t>
            </w:r>
          </w:p>
        </w:tc>
        <w:tc>
          <w:tcPr>
            <w:tcW w:w="560" w:type="dxa"/>
            <w:vAlign w:val="bottom"/>
            <w:tcBorders>
              <w:right w:val="single" w:sz="8" w:color="auto"/>
            </w:tcBorders>
            <w:vMerge w:val="continue"/>
          </w:tcPr>
          <w:p>
            <w:pPr>
              <w:spacing w:after="0"/>
              <w:rPr>
                <w:sz w:val="20"/>
                <w:szCs w:val="20"/>
                <w:color w:val="auto"/>
              </w:rPr>
            </w:pPr>
          </w:p>
        </w:tc>
        <w:tc>
          <w:tcPr>
            <w:tcW w:w="6460" w:type="dxa"/>
            <w:vAlign w:val="bottom"/>
            <w:vMerge w:val="continue"/>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0" w:type="dxa"/>
            <w:vAlign w:val="bottom"/>
            <w:tcBorders>
              <w:left w:val="single" w:sz="8" w:color="auto"/>
            </w:tcBorders>
          </w:tcPr>
          <w:p>
            <w:pPr>
              <w:spacing w:after="0"/>
              <w:rPr>
                <w:sz w:val="17"/>
                <w:szCs w:val="17"/>
                <w:color w:val="auto"/>
              </w:rPr>
            </w:pPr>
          </w:p>
        </w:tc>
        <w:tc>
          <w:tcPr>
            <w:tcW w:w="1840" w:type="dxa"/>
            <w:vAlign w:val="bottom"/>
            <w:tcBorders>
              <w:right w:val="single" w:sz="8" w:color="auto"/>
            </w:tcBorders>
            <w:gridSpan w:val="2"/>
          </w:tcPr>
          <w:p>
            <w:pPr>
              <w:jc w:val="center"/>
              <w:ind w:right="390"/>
              <w:spacing w:after="0" w:line="196" w:lineRule="exact"/>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tcPr>
          <w:p>
            <w:pPr>
              <w:spacing w:after="0"/>
              <w:rPr>
                <w:sz w:val="17"/>
                <w:szCs w:val="17"/>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OWNED BY</w:t>
            </w:r>
          </w:p>
        </w:tc>
        <w:tc>
          <w:tcPr>
            <w:tcW w:w="560" w:type="dxa"/>
            <w:vAlign w:val="bottom"/>
            <w:tcBorders>
              <w:bottom w:val="single" w:sz="8" w:color="auto"/>
              <w:right w:val="single" w:sz="8" w:color="auto"/>
            </w:tcBorders>
          </w:tcPr>
          <w:p>
            <w:pPr>
              <w:spacing w:after="0"/>
              <w:rPr>
                <w:sz w:val="20"/>
                <w:szCs w:val="20"/>
                <w:color w:val="auto"/>
              </w:rPr>
            </w:pPr>
          </w:p>
        </w:tc>
        <w:tc>
          <w:tcPr>
            <w:tcW w:w="6460" w:type="dxa"/>
            <w:vAlign w:val="bottom"/>
            <w:tcBorders>
              <w:bottom w:val="single" w:sz="8" w:color="auto"/>
            </w:tcBorders>
            <w:vMerge w:val="continue"/>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right w:val="single" w:sz="8" w:color="auto"/>
            </w:tcBorders>
          </w:tcPr>
          <w:p>
            <w:pPr>
              <w:jc w:val="center"/>
              <w:ind w:right="510"/>
              <w:spacing w:after="0" w:line="178" w:lineRule="exact"/>
              <w:rPr>
                <w:sz w:val="20"/>
                <w:szCs w:val="20"/>
                <w:color w:val="auto"/>
              </w:rPr>
            </w:pPr>
            <w:r>
              <w:rPr>
                <w:rFonts w:ascii="Arial" w:cs="Arial" w:eastAsia="Arial" w:hAnsi="Arial"/>
                <w:sz w:val="18"/>
                <w:szCs w:val="18"/>
                <w:b w:val="1"/>
                <w:bCs w:val="1"/>
                <w:color w:val="auto"/>
              </w:rPr>
              <w:t>EACH</w:t>
            </w:r>
          </w:p>
        </w:tc>
        <w:tc>
          <w:tcPr>
            <w:tcW w:w="5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32"/>
                <w:szCs w:val="32"/>
                <w:b w:val="1"/>
                <w:bCs w:val="1"/>
                <w:color w:val="auto"/>
              </w:rPr>
              <w:t>7</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2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vMerge w:val="continue"/>
          </w:tcPr>
          <w:p>
            <w:pPr>
              <w:spacing w:after="0"/>
              <w:rPr>
                <w:sz w:val="18"/>
                <w:szCs w:val="18"/>
                <w:color w:val="auto"/>
              </w:rPr>
            </w:pPr>
          </w:p>
        </w:tc>
        <w:tc>
          <w:tcPr>
            <w:tcW w:w="646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4"/>
              </w:rPr>
              <w:t>PERSON</w:t>
            </w:r>
          </w:p>
        </w:tc>
        <w:tc>
          <w:tcPr>
            <w:tcW w:w="560" w:type="dxa"/>
            <w:vAlign w:val="bottom"/>
            <w:tcBorders>
              <w:right w:val="single" w:sz="8" w:color="auto"/>
            </w:tcBorders>
          </w:tcPr>
          <w:p>
            <w:pPr>
              <w:spacing w:after="0"/>
              <w:rPr>
                <w:sz w:val="18"/>
                <w:szCs w:val="18"/>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2,336,359</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WITH</w:t>
            </w:r>
          </w:p>
        </w:tc>
        <w:tc>
          <w:tcPr>
            <w:tcW w:w="560" w:type="dxa"/>
            <w:vAlign w:val="bottom"/>
            <w:tcBorders>
              <w:right w:val="single" w:sz="8" w:color="auto"/>
            </w:tcBorders>
          </w:tcPr>
          <w:p>
            <w:pPr>
              <w:spacing w:after="0"/>
              <w:rPr>
                <w:sz w:val="7"/>
                <w:szCs w:val="7"/>
                <w:color w:val="auto"/>
              </w:rPr>
            </w:pPr>
          </w:p>
        </w:tc>
        <w:tc>
          <w:tcPr>
            <w:tcW w:w="6460" w:type="dxa"/>
            <w:vAlign w:val="bottom"/>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8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32"/>
                <w:szCs w:val="32"/>
                <w:b w:val="1"/>
                <w:bCs w:val="1"/>
                <w:color w:val="auto"/>
              </w:rPr>
              <w:t>8</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SHARED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3"/>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460" w:type="dxa"/>
            <w:vAlign w:val="bottom"/>
            <w:vMerge w:val="continue"/>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Borders>
              <w:right w:val="single" w:sz="8" w:color="auto"/>
            </w:tcBorders>
          </w:tcPr>
          <w:p>
            <w:pPr>
              <w:spacing w:after="0"/>
              <w:rPr>
                <w:sz w:val="24"/>
                <w:szCs w:val="24"/>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2,336,359</w:t>
            </w:r>
          </w:p>
        </w:tc>
        <w:tc>
          <w:tcPr>
            <w:tcW w:w="5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gridSpan w:val="3"/>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8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20" w:type="dxa"/>
            <w:vAlign w:val="bottom"/>
            <w:tcBorders>
              <w:right w:val="single" w:sz="8" w:color="auto"/>
            </w:tcBorders>
          </w:tcPr>
          <w:p>
            <w:pPr>
              <w:spacing w:after="0"/>
              <w:rPr>
                <w:sz w:val="21"/>
                <w:szCs w:val="21"/>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(See Instructions)</w:t>
            </w:r>
          </w:p>
        </w:tc>
        <w:tc>
          <w:tcPr>
            <w:tcW w:w="5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vMerge w:val="restart"/>
          </w:tcPr>
          <w:p>
            <w:pPr>
              <w:ind w:left="17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0" w:type="dxa"/>
            <w:vAlign w:val="bottom"/>
            <w:tcBorders>
              <w:left w:val="single" w:sz="8" w:color="auto"/>
              <w:bottom w:val="single" w:sz="8" w:color="auto"/>
              <w:right w:val="single" w:sz="8" w:color="auto"/>
            </w:tcBorders>
            <w:gridSpan w:val="2"/>
          </w:tcPr>
          <w:p>
            <w:pPr>
              <w:spacing w:after="0"/>
              <w:rPr>
                <w:sz w:val="2"/>
                <w:szCs w:val="2"/>
                <w:color w:val="auto"/>
              </w:rPr>
            </w:pPr>
          </w:p>
        </w:tc>
        <w:tc>
          <w:tcPr>
            <w:tcW w:w="874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8.5% (1)</w:t>
            </w:r>
          </w:p>
        </w:tc>
        <w:tc>
          <w:tcPr>
            <w:tcW w:w="5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gridSpan w:val="3"/>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20" w:type="dxa"/>
            <w:vAlign w:val="bottom"/>
            <w:tcBorders>
              <w:right w:val="single" w:sz="8" w:color="auto"/>
            </w:tcBorders>
          </w:tcPr>
          <w:p>
            <w:pPr>
              <w:spacing w:after="0"/>
              <w:rPr>
                <w:sz w:val="21"/>
                <w:szCs w:val="21"/>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IN, HC</w:t>
            </w:r>
          </w:p>
        </w:tc>
        <w:tc>
          <w:tcPr>
            <w:tcW w:w="5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6460" w:type="dxa"/>
            <w:vAlign w:val="bottom"/>
            <w:tcBorders>
              <w:bottom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left="5080" w:right="400" w:hanging="4748"/>
        <w:spacing w:after="0" w:line="77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27,560,920 ordinary shares outstanding as of December 31, 2015, based on information obtained from the Issuer on January 29, 2016. 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M2239P109</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47"/>
        </w:trPr>
        <w:tc>
          <w:tcPr>
            <w:tcW w:w="48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20" w:type="dxa"/>
            <w:vAlign w:val="bottom"/>
            <w:tcBorders>
              <w:top w:val="single" w:sz="8" w:color="auto"/>
              <w:right w:val="single" w:sz="8" w:color="auto"/>
            </w:tcBorders>
          </w:tcPr>
          <w:p>
            <w:pPr>
              <w:spacing w:after="0"/>
              <w:rPr>
                <w:sz w:val="24"/>
                <w:szCs w:val="24"/>
                <w:color w:val="auto"/>
              </w:rPr>
            </w:pPr>
          </w:p>
        </w:tc>
        <w:tc>
          <w:tcPr>
            <w:tcW w:w="87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0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Julian C. Baker</w:t>
            </w:r>
          </w:p>
        </w:tc>
        <w:tc>
          <w:tcPr>
            <w:tcW w:w="5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80" w:type="dxa"/>
            <w:vAlign w:val="bottom"/>
            <w:tcBorders>
              <w:left w:val="single" w:sz="8" w:color="auto"/>
            </w:tcBorders>
          </w:tcPr>
          <w:p>
            <w:pPr>
              <w:jc w:val="center"/>
              <w:spacing w:after="0" w:line="259" w:lineRule="exact"/>
              <w:rPr>
                <w:sz w:val="20"/>
                <w:szCs w:val="20"/>
                <w:color w:val="auto"/>
              </w:rPr>
            </w:pPr>
            <w:r>
              <w:rPr>
                <w:rFonts w:ascii="Arial" w:cs="Arial" w:eastAsia="Arial" w:hAnsi="Arial"/>
                <w:sz w:val="29"/>
                <w:szCs w:val="29"/>
                <w:b w:val="1"/>
                <w:bCs w:val="1"/>
                <w:color w:val="auto"/>
                <w:w w:val="98"/>
              </w:rPr>
              <w:t>2</w:t>
            </w:r>
          </w:p>
        </w:tc>
        <w:tc>
          <w:tcPr>
            <w:tcW w:w="120" w:type="dxa"/>
            <w:vAlign w:val="bottom"/>
            <w:tcBorders>
              <w:right w:val="single" w:sz="8" w:color="auto"/>
            </w:tcBorders>
          </w:tcPr>
          <w:p>
            <w:pPr>
              <w:spacing w:after="0"/>
              <w:rPr>
                <w:sz w:val="22"/>
                <w:szCs w:val="22"/>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080" w:type="dxa"/>
            <w:vAlign w:val="bottom"/>
            <w:tcBorders>
              <w:right w:val="single" w:sz="8" w:color="auto"/>
            </w:tcBorders>
          </w:tcPr>
          <w:p>
            <w:pPr>
              <w:ind w:left="130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80" w:type="dxa"/>
            <w:vAlign w:val="bottom"/>
            <w:tcBorders>
              <w:right w:val="single" w:sz="8" w:color="auto"/>
            </w:tcBorders>
          </w:tcPr>
          <w:p>
            <w:pPr>
              <w:ind w:left="128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08"/>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4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20" w:type="dxa"/>
            <w:vAlign w:val="bottom"/>
            <w:tcBorders>
              <w:right w:val="single" w:sz="8" w:color="auto"/>
            </w:tcBorders>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SEC USE ONLY</w:t>
            </w:r>
          </w:p>
        </w:tc>
        <w:tc>
          <w:tcPr>
            <w:tcW w:w="5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460" w:type="dxa"/>
            <w:vAlign w:val="bottom"/>
            <w:tcBorders>
              <w:bottom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20" w:type="dxa"/>
            <w:vAlign w:val="bottom"/>
            <w:tcBorders>
              <w:right w:val="single" w:sz="8" w:color="auto"/>
            </w:tcBorders>
          </w:tcPr>
          <w:p>
            <w:pPr>
              <w:spacing w:after="0"/>
              <w:rPr>
                <w:sz w:val="24"/>
                <w:szCs w:val="24"/>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5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58"/>
              <w:spacing w:after="0"/>
              <w:rPr>
                <w:sz w:val="20"/>
                <w:szCs w:val="20"/>
                <w:color w:val="auto"/>
              </w:rPr>
            </w:pPr>
            <w:r>
              <w:rPr>
                <w:rFonts w:ascii="Arial" w:cs="Arial" w:eastAsia="Arial" w:hAnsi="Arial"/>
                <w:sz w:val="32"/>
                <w:szCs w:val="32"/>
                <w:b w:val="1"/>
                <w:bCs w:val="1"/>
                <w:color w:val="auto"/>
              </w:rPr>
              <w:t>5</w:t>
            </w:r>
          </w:p>
        </w:tc>
        <w:tc>
          <w:tcPr>
            <w:tcW w:w="646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right w:val="single" w:sz="8" w:color="auto"/>
            </w:tcBorders>
          </w:tcPr>
          <w:p>
            <w:pPr>
              <w:spacing w:after="0"/>
              <w:rPr>
                <w:sz w:val="23"/>
                <w:szCs w:val="23"/>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2,336,359</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4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560" w:type="dxa"/>
            <w:vAlign w:val="bottom"/>
            <w:tcBorders>
              <w:right w:val="single" w:sz="8" w:color="auto"/>
            </w:tcBorders>
            <w:vMerge w:val="restart"/>
          </w:tcPr>
          <w:p>
            <w:pPr>
              <w:jc w:val="right"/>
              <w:ind w:right="58"/>
              <w:spacing w:after="0" w:line="319" w:lineRule="exact"/>
              <w:rPr>
                <w:sz w:val="20"/>
                <w:szCs w:val="20"/>
                <w:color w:val="auto"/>
              </w:rPr>
            </w:pPr>
            <w:r>
              <w:rPr>
                <w:rFonts w:ascii="Arial" w:cs="Arial" w:eastAsia="Arial" w:hAnsi="Arial"/>
                <w:sz w:val="32"/>
                <w:szCs w:val="32"/>
                <w:b w:val="1"/>
                <w:bCs w:val="1"/>
                <w:color w:val="auto"/>
              </w:rPr>
              <w:t>6</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SHARED VOTING POWER</w:t>
            </w: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5"/>
              </w:rPr>
              <w:t>SHARES</w:t>
            </w:r>
          </w:p>
        </w:tc>
        <w:tc>
          <w:tcPr>
            <w:tcW w:w="560" w:type="dxa"/>
            <w:vAlign w:val="bottom"/>
            <w:tcBorders>
              <w:right w:val="single" w:sz="8" w:color="auto"/>
            </w:tcBorders>
            <w:vMerge w:val="continue"/>
          </w:tcPr>
          <w:p>
            <w:pPr>
              <w:spacing w:after="0"/>
              <w:rPr>
                <w:sz w:val="20"/>
                <w:szCs w:val="20"/>
                <w:color w:val="auto"/>
              </w:rPr>
            </w:pPr>
          </w:p>
        </w:tc>
        <w:tc>
          <w:tcPr>
            <w:tcW w:w="6460" w:type="dxa"/>
            <w:vAlign w:val="bottom"/>
            <w:vMerge w:val="continue"/>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0" w:type="dxa"/>
            <w:vAlign w:val="bottom"/>
            <w:tcBorders>
              <w:left w:val="single" w:sz="8" w:color="auto"/>
            </w:tcBorders>
          </w:tcPr>
          <w:p>
            <w:pPr>
              <w:spacing w:after="0"/>
              <w:rPr>
                <w:sz w:val="17"/>
                <w:szCs w:val="17"/>
                <w:color w:val="auto"/>
              </w:rPr>
            </w:pPr>
          </w:p>
        </w:tc>
        <w:tc>
          <w:tcPr>
            <w:tcW w:w="1840" w:type="dxa"/>
            <w:vAlign w:val="bottom"/>
            <w:tcBorders>
              <w:right w:val="single" w:sz="8" w:color="auto"/>
            </w:tcBorders>
            <w:gridSpan w:val="2"/>
          </w:tcPr>
          <w:p>
            <w:pPr>
              <w:jc w:val="center"/>
              <w:ind w:right="390"/>
              <w:spacing w:after="0" w:line="196" w:lineRule="exact"/>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tcPr>
          <w:p>
            <w:pPr>
              <w:spacing w:after="0"/>
              <w:rPr>
                <w:sz w:val="17"/>
                <w:szCs w:val="17"/>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OWNED BY</w:t>
            </w:r>
          </w:p>
        </w:tc>
        <w:tc>
          <w:tcPr>
            <w:tcW w:w="560" w:type="dxa"/>
            <w:vAlign w:val="bottom"/>
            <w:tcBorders>
              <w:bottom w:val="single" w:sz="8" w:color="auto"/>
              <w:right w:val="single" w:sz="8" w:color="auto"/>
            </w:tcBorders>
          </w:tcPr>
          <w:p>
            <w:pPr>
              <w:spacing w:after="0"/>
              <w:rPr>
                <w:sz w:val="20"/>
                <w:szCs w:val="20"/>
                <w:color w:val="auto"/>
              </w:rPr>
            </w:pPr>
          </w:p>
        </w:tc>
        <w:tc>
          <w:tcPr>
            <w:tcW w:w="6460" w:type="dxa"/>
            <w:vAlign w:val="bottom"/>
            <w:tcBorders>
              <w:bottom w:val="single" w:sz="8" w:color="auto"/>
            </w:tcBorders>
            <w:vMerge w:val="continue"/>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right w:val="single" w:sz="8" w:color="auto"/>
            </w:tcBorders>
          </w:tcPr>
          <w:p>
            <w:pPr>
              <w:jc w:val="center"/>
              <w:ind w:right="510"/>
              <w:spacing w:after="0" w:line="178" w:lineRule="exact"/>
              <w:rPr>
                <w:sz w:val="20"/>
                <w:szCs w:val="20"/>
                <w:color w:val="auto"/>
              </w:rPr>
            </w:pPr>
            <w:r>
              <w:rPr>
                <w:rFonts w:ascii="Arial" w:cs="Arial" w:eastAsia="Arial" w:hAnsi="Arial"/>
                <w:sz w:val="18"/>
                <w:szCs w:val="18"/>
                <w:b w:val="1"/>
                <w:bCs w:val="1"/>
                <w:color w:val="auto"/>
              </w:rPr>
              <w:t>EACH</w:t>
            </w:r>
          </w:p>
        </w:tc>
        <w:tc>
          <w:tcPr>
            <w:tcW w:w="5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32"/>
                <w:szCs w:val="32"/>
                <w:b w:val="1"/>
                <w:bCs w:val="1"/>
                <w:color w:val="auto"/>
              </w:rPr>
              <w:t>7</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2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vMerge w:val="continue"/>
          </w:tcPr>
          <w:p>
            <w:pPr>
              <w:spacing w:after="0"/>
              <w:rPr>
                <w:sz w:val="18"/>
                <w:szCs w:val="18"/>
                <w:color w:val="auto"/>
              </w:rPr>
            </w:pPr>
          </w:p>
        </w:tc>
        <w:tc>
          <w:tcPr>
            <w:tcW w:w="646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4"/>
              </w:rPr>
              <w:t>PERSON</w:t>
            </w:r>
          </w:p>
        </w:tc>
        <w:tc>
          <w:tcPr>
            <w:tcW w:w="560" w:type="dxa"/>
            <w:vAlign w:val="bottom"/>
            <w:tcBorders>
              <w:right w:val="single" w:sz="8" w:color="auto"/>
            </w:tcBorders>
          </w:tcPr>
          <w:p>
            <w:pPr>
              <w:spacing w:after="0"/>
              <w:rPr>
                <w:sz w:val="18"/>
                <w:szCs w:val="18"/>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2,336,359</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WITH</w:t>
            </w:r>
          </w:p>
        </w:tc>
        <w:tc>
          <w:tcPr>
            <w:tcW w:w="560" w:type="dxa"/>
            <w:vAlign w:val="bottom"/>
            <w:tcBorders>
              <w:right w:val="single" w:sz="8" w:color="auto"/>
            </w:tcBorders>
          </w:tcPr>
          <w:p>
            <w:pPr>
              <w:spacing w:after="0"/>
              <w:rPr>
                <w:sz w:val="7"/>
                <w:szCs w:val="7"/>
                <w:color w:val="auto"/>
              </w:rPr>
            </w:pPr>
          </w:p>
        </w:tc>
        <w:tc>
          <w:tcPr>
            <w:tcW w:w="6460" w:type="dxa"/>
            <w:vAlign w:val="bottom"/>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8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32"/>
                <w:szCs w:val="32"/>
                <w:b w:val="1"/>
                <w:bCs w:val="1"/>
                <w:color w:val="auto"/>
              </w:rPr>
              <w:t>8</w:t>
            </w:r>
          </w:p>
        </w:tc>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SHARED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3"/>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460" w:type="dxa"/>
            <w:vAlign w:val="bottom"/>
            <w:vMerge w:val="continue"/>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7"/>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Borders>
              <w:right w:val="single" w:sz="8" w:color="auto"/>
            </w:tcBorders>
          </w:tcPr>
          <w:p>
            <w:pPr>
              <w:spacing w:after="0"/>
              <w:rPr>
                <w:sz w:val="24"/>
                <w:szCs w:val="24"/>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2,336,359</w:t>
            </w:r>
          </w:p>
        </w:tc>
        <w:tc>
          <w:tcPr>
            <w:tcW w:w="5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gridSpan w:val="3"/>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8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20" w:type="dxa"/>
            <w:vAlign w:val="bottom"/>
            <w:tcBorders>
              <w:right w:val="single" w:sz="8" w:color="auto"/>
            </w:tcBorders>
          </w:tcPr>
          <w:p>
            <w:pPr>
              <w:spacing w:after="0"/>
              <w:rPr>
                <w:sz w:val="21"/>
                <w:szCs w:val="21"/>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(See Instructions)</w:t>
            </w:r>
          </w:p>
        </w:tc>
        <w:tc>
          <w:tcPr>
            <w:tcW w:w="5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vMerge w:val="restart"/>
          </w:tcPr>
          <w:p>
            <w:pPr>
              <w:ind w:left="17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0" w:type="dxa"/>
            <w:vAlign w:val="bottom"/>
            <w:tcBorders>
              <w:left w:val="single" w:sz="8" w:color="auto"/>
              <w:bottom w:val="single" w:sz="8" w:color="auto"/>
              <w:right w:val="single" w:sz="8" w:color="auto"/>
            </w:tcBorders>
            <w:gridSpan w:val="2"/>
          </w:tcPr>
          <w:p>
            <w:pPr>
              <w:spacing w:after="0"/>
              <w:rPr>
                <w:sz w:val="2"/>
                <w:szCs w:val="2"/>
                <w:color w:val="auto"/>
              </w:rPr>
            </w:pPr>
          </w:p>
        </w:tc>
        <w:tc>
          <w:tcPr>
            <w:tcW w:w="874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7"/>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8.5% (1)</w:t>
            </w:r>
          </w:p>
        </w:tc>
        <w:tc>
          <w:tcPr>
            <w:tcW w:w="5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gridSpan w:val="3"/>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20" w:type="dxa"/>
            <w:vAlign w:val="bottom"/>
            <w:tcBorders>
              <w:right w:val="single" w:sz="8" w:color="auto"/>
            </w:tcBorders>
          </w:tcPr>
          <w:p>
            <w:pPr>
              <w:spacing w:after="0"/>
              <w:rPr>
                <w:sz w:val="21"/>
                <w:szCs w:val="21"/>
                <w:color w:val="auto"/>
              </w:rPr>
            </w:pPr>
          </w:p>
        </w:tc>
        <w:tc>
          <w:tcPr>
            <w:tcW w:w="874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IN, HC</w:t>
            </w:r>
          </w:p>
        </w:tc>
        <w:tc>
          <w:tcPr>
            <w:tcW w:w="5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6460" w:type="dxa"/>
            <w:vAlign w:val="bottom"/>
            <w:tcBorders>
              <w:bottom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left="5080" w:right="400" w:hanging="4748"/>
        <w:spacing w:after="0" w:line="77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27,560,920 ordinary shares outstanding as of December 31, 2015, based on information obtained from the Issuer on January 29, 2016. 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Alcobra Ltd. (the “Issuer”)</w:t>
      </w:r>
    </w:p>
    <w:p>
      <w:pPr>
        <w:spacing w:after="0" w:line="221" w:lineRule="exact"/>
        <w:rPr>
          <w:sz w:val="20"/>
          <w:szCs w:val="20"/>
          <w:color w:val="auto"/>
        </w:rPr>
      </w:pPr>
    </w:p>
    <w:p>
      <w:pPr>
        <w:jc w:val="center"/>
        <w:ind w:right="6780"/>
        <w:spacing w:after="0"/>
        <w:tabs>
          <w:tab w:leader="none" w:pos="2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Azrieli Triangle Building,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132 Derech Menachem Begin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 Aviv, 6701101, Israel</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This Schedule 13G is being filed jointly by Baker Bros. Advisors LP (the “Adviser”), Baker Bros. Advisors (GP) LLC (the “Adviser GP”), Felix J. Baker and Julian C. Baker (collectively, the “Reporting Persons”).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business address of each of the Reporting Persons is: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Baker Bros. Advisors LP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667 Madison Avenue,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10065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(212) 339-5690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right="40"/>
        <w:spacing w:after="0" w:line="342" w:lineRule="auto"/>
        <w:rPr>
          <w:sz w:val="20"/>
          <w:szCs w:val="20"/>
          <w:color w:val="auto"/>
        </w:rPr>
      </w:pPr>
      <w:r>
        <w:rPr>
          <w:rFonts w:ascii="Arial" w:cs="Arial" w:eastAsia="Arial" w:hAnsi="Arial"/>
          <w:sz w:val="16"/>
          <w:szCs w:val="16"/>
          <w:color w:val="auto"/>
        </w:rPr>
        <w:t>The Adviser is a limited partnership organized under the laws of the State of Delaware. The Adviser GP is a limited liability company organized under the laws of the State of Delaware. The citizenship of each of Julian C. Baker and Felix J. Baker is the United States of America.</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Ordinary Shares, NIS $0.01 par value per share (“Ordinary Shares”)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M2239P109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(c), check whether the person filing is a:</w:t>
      </w:r>
    </w:p>
    <w:p>
      <w:pPr>
        <w:spacing w:after="0" w:line="197" w:lineRule="exact"/>
        <w:rPr>
          <w:sz w:val="20"/>
          <w:szCs w:val="20"/>
          <w:color w:val="auto"/>
        </w:rPr>
      </w:pPr>
    </w:p>
    <w:p>
      <w:pPr>
        <w:ind w:left="1300" w:hanging="320"/>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620" w:right="60" w:hanging="640"/>
        <w:spacing w:after="0" w:line="239" w:lineRule="exact"/>
        <w:tabs>
          <w:tab w:leader="none" w:pos="1296"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Items 5 through 9 and 11 of each of the cover pages to this Schedule 13G are incorporated herein reference. Certain securities of the Issuer are directly held by each of Baker Brothers Life Sciences, L.P. (“Life Sciences”) and 667, L.P. (“667”, and together with Life Sciences, the “Funds”). The information set forth below is based upon 27,560,920 Ordinary Shares outstanding as of December 31, 2015, based on information obtained from the Issuer on January 29, 2016. Such percentage figures are calculated in accordance with Rule 13d-3 under the Securities Exchange Act of 1934, as amended.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Number of</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Ordinary Shares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we own or have</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Percent of</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the right to acquire</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Class</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Name</w:t>
            </w:r>
          </w:p>
        </w:tc>
        <w:tc>
          <w:tcPr>
            <w:tcW w:w="2140" w:type="dxa"/>
            <w:vAlign w:val="bottom"/>
          </w:tcPr>
          <w:p>
            <w:pPr>
              <w:spacing w:after="0"/>
              <w:rPr>
                <w:sz w:val="20"/>
                <w:szCs w:val="20"/>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within 60 days</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667, L.P.</w:t>
            </w:r>
          </w:p>
        </w:tc>
        <w:tc>
          <w:tcPr>
            <w:tcW w:w="3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199,214</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Baker Brothers Life Sciences, L.P.</w:t>
            </w:r>
          </w:p>
        </w:tc>
        <w:tc>
          <w:tcPr>
            <w:tcW w:w="2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2,137,145</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214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2,336,359</w:t>
            </w:r>
          </w:p>
        </w:tc>
        <w:tc>
          <w:tcPr>
            <w:tcW w:w="18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7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8"/>
                <w:szCs w:val="18"/>
                <w:color w:val="auto"/>
              </w:rPr>
              <w:t>Page 7 of 9 Pages</w:t>
            </w: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ind w:right="220"/>
        <w:spacing w:after="0" w:line="312" w:lineRule="auto"/>
        <w:rPr>
          <w:sz w:val="20"/>
          <w:szCs w:val="20"/>
          <w:color w:val="auto"/>
        </w:rPr>
      </w:pPr>
      <w:r>
        <w:rPr>
          <w:rFonts w:ascii="Arial" w:cs="Arial" w:eastAsia="Arial" w:hAnsi="Arial"/>
          <w:sz w:val="16"/>
          <w:szCs w:val="16"/>
          <w:color w:val="auto"/>
        </w:rPr>
        <w:t>Pursuant to the amended and restated management agreements, among the Adviser, the Funds and their respective general partners, the Funds’ respective general partners relinquished to the Adviser all discretion and authority with respect to the investment and voting power of the securities held by the Funds, the Adviser has complete and unlimited discretion and authority with respect to the Funds’ investments and voting power over investments.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Adviser GP, Felix J. Baker and Julian C. Baker as principals of the Adviser GP, and the Adviser may be deemed to be beneficial owners of securities of the Issuer directly held by the Funds, and may be deemed to have the sole power to vote or direct the vote of and the power to dispose or direct the disposition of such securities.</w:t>
      </w:r>
    </w:p>
    <w:p>
      <w:pPr>
        <w:spacing w:after="0" w:line="1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Reporting Persons disclaim beneficial ownership of the securities held by each of the Funds, and this Schedule 13G shall not be deemed an admission that the Reporting Persons are the beneficial owners of such securities for purposes of Section 13(d) or for any other purpose.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60" w:firstLine="972"/>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N/A</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in Item 4 is incorporated herein by reference.</w:t>
      </w:r>
    </w:p>
    <w:p>
      <w:pPr>
        <w:spacing w:after="0" w:line="221"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in Item 4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center"/>
        <w:ind w:right="-3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2016</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Baker Bros. Advisors (GP) LLC, its general partner</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Scott L. Lessing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BAKER BROS. ADVISORS (GP)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Scott L. Lessing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Julian C. Baker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Felix J. Baker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Page 9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904" w:right="5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In accordance with Rule 13d-1(k)(1) under the Securities Exchange Act of 1934, as amended, the undersigned hereby agree that this Statement on Schedule 13G relating to the Ordinary Shares of Alcobra Ltd. is being filed with the Securities and Exchange Commission on behalf of each of them.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2016</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Baker Bros. Advisors (GP) LLC, its general partner</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Scott L. Lessing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BAKER BROS. ADVISORS (GP)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Scott L. Lessing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Julian C. Baker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Felix J. Baker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2019-12-17T07:33:52Z</dcterms:created>
  <dcterms:modified xsi:type="dcterms:W3CDTF">2019-12-17T07:33:52Z</dcterms:modified>
</cp:coreProperties>
</file>