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660" w:right="1580" w:hanging="3639"/>
        <w:spacing w:after="0" w:line="328" w:lineRule="auto"/>
        <w:tabs>
          <w:tab w:leader="none" w:pos="52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2" w:lineRule="exact"/>
        <w:rPr>
          <w:sz w:val="24"/>
          <w:szCs w:val="24"/>
          <w:color w:val="auto"/>
        </w:rPr>
      </w:pPr>
    </w:p>
    <w:p>
      <w:pPr>
        <w:ind w:left="430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41910</wp:posOffset>
            </wp:positionV>
            <wp:extent cx="2468880"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ectPr>
          <w:pgSz w:w="11900" w:h="16838" w:orient="portrait"/>
          <w:cols w:equalWidth="0" w:num="1">
            <w:col w:w="11240"/>
          </w:cols>
          <w:pgMar w:left="320" w:top="1118" w:right="339" w:bottom="1440" w:gutter="0" w:footer="0" w:header="0"/>
        </w:sectPr>
      </w:pPr>
    </w:p>
    <w:p>
      <w:pPr>
        <w:spacing w:after="0" w:line="25" w:lineRule="exact"/>
        <w:rPr>
          <w:sz w:val="24"/>
          <w:szCs w:val="24"/>
          <w:color w:val="auto"/>
        </w:rPr>
      </w:pPr>
    </w:p>
    <w:p>
      <w:pPr>
        <w:jc w:val="right"/>
        <w:ind w:right="6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jc w:val="center"/>
        <w:ind w:right="346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144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14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10628 Science Center Drive, Suite 250</w:t>
      </w:r>
    </w:p>
    <w:p>
      <w:pPr>
        <w:spacing w:after="0" w:line="4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San Diego, California</w:t>
      </w:r>
    </w:p>
    <w:p>
      <w:pPr>
        <w:spacing w:after="0" w:line="4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b w:val="1"/>
          <w:bCs w:val="1"/>
          <w:color w:val="auto"/>
        </w:rPr>
        <w:t>32-0595345</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35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b w:val="1"/>
          <w:bCs w:val="1"/>
          <w:color w:val="auto"/>
        </w:rPr>
        <w:t>92121</w:t>
      </w:r>
    </w:p>
    <w:p>
      <w:pPr>
        <w:spacing w:after="0" w:line="17"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color w:val="auto"/>
        </w:rPr>
        <w:t>(Zip Code)</w:t>
      </w:r>
    </w:p>
    <w:p>
      <w:pPr>
        <w:spacing w:after="0" w:line="74" w:lineRule="exact"/>
        <w:rPr>
          <w:sz w:val="24"/>
          <w:szCs w:val="24"/>
          <w:color w:val="auto"/>
        </w:rPr>
      </w:pPr>
    </w:p>
    <w:p>
      <w:pPr>
        <w:sectPr>
          <w:pgSz w:w="11900" w:h="16838" w:orient="portrait"/>
          <w:cols w:equalWidth="0" w:num="2">
            <w:col w:w="7860" w:space="720"/>
            <w:col w:w="2660"/>
          </w:cols>
          <w:pgMar w:left="320" w:top="111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6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ARCT</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5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47"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8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November 5, 2024, the registrant had 27,087,359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00" w:type="dxa"/>
            <w:vAlign w:val="bottom"/>
            <w:gridSpan w:val="2"/>
            <w:vMerge w:val="continue"/>
          </w:tcPr>
          <w:p>
            <w:pPr>
              <w:spacing w:after="0"/>
              <w:rPr>
                <w:sz w:val="14"/>
                <w:szCs w:val="14"/>
                <w:color w:val="auto"/>
              </w:rPr>
            </w:pPr>
          </w:p>
        </w:tc>
        <w:tc>
          <w:tcPr>
            <w:tcW w:w="954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 30,</w:t>
            </w:r>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 2024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and 2023</w:t>
            </w:r>
          </w:p>
        </w:tc>
        <w:tc>
          <w:tcPr>
            <w:tcW w:w="888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2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7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tcPr>
          <w:p>
            <w:pPr>
              <w:spacing w:after="0"/>
              <w:rPr>
                <w:sz w:val="18"/>
                <w:szCs w:val="18"/>
                <w:color w:val="auto"/>
              </w:rPr>
            </w:pPr>
          </w:p>
        </w:tc>
        <w:tc>
          <w:tcPr>
            <w:tcW w:w="31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3"/>
          </w:tcPr>
          <w:p>
            <w:pPr>
              <w:spacing w:after="0"/>
              <w:rPr>
                <w:sz w:val="18"/>
                <w:szCs w:val="18"/>
                <w:color w:val="auto"/>
              </w:rPr>
            </w:pPr>
          </w:p>
        </w:tc>
        <w:tc>
          <w:tcPr>
            <w:tcW w:w="82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208" w:lineRule="exact"/>
        <w:rPr>
          <w:sz w:val="20"/>
          <w:szCs w:val="20"/>
          <w:color w:val="auto"/>
        </w:rPr>
      </w:pPr>
    </w:p>
    <w:p>
      <w:pPr>
        <w:ind w:left="1220" w:right="22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requirements of our collaboration agreements, including our collaboration with Seqirus Inc. (“CSL Seqirus”);</w:t>
      </w:r>
    </w:p>
    <w:p>
      <w:pPr>
        <w:spacing w:after="0" w:line="60" w:lineRule="exact"/>
        <w:rPr>
          <w:rFonts w:ascii="Times New Roman" w:cs="Times New Roman" w:eastAsia="Times New Roman" w:hAnsi="Times New Roman"/>
          <w:sz w:val="18"/>
          <w:szCs w:val="18"/>
          <w:color w:val="auto"/>
        </w:rPr>
      </w:pPr>
    </w:p>
    <w:p>
      <w:pPr>
        <w:ind w:left="1220" w:right="460" w:hanging="601"/>
        <w:spacing w:after="0" w:line="225"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success of our collaboration agreement with CSL Seqirus related to the licensure of our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mRNA technology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including our timely receipt of upfront and potential royalty and other payments thereunder;</w:t>
      </w:r>
    </w:p>
    <w:p>
      <w:pPr>
        <w:spacing w:after="0" w:line="91"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activities of the LUNAR-COV19 and LUNAR-FLU programs under our collaboration with CSL Seqirus;</w:t>
      </w:r>
    </w:p>
    <w:p>
      <w:pPr>
        <w:spacing w:after="0" w:line="117" w:lineRule="exact"/>
        <w:rPr>
          <w:rFonts w:ascii="Times New Roman" w:cs="Times New Roman" w:eastAsia="Times New Roman" w:hAnsi="Times New Roman"/>
          <w:sz w:val="18"/>
          <w:szCs w:val="18"/>
          <w:color w:val="auto"/>
        </w:rPr>
      </w:pPr>
    </w:p>
    <w:p>
      <w:pPr>
        <w:ind w:left="1220" w:right="22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success and benefits of our arrangements with private and governmental entities, some of which are subject to termination for convenience by our counterparties;</w:t>
      </w:r>
    </w:p>
    <w:p>
      <w:pPr>
        <w:spacing w:after="0" w:line="53" w:lineRule="exact"/>
        <w:rPr>
          <w:rFonts w:ascii="Times New Roman" w:cs="Times New Roman" w:eastAsia="Times New Roman" w:hAnsi="Times New Roman"/>
          <w:sz w:val="18"/>
          <w:szCs w:val="18"/>
          <w:color w:val="auto"/>
        </w:rPr>
      </w:pPr>
    </w:p>
    <w:p>
      <w:pPr>
        <w:ind w:left="1220" w:right="100" w:hanging="601"/>
        <w:spacing w:after="0" w:line="289"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49" w:lineRule="exact"/>
        <w:rPr>
          <w:rFonts w:ascii="Times New Roman" w:cs="Times New Roman" w:eastAsia="Times New Roman" w:hAnsi="Times New Roman"/>
          <w:sz w:val="17"/>
          <w:szCs w:val="17"/>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conduct and advance any of our research programs;</w:t>
      </w:r>
    </w:p>
    <w:p>
      <w:pPr>
        <w:spacing w:after="0" w:line="117" w:lineRule="exact"/>
        <w:rPr>
          <w:rFonts w:ascii="Times New Roman" w:cs="Times New Roman" w:eastAsia="Times New Roman" w:hAnsi="Times New Roman"/>
          <w:sz w:val="18"/>
          <w:szCs w:val="18"/>
          <w:color w:val="auto"/>
        </w:rPr>
      </w:pPr>
    </w:p>
    <w:p>
      <w:pPr>
        <w:ind w:left="1220" w:right="320" w:hanging="601"/>
        <w:spacing w:after="0" w:line="26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spacing w:after="0" w:line="6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immunogenicity, efficacy or regulatory approval of any of our product candidates;</w:t>
      </w:r>
    </w:p>
    <w:p>
      <w:pPr>
        <w:spacing w:after="0" w:line="117" w:lineRule="exact"/>
        <w:rPr>
          <w:rFonts w:ascii="Times New Roman" w:cs="Times New Roman" w:eastAsia="Times New Roman" w:hAnsi="Times New Roman"/>
          <w:sz w:val="18"/>
          <w:szCs w:val="18"/>
          <w:color w:val="auto"/>
        </w:rPr>
      </w:pPr>
    </w:p>
    <w:p>
      <w:pPr>
        <w:ind w:left="1220" w:right="16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immunogenicity, efficacy or regulatory approval of any of our COVID-19 vaccine candidates as a booster or primary vaccination series;</w:t>
      </w:r>
    </w:p>
    <w:p>
      <w:pPr>
        <w:spacing w:after="0" w:line="53" w:lineRule="exact"/>
        <w:rPr>
          <w:rFonts w:ascii="Times New Roman" w:cs="Times New Roman" w:eastAsia="Times New Roman" w:hAnsi="Times New Roman"/>
          <w:sz w:val="18"/>
          <w:szCs w:val="18"/>
          <w:color w:val="auto"/>
        </w:rPr>
      </w:pPr>
    </w:p>
    <w:p>
      <w:pPr>
        <w:ind w:left="1220" w:right="38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efficacy and benefits of our technologies and product candidates on their own and in comparison to technologies, drugs or courses of treatment currently available or that may be developed by competitors;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preclinical or clinical data will be predictive of future clinical results or efficacy or safety of a product candidate;</w:t>
      </w:r>
    </w:p>
    <w:p>
      <w:pPr>
        <w:spacing w:after="0" w:line="117" w:lineRule="exact"/>
        <w:rPr>
          <w:rFonts w:ascii="Times New Roman" w:cs="Times New Roman" w:eastAsia="Times New Roman" w:hAnsi="Times New Roman"/>
          <w:sz w:val="18"/>
          <w:szCs w:val="18"/>
          <w:color w:val="auto"/>
        </w:rPr>
      </w:pPr>
    </w:p>
    <w:p>
      <w:pPr>
        <w:ind w:left="1220" w:right="88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enrollment, duration, milestones and announcements of results of clinical trials, and the submission of applications to conduct clinical trials;</w:t>
      </w:r>
    </w:p>
    <w:p>
      <w:pPr>
        <w:spacing w:after="0" w:line="53" w:lineRule="exact"/>
        <w:rPr>
          <w:rFonts w:ascii="Times New Roman" w:cs="Times New Roman" w:eastAsia="Times New Roman" w:hAnsi="Times New Roman"/>
          <w:sz w:val="18"/>
          <w:szCs w:val="18"/>
          <w:color w:val="auto"/>
        </w:rPr>
      </w:pPr>
    </w:p>
    <w:p>
      <w:pPr>
        <w:ind w:left="1220" w:right="46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 or completed in time to submit an application for regulatory approval within a particular timeframe;</w:t>
      </w:r>
    </w:p>
    <w:p>
      <w:pPr>
        <w:spacing w:after="0" w:line="53" w:lineRule="exact"/>
        <w:rPr>
          <w:rFonts w:ascii="Times New Roman" w:cs="Times New Roman" w:eastAsia="Times New Roman" w:hAnsi="Times New Roman"/>
          <w:sz w:val="18"/>
          <w:szCs w:val="18"/>
          <w:color w:val="auto"/>
        </w:rPr>
      </w:pPr>
    </w:p>
    <w:p>
      <w:pPr>
        <w:ind w:left="1220" w:right="40" w:hanging="601"/>
        <w:spacing w:after="0" w:line="26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spacing w:after="0" w:line="6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117" w:lineRule="exact"/>
        <w:rPr>
          <w:rFonts w:ascii="Times New Roman" w:cs="Times New Roman" w:eastAsia="Times New Roman" w:hAnsi="Times New Roman"/>
          <w:sz w:val="18"/>
          <w:szCs w:val="18"/>
          <w:color w:val="auto"/>
        </w:rPr>
      </w:pPr>
    </w:p>
    <w:p>
      <w:pPr>
        <w:ind w:left="1220" w:right="14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220" w:right="88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partners, to successfully commercialize, and our expectations regarding future therapeutic and commercial potential with respect to, our product candidates;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220" w:right="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and address unmet medical needs;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w:t>
      </w:r>
    </w:p>
    <w:p>
      <w:pPr>
        <w:spacing w:after="0" w:line="117" w:lineRule="exact"/>
        <w:rPr>
          <w:rFonts w:ascii="Times New Roman" w:cs="Times New Roman" w:eastAsia="Times New Roman" w:hAnsi="Times New Roman"/>
          <w:sz w:val="18"/>
          <w:szCs w:val="18"/>
          <w:color w:val="auto"/>
        </w:rPr>
      </w:pPr>
    </w:p>
    <w:p>
      <w:pPr>
        <w:ind w:left="1220" w:right="1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including the ability to implement and scale-up manufacturing levels as necessary;</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relevant approvals related to the manufacture and distribution of our product candidates;</w:t>
      </w:r>
    </w:p>
    <w:p>
      <w:pPr>
        <w:spacing w:after="0" w:line="117" w:lineRule="exact"/>
        <w:rPr>
          <w:rFonts w:ascii="Times New Roman" w:cs="Times New Roman" w:eastAsia="Times New Roman" w:hAnsi="Times New Roman"/>
          <w:sz w:val="18"/>
          <w:szCs w:val="18"/>
          <w:color w:val="auto"/>
        </w:rPr>
      </w:pPr>
    </w:p>
    <w:p>
      <w:pPr>
        <w:ind w:left="1220" w:right="34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avoid, settle or be victorious at costly litigation with shareholders, former executives or others, should these situations arise;</w:t>
      </w:r>
    </w:p>
    <w:p>
      <w:pPr>
        <w:spacing w:after="0" w:line="128" w:lineRule="exact"/>
        <w:rPr>
          <w:rFonts w:ascii="Times New Roman" w:cs="Times New Roman" w:eastAsia="Times New Roman" w:hAnsi="Times New Roman"/>
          <w:sz w:val="17"/>
          <w:szCs w:val="17"/>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1220" w:right="1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cash flows, capital requirements need for additional financing, and possible sources of revenue.</w:t>
      </w:r>
    </w:p>
    <w:p>
      <w:pPr>
        <w:spacing w:after="0" w:line="162" w:lineRule="exact"/>
        <w:rPr>
          <w:sz w:val="20"/>
          <w:szCs w:val="20"/>
          <w:color w:val="auto"/>
        </w:rPr>
      </w:pPr>
    </w:p>
    <w:p>
      <w:pPr>
        <w:ind w:right="20" w:firstLine="612"/>
        <w:spacing w:after="0" w:line="254" w:lineRule="auto"/>
        <w:rPr>
          <w:sz w:val="20"/>
          <w:szCs w:val="20"/>
          <w:color w:val="auto"/>
        </w:rPr>
      </w:pPr>
      <w:r>
        <w:rPr>
          <w:rFonts w:ascii="Times New Roman" w:cs="Times New Roman" w:eastAsia="Times New Roman" w:hAnsi="Times New Roman"/>
          <w:sz w:val="18"/>
          <w:szCs w:val="18"/>
          <w:color w:val="auto"/>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par value information)</w:t>
            </w:r>
          </w:p>
        </w:tc>
        <w:tc>
          <w:tcPr>
            <w:tcW w:w="220" w:type="dxa"/>
            <w:vAlign w:val="bottom"/>
          </w:tcPr>
          <w:p>
            <w:pPr>
              <w:spacing w:after="0"/>
              <w:rPr>
                <w:sz w:val="14"/>
                <w:szCs w:val="14"/>
                <w:color w:val="auto"/>
              </w:rPr>
            </w:pPr>
          </w:p>
        </w:tc>
        <w:tc>
          <w:tcPr>
            <w:tcW w:w="13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237,178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292,005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Pr>
          <w:p>
            <w:pPr>
              <w:spacing w:after="0"/>
              <w:rPr>
                <w:sz w:val="21"/>
                <w:szCs w:val="21"/>
                <w:color w:val="auto"/>
              </w:rPr>
            </w:pPr>
          </w:p>
        </w:tc>
      </w:tr>
      <w:tr>
        <w:trPr>
          <w:trHeight w:val="23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330,821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386,590</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20"/>
                <w:szCs w:val="20"/>
                <w:color w:val="auto"/>
              </w:rPr>
            </w:pPr>
          </w:p>
        </w:tc>
      </w:tr>
      <w:tr>
        <w:trPr>
          <w:trHeight w:val="281"/>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370,654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44,829</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81,989</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108,788</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shares were 27,084 at September 30, 2024 and 26,828 at December 31, 2023</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646,352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(418,802 )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(367,866 )</w:t>
            </w:r>
          </w:p>
        </w:tc>
      </w:tr>
      <w:tr>
        <w:trPr>
          <w:trHeight w:val="237"/>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261,866</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278,513</w:t>
            </w:r>
          </w:p>
        </w:tc>
        <w:tc>
          <w:tcPr>
            <w:tcW w:w="100" w:type="dxa"/>
            <w:vAlign w:val="bottom"/>
            <w:tcBorders>
              <w:top w:val="single" w:sz="8" w:color="CFF0FC"/>
            </w:tcBorders>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370,654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-2691130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-2673985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left="340" w:right="1620"/>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117,389</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132,670</w:t>
            </w: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135,944</w:t>
            </w:r>
          </w:p>
        </w:tc>
        <w:tc>
          <w:tcPr>
            <w:tcW w:w="10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155,513</w:t>
            </w: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40,443</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195,877</w:t>
            </w:r>
          </w:p>
        </w:tc>
        <w:tc>
          <w:tcPr>
            <w:tcW w:w="10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(10,737 )</w:t>
            </w: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(19,314 )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(62,275 )</w:t>
            </w: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(59,933 )</w:t>
            </w: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foreign currency</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(201 )</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(642 )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net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(7,120 )</w:t>
            </w: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(15,329 )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(50,936 )</w:t>
            </w: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(16,445 )</w:t>
            </w: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(217 )</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(6,903 )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(16,222 )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(50,936 )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(18,018 )</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(0.26 )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(0.68 )</w:t>
            </w: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(6,903 )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(16,222 )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(50,936 )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(18,018 )</w:t>
            </w:r>
          </w:p>
        </w:tc>
      </w:tr>
      <w:tr>
        <w:trPr>
          <w:trHeight w:val="20"/>
        </w:trPr>
        <w:tc>
          <w:tcPr>
            <w:tcW w:w="5860" w:type="dxa"/>
            <w:vAlign w:val="bottom"/>
            <w:shd w:val="clear" w:color="auto" w:fill="CFF0FC"/>
          </w:tcPr>
          <w:p>
            <w:pPr>
              <w:spacing w:after="0" w:line="20" w:lineRule="exact"/>
              <w:rPr>
                <w:sz w:val="1"/>
                <w:szCs w:val="1"/>
                <w:color w:val="auto"/>
              </w:rPr>
            </w:pPr>
          </w:p>
        </w:tc>
        <w:tc>
          <w:tcPr>
            <w:tcW w:w="260" w:type="dxa"/>
            <w:vAlign w:val="bottom"/>
            <w:tcBorders>
              <w:bottom w:val="single" w:sz="8" w:color="auto"/>
            </w:tcBorders>
            <w:shd w:val="clear" w:color="auto" w:fill="CFF0FC"/>
          </w:tcPr>
          <w:p>
            <w:pPr>
              <w:spacing w:after="0" w:line="20" w:lineRule="exact"/>
              <w:rPr>
                <w:sz w:val="1"/>
                <w:szCs w:val="1"/>
                <w:color w:val="auto"/>
              </w:rPr>
            </w:pPr>
          </w:p>
        </w:tc>
        <w:tc>
          <w:tcPr>
            <w:tcW w:w="90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tcBorders>
              <w:bottom w:val="single" w:sz="8" w:color="auto"/>
            </w:tcBorders>
            <w:shd w:val="clear" w:color="auto" w:fill="CFF0FC"/>
          </w:tcPr>
          <w:p>
            <w:pPr>
              <w:spacing w:after="0" w:line="20" w:lineRule="exact"/>
              <w:rPr>
                <w:sz w:val="1"/>
                <w:szCs w:val="1"/>
                <w:color w:val="auto"/>
              </w:rPr>
            </w:pPr>
          </w:p>
        </w:tc>
        <w:tc>
          <w:tcPr>
            <w:tcW w:w="76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tcBorders>
              <w:bottom w:val="single" w:sz="8" w:color="auto"/>
            </w:tcBorders>
            <w:shd w:val="clear" w:color="auto" w:fill="CFF0FC"/>
          </w:tcPr>
          <w:p>
            <w:pPr>
              <w:spacing w:after="0" w:line="20" w:lineRule="exact"/>
              <w:rPr>
                <w:sz w:val="1"/>
                <w:szCs w:val="1"/>
                <w:color w:val="auto"/>
              </w:rPr>
            </w:pPr>
          </w:p>
        </w:tc>
        <w:tc>
          <w:tcPr>
            <w:tcW w:w="86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(50,936</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(18,018 )</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-2742565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-2742565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-2742565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-2108200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-2108200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-2108200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-839470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-822325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-839470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-822325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-839470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-822325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STOCKHOLDERS’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22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2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26,828</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646,352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(367,866 )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278,513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(26,817 )</w:t>
            </w: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(26,817 )</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26,917</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658,628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(394,683 )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(17,216 )</w:t>
            </w:r>
          </w:p>
        </w:tc>
        <w:tc>
          <w:tcPr>
            <w:tcW w:w="2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(17,216 )</w:t>
            </w: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June 30, 2024</w:t>
            </w:r>
          </w:p>
        </w:tc>
        <w:tc>
          <w:tcPr>
            <w:tcW w:w="1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27,042</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670,455</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(411,899 )</w:t>
            </w:r>
          </w:p>
        </w:tc>
        <w:tc>
          <w:tcPr>
            <w:tcW w:w="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258,583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(6,903 )</w:t>
            </w: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(6,903 )</w:t>
            </w: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BALANCE – September 30, 2024</w:t>
            </w: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27,084</w:t>
            </w:r>
          </w:p>
        </w:tc>
        <w:tc>
          <w:tcPr>
            <w:tcW w:w="1100" w:type="dxa"/>
            <w:vAlign w:val="bottom"/>
            <w:gridSpan w:val="2"/>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680,641</w:t>
            </w: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(418,802 )</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261,866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-659130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-642620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-659130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-642620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-659130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-642620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-659130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-642620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-144780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-144780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-144780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-144780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22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2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26,555</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608,426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(338,141 )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270,312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26,555</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(287,387 )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(52,550 )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(52,550 )</w:t>
            </w:r>
          </w:p>
        </w:tc>
        <w:tc>
          <w:tcPr>
            <w:tcW w:w="0" w:type="dxa"/>
            <w:vAlign w:val="bottom"/>
          </w:tcPr>
          <w:p>
            <w:pPr>
              <w:spacing w:after="0"/>
              <w:rPr>
                <w:sz w:val="1"/>
                <w:szCs w:val="1"/>
                <w:color w:val="auto"/>
              </w:rPr>
            </w:pPr>
          </w:p>
        </w:tc>
      </w:tr>
      <w:tr>
        <w:trPr>
          <w:trHeight w:val="17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June 30, 2023</w:t>
            </w: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26,574</w:t>
            </w:r>
          </w:p>
        </w:tc>
        <w:tc>
          <w:tcPr>
            <w:tcW w:w="1100" w:type="dxa"/>
            <w:vAlign w:val="bottom"/>
            <w:gridSpan w:val="2"/>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625,085</w:t>
            </w: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(339,937 )</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285,175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shd w:val="clear" w:color="auto" w:fill="CFF0FC"/>
          </w:tcPr>
          <w:p>
            <w:pPr>
              <w:ind w:left="120"/>
              <w:spacing w:after="0" w:line="156"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(16,222 )</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(16,222 )</w:t>
            </w:r>
          </w:p>
        </w:tc>
        <w:tc>
          <w:tcPr>
            <w:tcW w:w="0" w:type="dxa"/>
            <w:vAlign w:val="bottom"/>
          </w:tcPr>
          <w:p>
            <w:pPr>
              <w:spacing w:after="0"/>
              <w:rPr>
                <w:sz w:val="1"/>
                <w:szCs w:val="1"/>
                <w:color w:val="auto"/>
              </w:rPr>
            </w:pPr>
          </w:p>
        </w:tc>
      </w:tr>
      <w:tr>
        <w:trPr>
          <w:trHeight w:val="17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BALANCE – September 30, 2023</w:t>
            </w:r>
          </w:p>
        </w:tc>
        <w:tc>
          <w:tcPr>
            <w:tcW w:w="1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26,723</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636,194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(356,159 )</w:t>
            </w:r>
          </w:p>
        </w:tc>
        <w:tc>
          <w:tcPr>
            <w:tcW w:w="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280,062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-1190625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-1190625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-1190625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-1190625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-736600</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-736600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-736600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-736600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3340" w:type="dxa"/>
            <w:vAlign w:val="bottom"/>
            <w:gridSpan w:val="6"/>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9"/>
              </w:rPr>
              <w:t>(50,936 )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(18,018 )</w:t>
            </w: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8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(33,953 )</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expenses</w:t>
            </w:r>
          </w:p>
        </w:tc>
        <w:tc>
          <w:tcPr>
            <w:tcW w:w="880" w:type="dxa"/>
            <w:vAlign w:val="bottom"/>
          </w:tcPr>
          <w:p>
            <w:pPr>
              <w:spacing w:after="0"/>
              <w:rPr>
                <w:sz w:val="20"/>
                <w:szCs w:val="20"/>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(35,456 )</w:t>
            </w: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8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(923 )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(625 )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(3,437 )</w:t>
            </w: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9"/>
              </w:rPr>
              <w:t>(47,051 )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8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(2,656 )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(3,198 )</w:t>
            </w:r>
          </w:p>
        </w:tc>
      </w:tr>
      <w:tr>
        <w:trPr>
          <w:trHeight w:val="20"/>
        </w:trPr>
        <w:tc>
          <w:tcPr>
            <w:tcW w:w="7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9"/>
              </w:rPr>
              <w:t>(59,463 )</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(17,470 )</w:t>
            </w:r>
          </w:p>
        </w:tc>
      </w:tr>
      <w:tr>
        <w:trPr>
          <w:trHeight w:val="24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8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(648 )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(2,026 )</w:t>
            </w:r>
          </w:p>
        </w:tc>
      </w:tr>
      <w:tr>
        <w:trPr>
          <w:trHeight w:val="232"/>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debt</w:t>
            </w:r>
          </w:p>
        </w:tc>
        <w:tc>
          <w:tcPr>
            <w:tcW w:w="880" w:type="dxa"/>
            <w:vAlign w:val="bottom"/>
          </w:tcPr>
          <w:p>
            <w:pPr>
              <w:spacing w:after="0"/>
              <w:rPr>
                <w:sz w:val="20"/>
                <w:szCs w:val="20"/>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r>
      <w:tr>
        <w:trPr>
          <w:trHeight w:val="243"/>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debt obligations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(27,364 )</w:t>
            </w:r>
          </w:p>
        </w:tc>
      </w:tr>
      <w:tr>
        <w:trPr>
          <w:trHeight w:val="20"/>
        </w:trPr>
        <w:tc>
          <w:tcPr>
            <w:tcW w:w="79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(5,430 )</w:t>
            </w:r>
          </w:p>
        </w:tc>
      </w:tr>
      <w:tr>
        <w:trPr>
          <w:trHeight w:val="20"/>
        </w:trPr>
        <w:tc>
          <w:tcPr>
            <w:tcW w:w="7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9"/>
              </w:rPr>
              <w:t>(54,827 )</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(24,926 )</w:t>
            </w: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348,890</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393,977</w:t>
            </w:r>
          </w:p>
        </w:tc>
        <w:tc>
          <w:tcPr>
            <w:tcW w:w="100" w:type="dxa"/>
            <w:vAlign w:val="bottom"/>
          </w:tcPr>
          <w:p>
            <w:pPr>
              <w:spacing w:after="0"/>
              <w:rPr>
                <w:sz w:val="20"/>
                <w:szCs w:val="20"/>
                <w:color w:val="auto"/>
              </w:rPr>
            </w:pPr>
          </w:p>
        </w:tc>
      </w:tr>
      <w:tr>
        <w:trPr>
          <w:trHeight w:val="27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294,063</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7900" w:type="dxa"/>
            <w:vAlign w:val="bottom"/>
          </w:tcPr>
          <w:p>
            <w:pPr>
              <w:spacing w:after="0"/>
              <w:rPr>
                <w:sz w:val="24"/>
                <w:szCs w:val="24"/>
                <w:color w:val="auto"/>
              </w:rPr>
            </w:pPr>
          </w:p>
        </w:tc>
        <w:tc>
          <w:tcPr>
            <w:tcW w:w="3340" w:type="dxa"/>
            <w:vAlign w:val="bottom"/>
            <w:gridSpan w:val="6"/>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9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asset disposal</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acquired through operating leases</w:t>
            </w:r>
          </w:p>
        </w:tc>
        <w:tc>
          <w:tcPr>
            <w:tcW w:w="88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 in accounts payable</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-1965325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-1965325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-1322705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-1305560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-1322705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left="360" w:right="260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NOTES TO CONDENSED CONSOLIDATED FINANCIAL STATEMENTS (Unaudited)</w:t>
      </w:r>
    </w:p>
    <w:p>
      <w:pPr>
        <w:spacing w:after="0" w:line="171" w:lineRule="exact"/>
        <w:rPr>
          <w:sz w:val="20"/>
          <w:szCs w:val="20"/>
          <w:color w:val="auto"/>
        </w:rPr>
      </w:pPr>
    </w:p>
    <w:p>
      <w:pPr>
        <w:ind w:right="3380"/>
        <w:spacing w:after="0" w:line="377" w:lineRule="auto"/>
        <w:rPr>
          <w:sz w:val="20"/>
          <w:szCs w:val="20"/>
          <w:color w:val="auto"/>
        </w:rPr>
      </w:pPr>
      <w:r>
        <w:rPr>
          <w:rFonts w:ascii="Times New Roman" w:cs="Times New Roman" w:eastAsia="Times New Roman" w:hAnsi="Times New Roman"/>
          <w:sz w:val="18"/>
          <w:szCs w:val="18"/>
          <w:b w:val="1"/>
          <w:bCs w:val="1"/>
          <w:color w:val="auto"/>
        </w:rPr>
        <w:t>Note 1. Description of Business, Basis of Presentation and Summary of Significant Accounting Policies Description of Business</w:t>
      </w:r>
    </w:p>
    <w:p>
      <w:pPr>
        <w:spacing w:after="0" w:line="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Arcturus Therapeutics Holdings Inc. (the “Company” or "Arcturus") is a commercial messenger RNA medicines company focused on the development of infectious disease vaccines and opportunities within liver and respiratory rare diseases. Arcturus became a clinical stage company in 2020 when it announced that its Investigational New Drug (“IND”) application for ornithine transcarbamylase (“OTC”) deficiency and its Clinical Trial Application (“CTA”) for candidate LUNAR-COV19 were approved by applicable health authorities. In 2023, our COVID-19 vaccine, ARCT-154 (also referred to as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received marketing authorization approval in Japan for adults 18 years and older, and in September 2024 KOSTAIVE became the world’s first approved and commercially available self-amplifying RNA (sa-mRNA) vaccine.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2023.</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are prepared in accordance with GAAP, which requires management to make estimates and assumptions regarding the valuation of certain debt and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Equity Method Investments and Variable Interest Entities</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related to the Company's joint venture in ARCALIS, Inc. with Axcelead, Inc. (“Axcelead”). The Company’s share of the investee's results is presented as either income or loss from equity-method investment in the accompanying condensed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incurred significant operating losses since its inception. As of September 30, 2024 and December 31, 2023, the Company had an accumulated deficit of $418.8 million and $367.9 million, respectively.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September 30, 2024, the Company has funded its operations principally with the proceeds from revenues earned through collaboration agreements, the sale of capital stock, expense reimbursements from government contracts and proceeds from long-term debt. At September 30, 2024, the Company’s balance of cash and cash equivalents, including restricted cash, was $294.1 million.</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Accounting Standards Codification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determines revenue recognition for arrangements within the scope of ASC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terms of the Company’s revenue agreements include license fees, upfront payments, development and regulatory milestone payments, profit-sharing arrangements, reimbursement for research and development activities, option exercise fees, drug substance and drug product supply fees, consulting and related technology transfer fees and royalties on sales of commercialized products.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80"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collaborative partner and is the unit of account in ASC 606. A contract’s transaction price is allocated to each distinct performance obligation based on relative standalone selling price and recognized as revenue when, or as, the performance obligation is satisfied.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judgment. If estimates or judgments change over the course of the collaboration, a cumulative catch up of revenue is recognized in the period such changes are identified.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Revenue” for specific details surrounding the Company’s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9, Commitments and Contingencies”</w:t>
      </w:r>
      <w:r>
        <w:rPr>
          <w:rFonts w:ascii="Times New Roman" w:cs="Times New Roman" w:eastAsia="Times New Roman" w:hAnsi="Times New Roman"/>
          <w:sz w:val="18"/>
          <w:szCs w:val="18"/>
          <w:color w:val="auto"/>
        </w:rPr>
        <w:t xml:space="preserve"> for specific details surrounding the Company’s leases.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 Net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in-process research and development expenses, pre-launch inventory and license agreement expenses. Research and development expenses are presented net of any grants. Payments made prior to the receipt of goods or services to be used in research and development are capitalized until the goods are received or the services are performed.</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p>
    <w:p>
      <w:pPr>
        <w:spacing w:after="0" w:line="72"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7"/>
          <w:szCs w:val="17"/>
          <w:color w:val="auto"/>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Pre-Launch Inventory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the Company expenses costs relating to production of inventory as research and development expense in its condensed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Restricted cash includes collateral pledged and held in the Company’s securities accounts pursuant to a security agreement with Wells Fargo Bank, National Association (“Wells Fargo”) (Note 5). At September 30, 2024, such collateral amounted to $55.0 million.</w:t>
      </w:r>
    </w:p>
    <w:p>
      <w:pPr>
        <w:spacing w:after="0" w:line="54"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Restricted cash also includes cash required to be set aside as security for lease payments and to maintain a letter of credit for the benefit of the landlord for the Company’s offices. At September 30, 2024 and 2023, the Company had restricted cash of $1.9 million and $2.1 million, respectively, in conjunction with property leases in San Diego, California, and such restriction is expected to be removed at the end of the lease term. At September 30, 2023, non-current restricted cash also includes $20.0 million related to the Wells Fargo Loan (Note 5).</w:t>
      </w:r>
    </w:p>
    <w:p>
      <w:pPr>
        <w:spacing w:after="0" w:line="7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 as of September 30, 2024 and 2023:</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237,178</w:t>
            </w:r>
          </w:p>
        </w:tc>
        <w:tc>
          <w:tcPr>
            <w:tcW w:w="5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311,918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w:t>
            </w:r>
          </w:p>
        </w:tc>
        <w:tc>
          <w:tcPr>
            <w:tcW w:w="420" w:type="dxa"/>
            <w:vAlign w:val="bottom"/>
            <w:vMerge w:val="restart"/>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294,063</w:t>
            </w:r>
          </w:p>
        </w:tc>
        <w:tc>
          <w:tcPr>
            <w:tcW w:w="58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shown in the statement of cash flows</w:t>
            </w:r>
          </w:p>
        </w:tc>
        <w:tc>
          <w:tcPr>
            <w:tcW w:w="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-299720</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-299720</wp:posOffset>
            </wp:positionV>
            <wp:extent cx="43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for the three and nine months ended September 30, 2024 were comprised of stock options and restricted stock units. Dilutive shares of common stock for the three and nine months ended September 30, 2023 were comprised of stock options.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were declared or paid during the reported periods.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Company believes that the impact of recently issued standards that are not yet effective will not have a material impact on the condensed consolidated financial statements and disclosures.</w:t>
      </w:r>
    </w:p>
    <w:p>
      <w:pPr>
        <w:spacing w:after="0" w:line="68"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annual reporting periods beginning after December 15, 2023, and for interim reporting periods beginning January 1, 2025, with early adoption permitted. We are currently evaluating the impact that adoption of ASU 2023-07 will have on our financial statement disclosures.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during the nine months ended September 30, 2024 in the balances of contract assets and liabilities as compared to what was disclosed in the Company’s Annual Report.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43"/>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60" w:type="dxa"/>
            <w:vAlign w:val="bottom"/>
            <w:tcBorders>
              <w:top w:val="single" w:sz="8" w:color="auto"/>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(85,240 )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30,199</w:t>
            </w:r>
          </w:p>
        </w:tc>
        <w:tc>
          <w:tcPr>
            <w:tcW w:w="100" w:type="dxa"/>
            <w:vAlign w:val="bottom"/>
          </w:tcPr>
          <w:p>
            <w:pPr>
              <w:spacing w:after="0"/>
              <w:rPr>
                <w:sz w:val="20"/>
                <w:szCs w:val="20"/>
                <w:color w:val="auto"/>
              </w:rPr>
            </w:pPr>
          </w:p>
        </w:tc>
      </w:tr>
      <w:tr>
        <w:trPr>
          <w:trHeight w:val="254"/>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(129,544 )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revenues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00" w:type="dxa"/>
            <w:vAlign w:val="bottom"/>
          </w:tcPr>
          <w:p>
            <w:pPr>
              <w:spacing w:after="0"/>
              <w:rPr>
                <w:sz w:val="13"/>
                <w:szCs w:val="13"/>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00" w:type="dxa"/>
            <w:vAlign w:val="bottom"/>
          </w:tcPr>
          <w:p>
            <w:pPr>
              <w:spacing w:after="0"/>
              <w:rPr>
                <w:sz w:val="16"/>
                <w:szCs w:val="16"/>
                <w:color w:val="auto"/>
              </w:rPr>
            </w:pPr>
          </w:p>
        </w:tc>
        <w:tc>
          <w:tcPr>
            <w:tcW w:w="29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25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7"/>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CSL Seqirus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38,786</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117,078</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129,257</w:t>
            </w:r>
          </w:p>
        </w:tc>
        <w:tc>
          <w:tcPr>
            <w:tcW w:w="100" w:type="dxa"/>
            <w:vAlign w:val="bottom"/>
          </w:tcPr>
          <w:p>
            <w:pPr>
              <w:spacing w:after="0"/>
              <w:rPr>
                <w:sz w:val="20"/>
                <w:szCs w:val="20"/>
                <w:color w:val="auto"/>
              </w:rPr>
            </w:pPr>
          </w:p>
        </w:tc>
      </w:tr>
      <w:tr>
        <w:trPr>
          <w:trHeight w:val="247"/>
        </w:trPr>
        <w:tc>
          <w:tcPr>
            <w:tcW w:w="48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collaboration revenue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FF0FC"/>
          </w:tcPr>
          <w:p>
            <w:pPr>
              <w:spacing w:after="0"/>
              <w:rPr>
                <w:sz w:val="21"/>
                <w:szCs w:val="21"/>
                <w:color w:val="auto"/>
              </w:rPr>
            </w:pPr>
          </w:p>
        </w:tc>
      </w:tr>
      <w:tr>
        <w:trPr>
          <w:trHeight w:val="232"/>
        </w:trPr>
        <w:tc>
          <w:tcPr>
            <w:tcW w:w="4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43,376</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117,389</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132,670</w:t>
            </w:r>
          </w:p>
        </w:tc>
        <w:tc>
          <w:tcPr>
            <w:tcW w:w="10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0"/>
                <w:szCs w:val="20"/>
                <w:color w:val="auto"/>
              </w:rPr>
            </w:pPr>
          </w:p>
        </w:tc>
      </w:tr>
      <w:tr>
        <w:trPr>
          <w:trHeight w:val="277"/>
        </w:trPr>
        <w:tc>
          <w:tcPr>
            <w:tcW w:w="48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grant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paragraphs provide information regarding the nature and purpose of the Company’s most significant collaboration and grant arrangements.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19"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 In September 2024, our COVID-19 vaccine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became the world’s first approved and commercially available self-amplifying RNA (sa-mRNA) vaccine.</w:t>
      </w:r>
    </w:p>
    <w:p>
      <w:pPr>
        <w:spacing w:after="0" w:line="9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received a $200.0 million upfront payment and is eligible to receive over $1.3 billion in development milestones if all products are registered in the licensed fields and entitled to potentially receive up to $3.0 billion in commercial milestones based on “net sale” of vaccines in the various fields. In addition, the Company is eligible to receive a 40% net profit share for COVID-19 vaccine products and up to low double-digit royalties for vaccines against flu, pandemic preparedness and three other respiratory pathogens. During the third quarter of 2024, upon the first commercial sale of KOSTAIVE following regulatory approval in Japan, the Company achieved a $25.0 million development milestone related to the CSL Collaboration Agreement which was included in accounts receivable as of September 30, 2024.</w:t>
      </w:r>
    </w:p>
    <w:p>
      <w:pPr>
        <w:spacing w:after="0" w:line="79"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spacing w:after="0" w:line="63" w:lineRule="exact"/>
        <w:rPr>
          <w:sz w:val="20"/>
          <w:szCs w:val="20"/>
          <w:color w:val="auto"/>
        </w:rPr>
      </w:pPr>
    </w:p>
    <w:p>
      <w:pPr>
        <w:ind w:firstLine="554"/>
        <w:spacing w:after="0" w:line="266" w:lineRule="auto"/>
        <w:rPr>
          <w:sz w:val="20"/>
          <w:szCs w:val="20"/>
          <w:color w:val="auto"/>
        </w:rPr>
      </w:pPr>
      <w:r>
        <w:rPr>
          <w:rFonts w:ascii="Times New Roman" w:cs="Times New Roman" w:eastAsia="Times New Roman" w:hAnsi="Times New Roman"/>
          <w:sz w:val="18"/>
          <w:szCs w:val="18"/>
          <w:color w:val="auto"/>
        </w:rPr>
        <w:t>As of September 30, 2024, the transaction price consisted of upfront consideration received and milestones achieved. Additional variable consideration was not included in the transaction price at September 30, 2024 because the Company could not conclude that it is probable that including the variable consideration will not result in a significant revenue reversal.</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the third quarter of 2024 relates to the license delivered, milestones achieved and services performed through September 30, 2024.</w:t>
      </w:r>
    </w:p>
    <w:p>
      <w:pPr>
        <w:spacing w:after="0" w:line="8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Total deferred revenue as of September 30, 2024 and December 31, 2023 for the CSL Collaboration Agreement was $40.3 million and $87.1 million, respectively.</w:t>
      </w:r>
    </w:p>
    <w:p>
      <w:pPr>
        <w:spacing w:after="0" w:line="54" w:lineRule="exact"/>
        <w:rPr>
          <w:sz w:val="20"/>
          <w:szCs w:val="20"/>
          <w:color w:val="auto"/>
        </w:rPr>
      </w:pPr>
    </w:p>
    <w:p>
      <w:pPr>
        <w:jc w:val="both"/>
        <w:ind w:right="120" w:firstLine="554"/>
        <w:spacing w:after="0" w:line="258" w:lineRule="auto"/>
        <w:rPr>
          <w:sz w:val="20"/>
          <w:szCs w:val="20"/>
          <w:color w:val="auto"/>
        </w:rPr>
      </w:pPr>
      <w:r>
        <w:rPr>
          <w:rFonts w:ascii="Times New Roman" w:cs="Times New Roman" w:eastAsia="Times New Roman" w:hAnsi="Times New Roman"/>
          <w:sz w:val="18"/>
          <w:szCs w:val="18"/>
          <w:color w:val="auto"/>
        </w:rPr>
        <w:t>During 2023, the Company also received an advance payment of $23.6 million for the manufacturing and supply of ARCT-154 drug product. The advance payment was for specified manufacturing runs of ARCT-154 which include the drug substance utilized, as well as the reservation fees and related manufacturing requirements. The Company concluded that the promise to manufacture and supply ARCT-154 drug product is a customer option as part of the CSL Collaboration Agreement and is accounted for as a separate contract. The Company recognized $18.0 million in revenue related to this customer option during the second quarter of 2024. No amount related to this customer option remained in deferred revenue as of September 30, 2024.</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During the quarter ended September 30, 2024, the Company recognized $4.0 million related to the performance obligation and the remaining amount of $5.9 million is included in deferred revenue.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 w:name="page15"/>
    <w:bookmarkEnd w:id="14"/>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During the fourth quarter of 2023, the Company received an advance payment of $5.3 million from CSL Seqirus for manufacturing activities related to COVID-19 vaccine product. During the first quarter of 2024, the Company received an additional advance payment of $5.1 million from CSL Seqirus for manufacturing activities related to COVID-19 vaccine product. The Company concluded that the promise to perform manufacturing activities is a customer option as part of the CSL Collaboration Agreement and is accounted for as a separate contract. The Company recognized $5.3 million in revenue related to this customer option during the third quarter of 2024 upon the transfer of vaccine product to CSL Seqirus. The remaining $5.1 million is included in deferred revenue as of September 30, 2024 and will be recognized as revenue when the remaining vaccine product is transferred to CSL Seqirus.</w:t>
      </w:r>
    </w:p>
    <w:p>
      <w:pPr>
        <w:spacing w:after="0" w:line="6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BARDA Grant</w:t>
      </w:r>
    </w:p>
    <w:p>
      <w:pPr>
        <w:spacing w:after="0" w:line="11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self-amplifying mRNA vaccine platform technology. The Company earns grant revenue for performing tasks under the agreement.</w:t>
      </w:r>
    </w:p>
    <w:p>
      <w:pPr>
        <w:spacing w:after="0" w:line="4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income (loss).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the remaining available funding net of revenue earned was $41.6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and accrued liabilities approximate their respective fair values due to their relatively short maturities.</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balances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18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80" w:type="dxa"/>
            <w:vAlign w:val="bottom"/>
            <w:shd w:val="clear" w:color="auto" w:fill="CFF0FC"/>
          </w:tcPr>
          <w:p>
            <w:pPr>
              <w:spacing w:after="0"/>
              <w:rPr>
                <w:sz w:val="20"/>
                <w:szCs w:val="20"/>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tcPr>
          <w:p>
            <w:pPr>
              <w:spacing w:after="0"/>
              <w:rPr>
                <w:sz w:val="20"/>
                <w:szCs w:val="20"/>
                <w:color w:val="auto"/>
              </w:rPr>
            </w:pP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FF0FC"/>
          </w:tcPr>
          <w:p>
            <w:pPr>
              <w:spacing w:after="0"/>
              <w:rPr>
                <w:sz w:val="21"/>
                <w:szCs w:val="2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tcPr>
          <w:p>
            <w:pPr>
              <w:spacing w:after="0"/>
              <w:rPr>
                <w:sz w:val="20"/>
                <w:szCs w:val="20"/>
                <w:color w:val="auto"/>
              </w:rPr>
            </w:pPr>
          </w:p>
        </w:tc>
      </w:tr>
      <w:tr>
        <w:trPr>
          <w:trHeight w:val="24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FF0FC"/>
          </w:tcPr>
          <w:p>
            <w:pPr>
              <w:spacing w:after="0"/>
              <w:rPr>
                <w:sz w:val="21"/>
                <w:szCs w:val="21"/>
                <w:color w:val="auto"/>
              </w:rPr>
            </w:pPr>
          </w:p>
        </w:tc>
      </w:tr>
      <w:tr>
        <w:trPr>
          <w:trHeight w:val="232"/>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18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80" w:type="dxa"/>
            <w:vAlign w:val="bottom"/>
            <w:tcBorders>
              <w:top w:val="single" w:sz="8" w:color="CFF0FC"/>
            </w:tcBorders>
          </w:tcPr>
          <w:p>
            <w:pPr>
              <w:spacing w:after="0"/>
              <w:rPr>
                <w:sz w:val="20"/>
                <w:szCs w:val="20"/>
                <w:color w:val="auto"/>
              </w:rPr>
            </w:pP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(10,992 )</w:t>
            </w:r>
          </w:p>
        </w:tc>
        <w:tc>
          <w:tcPr>
            <w:tcW w:w="4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(8,740 )</w:t>
            </w:r>
          </w:p>
        </w:tc>
      </w:tr>
      <w:tr>
        <w:trPr>
          <w:trHeight w:val="241"/>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80" w:type="dxa"/>
            <w:vAlign w:val="bottom"/>
            <w:tcBorders>
              <w:top w:val="single" w:sz="8" w:color="CFF0FC"/>
            </w:tcBorders>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-505460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$0.9 million and $2.7 million for the three and nine months ended September 30, 2024, respectively, and $0.8 million and $2.1 million for the three and nine months ended September 30, 2023, respectively. Construction in progress is primarily comprised of research equipment not yet placed in service.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6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80" w:type="dxa"/>
            <w:vAlign w:val="bottom"/>
            <w:shd w:val="clear" w:color="auto" w:fill="CFF0FC"/>
          </w:tcPr>
          <w:p>
            <w:pPr>
              <w:spacing w:after="0"/>
              <w:rPr>
                <w:sz w:val="20"/>
                <w:szCs w:val="20"/>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Cystic Fibrosis Foundation liability</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80" w:type="dxa"/>
            <w:vAlign w:val="bottom"/>
          </w:tcPr>
          <w:p>
            <w:pPr>
              <w:spacing w:after="0"/>
              <w:rPr>
                <w:sz w:val="20"/>
                <w:szCs w:val="20"/>
                <w:color w:val="auto"/>
              </w:rPr>
            </w:pP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FF0FC"/>
          </w:tcPr>
          <w:p>
            <w:pPr>
              <w:spacing w:after="0"/>
              <w:rPr>
                <w:sz w:val="21"/>
                <w:szCs w:val="2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80" w:type="dxa"/>
            <w:vAlign w:val="bottom"/>
          </w:tcPr>
          <w:p>
            <w:pPr>
              <w:spacing w:after="0"/>
              <w:rPr>
                <w:sz w:val="20"/>
                <w:szCs w:val="20"/>
                <w:color w:val="auto"/>
              </w:rPr>
            </w:pP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FF0FC"/>
          </w:tcPr>
          <w:p>
            <w:pPr>
              <w:spacing w:after="0"/>
              <w:rPr>
                <w:sz w:val="21"/>
                <w:szCs w:val="2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Vinbiocare contractual liabilities</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20"/>
                <w:szCs w:val="20"/>
                <w:color w:val="auto"/>
              </w:rPr>
            </w:pPr>
          </w:p>
        </w:tc>
      </w:tr>
      <w:tr>
        <w:trPr>
          <w:trHeight w:val="243"/>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research and development expenses</w:t>
            </w:r>
          </w:p>
        </w:tc>
        <w:tc>
          <w:tcPr>
            <w:tcW w:w="4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32,396</w:t>
            </w:r>
          </w:p>
        </w:tc>
        <w:tc>
          <w:tcPr>
            <w:tcW w:w="6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8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43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wholly-owned subsidiary, Arcturus Therapeutics, Inc. (“Arcturus Therapeutics”) entered into a credit agreement with Wells Fargo Bank on April 21, 2023, and amended on June 26, 2024, whereby Wells Fargo will make a $50.0 million revolving credit line available to the Company (the “Loan”) and each draw on the Loan evidenced by a revolving line of credit note (the “Note”).</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r>
    </w:p>
    <w:p>
      <w:pPr>
        <w:spacing w:after="0" w:line="7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term of the agreement was originally two years, with an option for one-year renewals subject to Wells Fargo approval and Arcturus Therapeutics furnishing to Wells Fargo a non-refundable commitment fee equal to 0.25% of the Loan amount for each such renewal. There is no penalty for terminating the facility prior to the maturity date of the Note. As collateral, the Company has agreed to pledge $55.0 million in cash to be held in the Company’s securities accounts with Wells Fargo Securities, LLC, an affiliate of Wells Fargo, pursuant to a security agreement. In June 2024, Arcturus Therapeutics and Wells Fargo entered into an amendment to the Note, whereby the term of the Note was extended by one year to April 2026. No borrowings were outstanding as of September 30,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per Share</w:t>
      </w:r>
    </w:p>
    <w:p>
      <w:pPr>
        <w:spacing w:after="0" w:line="119"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calculation of diluted net loss per share for the three and nine months ended September 30, 2024 as they were anti-dilutive totaled 0.7 million and 1.1 million, respectively, and 1.2 million and 0.8 million for the three and nine months ended September 30,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Agreement</w:t>
      </w:r>
    </w:p>
    <w:p>
      <w:pPr>
        <w:spacing w:after="0" w:line="78" w:lineRule="exact"/>
        <w:rPr>
          <w:sz w:val="20"/>
          <w:szCs w:val="20"/>
          <w:color w:val="auto"/>
        </w:rPr>
      </w:pPr>
    </w:p>
    <w:p>
      <w:pPr>
        <w:ind w:firstLine="509"/>
        <w:spacing w:after="0" w:line="226" w:lineRule="exact"/>
        <w:rPr>
          <w:sz w:val="20"/>
          <w:szCs w:val="20"/>
          <w:color w:val="auto"/>
        </w:rPr>
      </w:pPr>
      <w:r>
        <w:rPr>
          <w:rFonts w:ascii="Times New Roman" w:cs="Times New Roman" w:eastAsia="Times New Roman" w:hAnsi="Times New Roman"/>
          <w:sz w:val="18"/>
          <w:szCs w:val="18"/>
          <w:color w:val="auto"/>
        </w:rPr>
        <w:t>On December 23, 2022, the Company entered into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which was amended on August 7, 2023 (as amended, the “Sales Agreement”) with Cantor Fitzgerald &amp; Co. (“Cantor”),Wells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$200,000,000 from time to time through Cantor, Wells Fargo Securities, or William Blair, each acting as the Company's sales agent. During the period ended September 30, 2024 the Company did not offer or sell any shares of common stock pursuant to the Sales Agreement.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 Expense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September 30, 2024, a total of 2,203,234 shares remain available for future issuance under the 2019 Plan, subject to the terms of the 2019 Plan.</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As of September 30, 2024, a total of 124,697 shares remain available for future issuance under the 2021 Plan, subject to the terms of the 2021 Plan.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included in the Company’s condensed consolidated statements of operations and comprehensive loss for the three and nine months ended September 30, 2024 and 2023 was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shd w:val="clear" w:color="auto" w:fill="CFF0FC"/>
          </w:tcPr>
          <w:p>
            <w:pPr>
              <w:spacing w:after="0"/>
              <w:rPr>
                <w:sz w:val="20"/>
                <w:szCs w:val="20"/>
                <w:color w:val="auto"/>
              </w:rPr>
            </w:pPr>
          </w:p>
        </w:tc>
      </w:tr>
      <w:tr>
        <w:trPr>
          <w:trHeight w:val="243"/>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tcPr>
          <w:p>
            <w:pPr>
              <w:spacing w:after="0"/>
              <w:rPr>
                <w:sz w:val="21"/>
                <w:szCs w:val="21"/>
                <w:color w:val="auto"/>
              </w:rPr>
            </w:pPr>
          </w:p>
        </w:tc>
      </w:tr>
      <w:tr>
        <w:trPr>
          <w:trHeight w:val="277"/>
        </w:trPr>
        <w:tc>
          <w:tcPr>
            <w:tcW w:w="52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is due to federal and state income tax expense offset by valuation allowance on the Company's deferred tax assets.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recorded $0.2 million of income tax benefit and for the nine months ended September 30, 2024, the Company recorded no income tax benefit. For the three and nine months ended September 30, 2023, the Company recorded $0.9 million and $1.6 million of income tax expense,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Cystic Fibrosis Foundation Agreement</w:t>
      </w:r>
    </w:p>
    <w:p>
      <w:pPr>
        <w:spacing w:after="0" w:line="11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On September 25, 2023, the Company amended its Development Program Letter Agreement, dated May 16, 2017 and as amended July 13, 2018 and August 1, 2019, with the Cystic Fibrosis Foundation (“CFF”). Pursuant to the amendment, CFF increased the amount it will award to advance LUNAR-CF to $24.6 million from approximately $15.6 million and the Company agreed to incur at least $15.0 million toward activities under the research plan. Total expense of $0.3 million was recognized during the three months ended September 30, 2024. Total contra expense of $0.5 million was recognized during the nine months ended September 30, 2024. For both the three and nine months ended September 30, 2023, the Company recognized contra expense of $1.8 million. As of September 30, 2024 and December 31, 2023, $7.1 million and $7.6 million, respectively, remained in accrued liabilities.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In March 2024, the Company negotiated with the lessor to extend the lease through March 2027.</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entered into an irrevocable standby letter of credit with the landlord for a security deposit of $0.1 million upon executing the lease which is included (along with additional funds required to secure the letter of credit) in the balance of non-current restricted cash.</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this office space with no intention of operating out of the location in the future. The Company was still engaged in the lease for the property and obligated to make the remaining lease payments through March 31, 2025, and therefore recorded an impairment loss in the amount of $1.3 million during the three months ended March 31, 2024, as there was no future economic benefit from the lease. In July 2024, the Company terminated the existing lease agreement, in accordance with its terms, thereby ending their contractual obligation to pay for the premises. As a result, no lease liability remains as of September 30, 2024.</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third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the remaining payments of the operating lease liability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21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Remaining Lease Payments</w:t>
            </w:r>
          </w:p>
        </w:tc>
      </w:tr>
      <w:tr>
        <w:trPr>
          <w:trHeight w:val="237"/>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(remainder of year)</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18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0"/>
                <w:szCs w:val="20"/>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(5,580 )</w:t>
            </w:r>
          </w:p>
        </w:tc>
        <w:tc>
          <w:tcPr>
            <w:tcW w:w="60" w:type="dxa"/>
            <w:vAlign w:val="bottom"/>
          </w:tcPr>
          <w:p>
            <w:pPr>
              <w:spacing w:after="0"/>
              <w:rPr>
                <w:sz w:val="20"/>
                <w:szCs w:val="20"/>
                <w:color w:val="auto"/>
              </w:rPr>
            </w:pPr>
          </w:p>
        </w:tc>
      </w:tr>
      <w:tr>
        <w:trPr>
          <w:trHeight w:val="277"/>
        </w:trPr>
        <w:tc>
          <w:tcPr>
            <w:tcW w:w="7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-325120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-307975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costs consist of the fixed lease payments included in operating lease liability and are recorded on a straight-line basis over the lease terms. Operating lease costs were $1.3 million and $4.1 million for the three and nine months ended September 30, 2024, respectively, and $1.4 million and $4.2 million for the three and nine months ended September 30,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 Joint Ventures, Equity Method Investments and Variable Interest Entities” for specific details surrounding the Company’s agreement with Axcelead to form the joint venture entity, ARCALIS, Inc.</w:t>
      </w: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05" w:right="719" w:bottom="1440" w:gutter="0" w:footer="0" w:header="0"/>
        </w:sectPr>
      </w:pPr>
    </w:p>
    <w:bookmarkStart w:id="19" w:name="page20"/>
    <w:bookmarkEnd w:id="19"/>
    <w:p>
      <w:pPr>
        <w:ind w:left="3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32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is a discussion of the financial condition and results of operations of Arcturus Therapeutics Holdings Inc. for the three- and nine-month periods ended September 30, 2024.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2023 (the “2023 Annual Report”), which was filed with the U.S. Securities and Exchange Commission (the “Commission”) on March 14, 2024. Unless otherwise defined herein, capitalized words and expressions used herein shall have the same meanings ascribed to them in the 2023 Annual Report.</w:t>
      </w:r>
    </w:p>
    <w:p>
      <w:pPr>
        <w:spacing w:after="0" w:line="6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This report also includes certain statements based solely on information, reports and studies provided by or conducted by Seqirus, Inc. and Meiji Holdings Co., Ltd or their respective affiliates.</w:t>
      </w:r>
    </w:p>
    <w:p>
      <w:pPr>
        <w:spacing w:after="0" w:line="72"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33" w:lineRule="auto"/>
        <w:rPr>
          <w:sz w:val="20"/>
          <w:szCs w:val="20"/>
          <w:color w:val="auto"/>
        </w:rPr>
      </w:pPr>
      <w:r>
        <w:rPr>
          <w:rFonts w:ascii="Times New Roman" w:cs="Times New Roman" w:eastAsia="Times New Roman" w:hAnsi="Times New Roman"/>
          <w:sz w:val="18"/>
          <w:szCs w:val="18"/>
          <w:color w:val="auto"/>
        </w:rPr>
        <w:t>We are a commercial messenger RNA medicines company focused on the development of infectious disease vaccines and opportunities within liver and respiratory rare diseases. In addition to our messenger RNA (“mRNA”) platform, our proprietary lipid nanoparticle (“LNP”) delivery system,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may enable multiple nucleic acid medicines. Our proprietary self-amplifying mRNA technology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has been demonstrated to be longer lasting and broader response at lower dose levels than conventional mRNA. In 2023, our COVID-19 vaccine, ARCT-154 (also referred to as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received marketing authorization approval in Japan, and in September 2024 KOSTAIVE became the world’s first approved and commercially available self-amplifying RNA (sa-mRNA) vaccine.</w:t>
      </w:r>
    </w:p>
    <w:p>
      <w:pPr>
        <w:spacing w:after="0" w:line="9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Vaccine Collaboration with CSL Seqirus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November 2022, we entered into a Collaboration and License Agreement (as amended, the “CSL Collaboration Agreement”) with Seqirus, Inc. (“CSL Seqirus”), a part of CSL Limited, and one of the world’s leading influenza vaccine providers, for global exclusive rights to research, develop, manufacture and commercialize self-amplifying mRNA vaccines against COVID-19, influenza and three other respiratory infectious diseases and global non-exclusive rights to pandemic pathogens. The CSL Collaboration Agreement became effective on December 8, 2022. The collaboration combines CSL Seqirus’ established global vaccine commercial and manufacturing infrastructure with Arcturus’ manufacturing expertise and innovative STARR self-amplifying mRNA vaccine and LUNAR delivery platform technologies. Under the framework of our collaboration with CSL Seqirus, we continue the development of the COVID-19 vaccine to establish a differentiated platform and address routine recommendations for periodic vaccine composition updates in a timely manner.</w:t>
      </w:r>
    </w:p>
    <w:p>
      <w:pPr>
        <w:spacing w:after="0" w:line="90" w:lineRule="exact"/>
        <w:rPr>
          <w:sz w:val="20"/>
          <w:szCs w:val="20"/>
          <w:color w:val="auto"/>
        </w:rPr>
      </w:pPr>
    </w:p>
    <w:p>
      <w:pPr>
        <w:ind w:right="180" w:firstLine="509"/>
        <w:spacing w:after="0" w:line="237" w:lineRule="auto"/>
        <w:rPr>
          <w:sz w:val="20"/>
          <w:szCs w:val="20"/>
          <w:color w:val="auto"/>
        </w:rPr>
      </w:pPr>
      <w:r>
        <w:rPr>
          <w:rFonts w:ascii="Times New Roman" w:cs="Times New Roman" w:eastAsia="Times New Roman" w:hAnsi="Times New Roman"/>
          <w:sz w:val="18"/>
          <w:szCs w:val="18"/>
          <w:color w:val="auto"/>
        </w:rPr>
        <w:t>In November 2023,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self-amplifying messenger RNA (sa-mRNA) vaccine, received marketing authorization approval from the Japanese Ministry of Health, Labour and Welfare for use as a primary immunization and booster in Japan for adults 18 years and older. The approval was based on positive clinical data from several ARCT-154 studies, including a 19,000-subject efficacy, safety, and immunogenicity study performed in Vietnam, as well as a Phase 3 booster study in Japan.</w:t>
      </w:r>
    </w:p>
    <w:p>
      <w:pPr>
        <w:spacing w:after="0" w:line="100" w:lineRule="exact"/>
        <w:rPr>
          <w:sz w:val="20"/>
          <w:szCs w:val="20"/>
          <w:color w:val="auto"/>
        </w:rPr>
      </w:pPr>
    </w:p>
    <w:p>
      <w:pPr>
        <w:ind w:firstLine="509"/>
        <w:spacing w:after="0" w:line="234" w:lineRule="auto"/>
        <w:rPr>
          <w:sz w:val="20"/>
          <w:szCs w:val="20"/>
          <w:color w:val="auto"/>
        </w:rPr>
      </w:pPr>
      <w:r>
        <w:rPr>
          <w:rFonts w:ascii="Times New Roman" w:cs="Times New Roman" w:eastAsia="Times New Roman" w:hAnsi="Times New Roman"/>
          <w:sz w:val="18"/>
          <w:szCs w:val="18"/>
          <w:color w:val="auto"/>
        </w:rPr>
        <w:t>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brand name approved in Japan for ARCT-154, which is the version of the sa-mRNA COVID vaccine encoding the ancestral strain of SARS-CoV-2, and for updated variant-specific versions of this vaccine. We may use KOSTAIVE or the specific internally generated name, such as ARCT-154, ARCT-2302 and ARCT-2303, to identify the vaccine.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2024, we announced that Japan’s Ministry of Health, Labor and Welfare (MHLW) granted approval and authorization for an updated version of KOSTAIVE, targeted to protect against the JN.1 lineage of Omicron subvariants for adults 18 years of age and older. CSL’s exclusive partner in Japan, Meiji Holdings Co., Ltd (“Meiji”) began distributing the updated vaccine in Japan in October 2024, marking the world’s first commercially available sa-mRNA COVID-19 vaccine for adults 18 and older. The approval was based on manufacturing data demonstrating the quality and consistency of the vaccine product, non-clinical immunogenicity data against JN.1 lineage of Omicron subvariants of KOSTAIVE (JN.1), and clinical evidence supporting the safety and immunogenicity of KOSTAIVE (bivalent, BA.4/5 and ancestral strain).</w:t>
      </w:r>
    </w:p>
    <w:p>
      <w:pPr>
        <w:spacing w:after="0" w:line="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European Medicines Agency (EMA) is currently reviewing a marketing authorization application for ARCT-154. The review procedure started on August 17, 2023.</w:t>
      </w:r>
    </w:p>
    <w:p>
      <w:pPr>
        <w:spacing w:after="0" w:line="54" w:lineRule="exact"/>
        <w:rPr>
          <w:sz w:val="20"/>
          <w:szCs w:val="20"/>
          <w:color w:val="auto"/>
        </w:rPr>
      </w:pPr>
    </w:p>
    <w:p>
      <w:pPr>
        <w:ind w:right="160" w:firstLine="509"/>
        <w:spacing w:after="0" w:line="238" w:lineRule="auto"/>
        <w:rPr>
          <w:sz w:val="20"/>
          <w:szCs w:val="20"/>
          <w:color w:val="auto"/>
        </w:rPr>
      </w:pPr>
      <w:r>
        <w:rPr>
          <w:rFonts w:ascii="Times New Roman" w:cs="Times New Roman" w:eastAsia="Times New Roman" w:hAnsi="Times New Roman"/>
          <w:sz w:val="18"/>
          <w:szCs w:val="18"/>
          <w:color w:val="auto"/>
        </w:rPr>
        <w:t>Earlier this year, CSL Seqirus’ partner Meiji Seika Pharma announced that it submitted a partial change application for an amendment to the manufacturing and marketing approval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to include manufacturing sites in Japan, including ARCALIS, Inc., Arcturus’ manufacturing joint venture in Japan. Meiji Seika Pharma will begin selling domestically produced KOSTAIVE</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this season.</w:t>
      </w:r>
    </w:p>
    <w:p>
      <w:pPr>
        <w:spacing w:after="0" w:line="3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Studies of KOSTAIVE (COVID-19 vaccine)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our collaboration with CSL Seqirus, we continue to collect data from the various ongoing studies described below.</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Pivotal Phase 3 Non-Inferiority Study of KOSTAIVE (ARCT-154) in Japan</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Meiji sponsored a randomized, multicenter, Phase 3, observer-blind, active-controlled comparative study to evaluate the safety and immunogenicity of a booster dose of ARCT-154 and to evaluate the non-inferiority of ARCT-154 over COMIRNATY</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(Monovalent, Original strain). The study targeted 780 adult participants, with half in the ARCT-154 group and half in a comparator group, and completed enrollment with 828 participants in February 2023. The study met all primary and secondary immunogenicity endpoints, including a secondary pre-defined superiority assessment over COMIRNATY</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(Omicron BA.4/5 strain). Overall, the safety and immunogenicity results of the study support the favorable benefit/risk profile of the ARCT-154 vaccine when administered as a booster dose in adult individuals who previously received other mRNA COVID-19 vaccines.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 2024, the journal Lancet Infectious Diseases published the article ‘Persistence of immune responses of a self-amplifying RNA COVID-19 vaccine (ARCT154) versus BNT162b2’ (https://www.thelancet.com/journals/laninf/article/PIIS1473-3099(24)00060-4/fulltext), with six-month follow-up results from this study. These additional data demonstrate the extended persistence of neutralizing antibodies after administration with ARCT-154 compared with conventional mRNA vaccine in the clinical setting, indicating longer-lasting immunity and implying a longer duration of protection by ARCT-154.</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September 30, 2024, we announced results from this study demonstrating that ARCT-154 maintained superior immunogenicity compared to the conventional mRNA vaccine (COMIRNATY) for up to 12 months against Wuhan-Hu-1, Omicron BA.4-5 and certain other COVID-19 variants, and at one-sixth the dose of the comparator (5µg vs 30µg, respectively).</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October 2024, Lancet Infectious Diseases published the follow-up article ‘12-month persistence of immune responses to self-amplifying mRNA COVID-19 vaccines: ARCT-154 versus BNT162b2 vaccine’ (</w:t>
      </w:r>
      <w:r>
        <w:rPr>
          <w:rFonts w:ascii="Times New Roman" w:cs="Times New Roman" w:eastAsia="Times New Roman" w:hAnsi="Times New Roman"/>
          <w:sz w:val="18"/>
          <w:szCs w:val="18"/>
          <w:u w:val="single" w:color="auto"/>
          <w:color w:val="0000FF"/>
        </w:rPr>
        <w:t>https://www.thelancet.com/journals/laninf/article/PIIS1473-3099(24)00615-7/fulltext</w:t>
      </w:r>
      <w:r>
        <w:rPr>
          <w:rFonts w:ascii="Times New Roman" w:cs="Times New Roman" w:eastAsia="Times New Roman" w:hAnsi="Times New Roman"/>
          <w:sz w:val="18"/>
          <w:szCs w:val="18"/>
          <w:color w:val="auto"/>
        </w:rPr>
        <w:t>), which confirmed a better neutralizing immune response against a panel of SARS-CoV-2 strains in pre-immunized Japanese adults boosted with ARCT-154 compared with the conventional mRNA vaccine, BNT162b2, which persisted up to 12 months post-vaccination, including in those age 50 years and older.</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Phase 3 Study of Bivalent Version of COVID-19 KOSTAIVE in Japan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September 29, 2023, Meiji initiated an additional Phase 3 clinical study with ARCT-2301, a bivalent version of KOSTAIVE (ancestral strain and Omicron BA.4/5) to further support immunogenicity and safety data for our self-amplifying mRNA platform, which may facilitate the timely release of future seasonal updates of our COVID-19 vaccine against evolving variants of concern. On March 19, 2024, Meiji announced that the bivalent vaccine met the primary study endpoint (non-inferiority). The study enrolled 930 healthy adults and individuals with comorbidities, who previously received three to five doses of mRNA COVID-19 vaccines, including the last booster at least three months prior to recruitment. The study compares the investigational vaccine (ARCT-2301) and COMIRNATY (ancestral strain and BA.4/5) to evaluate safety and immunogenicity between observer-blind groups. Both the geometric mean titer (GMT) ratio and seroresponse rate (SRR) difference of neutralizing antibodies against SARS-CoV-2 (Omicron BA.4/5 and Wuhan strains) met pre-specified non-inferiority and superiority criteria versus COMIRNATY. There were no causally-associated severe or serious adverse events with ARCT-2301.</w:t>
      </w:r>
    </w:p>
    <w:p>
      <w:pPr>
        <w:spacing w:after="0" w:line="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September 2024, we announced 6-month immunogenicity and safety results from this study. As with the monovalent vaccine, the bivalent sa-mRNA formulation demonstrates superior immunogenicity over the conventional bivalent mRNA vaccine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300"/>
        <w:spacing w:after="0" w:line="266" w:lineRule="auto"/>
        <w:rPr>
          <w:sz w:val="20"/>
          <w:szCs w:val="20"/>
          <w:color w:val="auto"/>
        </w:rPr>
      </w:pPr>
      <w:r>
        <w:rPr>
          <w:rFonts w:ascii="Times New Roman" w:cs="Times New Roman" w:eastAsia="Times New Roman" w:hAnsi="Times New Roman"/>
          <w:sz w:val="18"/>
          <w:szCs w:val="18"/>
          <w:color w:val="auto"/>
        </w:rPr>
        <w:t>COMIRNATY, a higher immune response persisting up to six months after a booster dose, and improved breadth, supporting the robustness of the sa-mRNA vaccine platform for future vaccine strain updates. The study results were presented at OPTIONS XII for the Control of Influenza conference in Brisbane, Australia, in September 2024.</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Phase 3 Study in Southern Hemisphere of KOSTAIVE (Monovalent XBB1.5)</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2024, Arcturus and CSL Seqirus initiated a Phase 3 pivotal study with the ARCT-2303 candidate vaccine containing the XBB1.5 Omicron variant. The study aims to generate additional immunogenicity and safety data in multiple ethnicities to support regulatory filings in the US and globally. In addition, the study will assess the co-administration of the ARCT-2303 vaccine with the age-appropriate seasonal influenza vaccines. Overall, 1,499 young and older adults were recruited in the study in Australia, Costa Rica, Honduras and the Philippines.</w:t>
      </w:r>
    </w:p>
    <w:p>
      <w:pPr>
        <w:spacing w:after="0" w:line="72"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The study results show that all four primary study objectives and key secondary study objectives were met. ARCT-2303 demonstrated superior immune response compared to ARCT-154 as measured by neutralizing antibodies against Omicron XBB.1.5 in terms of GMT ratio and SCR difference. Co-administration of ARCT-2303 and quadrivalent influenza vaccine (QIV; Flucelvax, CSL) in adults 18-64 years old showed noninferior immune response compared to standalone QIV. Co-administration of ARCT-2303 and QIV also showed noninferior immune response compared to standalone ARCT-2303. Co-administration of ARCT-2303 and adjuvanted QIV (Fluad, CSL) in adults 65 years of age and above showed similar results for co-administered and separately administered groups. The safety and reactogenicity of co-administered vaccines were comparable with standalone administration. No safety concerns were raised based on the study results.</w:t>
      </w:r>
    </w:p>
    <w:p>
      <w:pPr>
        <w:spacing w:after="0" w:line="3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Seasonal Flu Collaboration Program Updates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LUNAR-qsFLU (qs; quadrivalent seasonal) program, now exclusively licensed to CSL Seqirus, has the objective of producing a safe and effective seasonal influenza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we do not expect mRNA vaccines to face the challenge from mutations common to egg-grown vaccines.</w:t>
      </w:r>
    </w:p>
    <w:p>
      <w:pPr>
        <w:spacing w:after="0" w:line="7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LUNAR-qsFLU has been designed to take advantage of our expertise in both LUNAR lipid delivery systems and our STARR self-amplifying mRNA technology. This platform has been shown to deliver effective protection against COVID-19 and has been optimized to elicit robust immunogenicity with acceptable reactogenicity at a lower dose than conventional mRNA vaccines with the objective of creating a highly effective influenza vaccine for use in general and high-risk populations. Working with CSL Seqirus, we generated a comprehensive non-clinical data package to support the initiation of the Phase 1 clinical trial with a novel influenza sa-mRNA vaccine candidate. A Phase 1 dose-finding safety and immunogenicity study was initiated in January 2024 in Australia.</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Pandemic Influenza Program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LUNAR-pandFLU program continues to progress under the award from the Biomedical Advanced Research and Development Authority (“BARDA”) that we obtained in 2022. The program includes all non-clinical, manufacturing, and regulatory support to advance a vaccine to protect against disease caused by H5N1 highly pathogenic avian influenza. A pre-IND meeting was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760"/>
        <w:spacing w:after="0" w:line="282" w:lineRule="auto"/>
        <w:rPr>
          <w:sz w:val="20"/>
          <w:szCs w:val="20"/>
          <w:color w:val="auto"/>
        </w:rPr>
      </w:pPr>
      <w:r>
        <w:rPr>
          <w:rFonts w:ascii="Times New Roman" w:cs="Times New Roman" w:eastAsia="Times New Roman" w:hAnsi="Times New Roman"/>
          <w:sz w:val="18"/>
          <w:szCs w:val="18"/>
          <w:color w:val="auto"/>
        </w:rPr>
        <w:t>granted, and a Written Response Only (“WRO”) was received for integration into future development plans. Nonclinical safety studies have been completed that will enable the Phase 1 clinical trial.</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IND application was submitted on October 9, 2024. Enrollment for a Phase 1 clinical trial designed to evaluate the safety and immunogenicity of ARCT-2304 (LUNAR-pandFLU candidate vaccine) is expected to begin before the end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Updates on Arcturus-Owned mRNA Therapeutic Development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represents our current pipeline of Arcturus-owned mRNA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85725</wp:posOffset>
            </wp:positionV>
            <wp:extent cx="6172200" cy="1525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LUNAR-OTC/ARCT-810</w:t>
      </w:r>
    </w:p>
    <w:p>
      <w:pPr>
        <w:spacing w:after="0" w:line="117" w:lineRule="exact"/>
        <w:rPr>
          <w:rFonts w:ascii="Times New Roman" w:cs="Times New Roman" w:eastAsia="Times New Roman" w:hAnsi="Times New Roman"/>
          <w:sz w:val="18"/>
          <w:szCs w:val="18"/>
          <w:color w:val="auto"/>
        </w:rPr>
      </w:pPr>
    </w:p>
    <w:p>
      <w:pPr>
        <w:ind w:left="1540" w:right="40" w:hanging="50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Phase 1b study in stable OTC-deficient adults was completed in the United States in September 2023. The trial assessed safety, tolerability and pharmacokinetics of a single dose of ARCT-810, and exploratory biomarkers of drug activity. The Phase 1b study was a single ascending dose, placebo-controlled study that enrolled 16 adults with mild OTC-deficiency. ARCT-810 was generally safe and well tolerated at doses ranging from 0.1-0.5mg/kg and no serious or severe adverse events were observed. Sporadic infusion-related reactions (IRRs) were managed with symptomatic treatment and appeared to be less frequent with slower infusion rates. In plasma, ARCT-810 mRNA could be detected up to 4 weeks, while ionizable lipid was no longer measurable after 48 hours, indicating rapid degradation of the lipid nanoparticle that was utilized to deliver ARCT-810 mRNA. Study results were presented at the Society for Inherited Metabolic Disorders meeting in Charlotte, North Carolina in April 2024 and at the annual symposium for the Society for the Study of Inborn Errors of Metabolism in Porto, Portugal in August 2024.</w:t>
      </w:r>
    </w:p>
    <w:p>
      <w:pPr>
        <w:spacing w:after="0" w:line="80" w:lineRule="exact"/>
        <w:rPr>
          <w:rFonts w:ascii="Times New Roman" w:cs="Times New Roman" w:eastAsia="Times New Roman" w:hAnsi="Times New Roman"/>
          <w:sz w:val="18"/>
          <w:szCs w:val="18"/>
          <w:color w:val="auto"/>
        </w:rPr>
      </w:pPr>
    </w:p>
    <w:p>
      <w:pPr>
        <w:ind w:left="1540" w:right="10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Phase 2 double-blind study of ARCT-810 in OTC-deficient adolescents and adults in the European Union and United Kingdom completed dosing of eight subjects in August 2024 at the 0.3 mg/kg dose level. The participants in this group were randomized 3:1 to receive 6 doses of ARCT-810 or placebo administered every 14 days, and follow-up is ongoing.</w:t>
      </w:r>
    </w:p>
    <w:p>
      <w:pPr>
        <w:spacing w:after="0" w:line="67" w:lineRule="exact"/>
        <w:rPr>
          <w:rFonts w:ascii="Times New Roman" w:cs="Times New Roman" w:eastAsia="Times New Roman" w:hAnsi="Times New Roman"/>
          <w:sz w:val="18"/>
          <w:szCs w:val="18"/>
          <w:color w:val="auto"/>
        </w:rPr>
      </w:pPr>
    </w:p>
    <w:p>
      <w:pPr>
        <w:ind w:left="1540" w:right="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are expanding the Phase 2 clinical program of ARCT-810 to the U.S. with an open-label, multiple-dose study to evaluate pharmacodynamics and safety in adult and adolescent patients requiring clinical management for OTC-deficiency. The study is currently recruiting patients.</w:t>
      </w:r>
    </w:p>
    <w:p>
      <w:pPr>
        <w:spacing w:after="0" w:line="67" w:lineRule="exact"/>
        <w:rPr>
          <w:rFonts w:ascii="Times New Roman" w:cs="Times New Roman" w:eastAsia="Times New Roman" w:hAnsi="Times New Roman"/>
          <w:sz w:val="18"/>
          <w:szCs w:val="18"/>
          <w:color w:val="auto"/>
        </w:rPr>
      </w:pPr>
    </w:p>
    <w:p>
      <w:pPr>
        <w:ind w:left="1540" w:right="3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oARCT-810 was granted Orphan Drug Designation in June 2019, Fast Track Designation in May 2023, and Rare Pediatric Disease Designation in June 2023 by the FDA, and Orphan Medicinal Product Designation in August 2022 by the European Commission (EC). by the FDA.</w:t>
      </w:r>
    </w:p>
    <w:p>
      <w:pPr>
        <w:spacing w:after="0" w:line="67"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LUNAR-CF/ARCT-032 – Our program for cystic fibrosis is being supported in part by the Cystic Fibrosis Foundation (“CFF”). In 2023 we initiated and successfully completed a safety and tolerability Phase 1 single ascending dose study of ARCT-032 (LUNAR-CF), our mRNA therapeutic candidate for cystic fibrosis (CF). Thirty-two healthy participants (eight subjects in each of four dose cohorts) received a single inhaled dose of ARCT-032. A subsequent protocol amendment to transition to a safety and tolerability Phase 1b clinical study of ARCT-032 in adults with CF received regulatory approval in August 2023 and completed dosing and follow-up visits for 7 CF participants in August 2024, with each CF participant having received two administrations of ARCT-032 separated by two days.</w:t>
      </w:r>
    </w:p>
    <w:p>
      <w:pPr>
        <w:spacing w:after="0" w:line="79" w:lineRule="exact"/>
        <w:rPr>
          <w:rFonts w:ascii="Times New Roman" w:cs="Times New Roman" w:eastAsia="Times New Roman" w:hAnsi="Times New Roman"/>
          <w:sz w:val="18"/>
          <w:szCs w:val="18"/>
          <w:color w:val="auto"/>
        </w:rPr>
      </w:pPr>
    </w:p>
    <w:p>
      <w:pPr>
        <w:ind w:left="1540" w:hanging="509"/>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 the Phase 1/1b clinical study, ARCT-032 was generally safe and well tolerated in healthy volunteers and in the participants with CF. Of the seven total CF participants in the Phase 1b study, six were being treated with CFTR modulators while one subject had Class I mutations that do not benefit from modulator therapy. No serious or severe adverse events (SAEs) were observed, and the safety profile was similar between healthy volunteers and CF participants. Mild, transient events of elevated temperature or feeling hot accompanied by other nonspecific symptoms were observed at dose levels that are higher than those planned for the Phase 2 study. In the CF subjects, lung function measured over 8 days did not demonstrate a discernable pattern or safety concern after 2 doses 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left="1540" w:right="320"/>
        <w:spacing w:after="0" w:line="282" w:lineRule="auto"/>
        <w:rPr>
          <w:sz w:val="20"/>
          <w:szCs w:val="20"/>
          <w:color w:val="auto"/>
        </w:rPr>
      </w:pPr>
      <w:r>
        <w:rPr>
          <w:rFonts w:ascii="Times New Roman" w:cs="Times New Roman" w:eastAsia="Times New Roman" w:hAnsi="Times New Roman"/>
          <w:sz w:val="18"/>
          <w:szCs w:val="18"/>
          <w:color w:val="auto"/>
        </w:rPr>
        <w:t>ARCT-032. Preliminary findings from the study were presented at the European CF Society Conference in June 2024 in Glasgow, Scotland, and at the North American CF Conference in September 2024 in Boston, MA.</w:t>
      </w:r>
    </w:p>
    <w:p>
      <w:pPr>
        <w:spacing w:after="0" w:line="54" w:lineRule="exact"/>
        <w:rPr>
          <w:sz w:val="20"/>
          <w:szCs w:val="20"/>
          <w:color w:val="auto"/>
        </w:rPr>
      </w:pPr>
    </w:p>
    <w:p>
      <w:pPr>
        <w:ind w:left="1540" w:right="80" w:hanging="514"/>
        <w:spacing w:after="0" w:line="261"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submitted an IND application at the end of July 2024, and on August 29, 2024, the FDA issued a “Study May Proceed” notification for an ARCT-032 Phase 2 multiple ascending dose study designed to identify a safe and effective dose in Class I (null) and other CF participants who do not benefit from CFTR modulators. This study is supported by safety and tolerability data collected in healthy volunteers (N = 32) and the two-administration Phase 1b study.</w:t>
      </w:r>
    </w:p>
    <w:p>
      <w:pPr>
        <w:spacing w:after="0" w:line="71"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European Commission (EC), based on a positive opinion issued by the European Medicines Agency (EMA), granted Orphan Medicinal Product Designation for ARCT-032 to treat CF. ARCT-032 was granted Rare Pediatric Disease Designation in October 2023, and Orphan Drug Designation in November 2023 by the FDA.</w:t>
      </w:r>
    </w:p>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Updates on Research and Platform Activities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continue to invest and improve our LUNAR-lipid mediated delivery of mRNA with continuous improvements in our mRNA and sa-mRNA platforms in conjunction with improvements in our next generation proprietary lipids to improve targeting, efficacy and safety profiles for both our vaccine and therapeutic protein platforms. This investment has led to key innovations ensuring that our LUNAR formulated drug product candidates have optimal characteristics for therapeutic use, which we believe sets us apart from other nucleic acid therapeutics and lipid-mediated delivery platforms. As such, we consider ourselves a leader in the research and development of mRNA therapeutics for multiple indications.</w:t>
      </w:r>
    </w:p>
    <w:p>
      <w:pPr>
        <w:spacing w:after="0" w:line="75"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7"/>
          <w:szCs w:val="17"/>
          <w:color w:val="auto"/>
        </w:rPr>
        <w:t>We continue to conduct exploratory platform development activities, including the evaluation of genome editing, and new targeting approaches, where our LUNAR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STARR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platforms could potentially be useful for identification and development of additional products for our portfolio.</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Discovery Programs – Vaccine Programs (Lyme Disease and Gonorrhea)</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Based on the clinical and regulatory validation of LUNAR and STARR technologies provided by the approval of KOSTAIVE, a self-amplifying messenger RNA (sa-mRNA) vaccine for COVID-19, we initiated new vaccine discovery programs earlier this year for Lyme disease and gonorrhea and continue to progress such programs. The discovery programs rely on the evidence of superior immunogenicity, durability, and breadth of immune response compared to conventional mRNA vaccines, as observed in the COVID-19 program.</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Lyme disease is a bacterial infection and is the most common vector-borne disease in the United States. Infection can spread to joints, the heart and the nervous system. Gonorrhea is a sexually transmitted disease (STD) that can infect the mucous membranes of the reproductive tract. It is the second most commonly reported bacterial sexually transmitted infection in the United States. We selected these diseases based on high unmet medical needs, good understanding of the path forward in vaccine target selection, and demonstration of proof of concept, as well as platform advantages that may be translated in a favorable vaccine product.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Updates on Supply and Manufacturing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 As the market for COVID vaccines shifts from multi-dose vial to lower and single-dose vial presentation, we continue, with our collaborator CSL Seqirus, to evaluate and pursue different forms of drug product presentations, advance manufacturing process and capabilities and technology transfers, and prepare for stockpiling and commercialization of COVID vaccines.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2023. Our historical results of operations and the year-to-year comparisons of our results of operations that follow are not necessarily indicative of future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We expect that sales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by Meiji Holdings Co., Ltd, CSL’s partner in Japan will commence in the fourth quarter of 2024 in Japan. However, revenues for us will be subject to a profit sharing mechanism whereby development costs are deducted from sales revenues prior to any distribution to the Company. The following table summarizes our total revenues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12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45,140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(3,467 )</w:t>
            </w:r>
          </w:p>
        </w:tc>
        <w:tc>
          <w:tcPr>
            <w:tcW w:w="4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4" w:lineRule="exact"/>
        <w:rPr>
          <w:sz w:val="20"/>
          <w:szCs w:val="20"/>
          <w:color w:val="auto"/>
        </w:rPr>
      </w:pPr>
    </w:p>
    <w:p>
      <w:pPr>
        <w:ind w:right="100" w:firstLine="509"/>
        <w:spacing w:after="0" w:line="239" w:lineRule="auto"/>
        <w:rPr>
          <w:sz w:val="20"/>
          <w:szCs w:val="20"/>
          <w:color w:val="auto"/>
        </w:rPr>
      </w:pPr>
      <w:r>
        <w:rPr>
          <w:rFonts w:ascii="Times New Roman" w:cs="Times New Roman" w:eastAsia="Times New Roman" w:hAnsi="Times New Roman"/>
          <w:sz w:val="18"/>
          <w:szCs w:val="18"/>
          <w:color w:val="auto"/>
        </w:rPr>
        <w:t>Revenue decreased by $3.5 million during the three months ended September 30, 2024, as compared to the three months ended September 30, 2023. The decline was mostly attributable to a lower milestone achievement from the CSL agreement during the third quarter of 2024. This decrease was offset by revenue recognized from a supply agreement related to the commercial production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 increase in revenue from the BARDA agreement during the three months ended September 30, 2024.</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326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129,544</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(6,400 )</w:t>
            </w:r>
          </w:p>
        </w:tc>
        <w:tc>
          <w:tcPr>
            <w:tcW w:w="4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Revenue decreased by $6.4 million during the nine months ended September 30, 2024 as compared to the nine months ended September 30, 2023. The decrease was due to the timing and value of milestone achievements and the achievement of a conditional payment during the nine months ended 2023, offset by revenue from supply agreements during the current year. Additionally, there was a decrease in revenue recognized under other agreements during the nine months ended September 30, 2024 due to lower activity or completion of collaboration agreements. The total decrease in revenue was offset by an increase in revenue recognized from the BARDA Contract.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general and administrative expenses.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72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18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17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51,077</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(11,943 )</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155,513</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(4,137 )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52"/>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52,410</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2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(12,044 )</w:t>
            </w:r>
          </w:p>
        </w:tc>
        <w:tc>
          <w:tcPr>
            <w:tcW w:w="136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15"/>
                <w:szCs w:val="15"/>
                <w:color w:val="auto"/>
              </w:rPr>
              <w:t xml:space="preserve">-18.7 % </w:t>
            </w:r>
            <w:r>
              <w:rPr>
                <w:rFonts w:ascii="Times New Roman" w:cs="Times New Roman" w:eastAsia="Times New Roman" w:hAnsi="Times New Roman"/>
                <w:sz w:val="27"/>
                <w:szCs w:val="27"/>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195,877</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(4,058 )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The following table presents our total research and development expenses by category: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80" w:type="dxa"/>
            <w:vAlign w:val="bottom"/>
          </w:tcPr>
          <w:p>
            <w:pPr>
              <w:spacing w:after="0"/>
              <w:rPr>
                <w:sz w:val="13"/>
                <w:szCs w:val="13"/>
                <w:color w:val="auto"/>
              </w:rPr>
            </w:pPr>
          </w:p>
        </w:tc>
        <w:tc>
          <w:tcPr>
            <w:tcW w:w="17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187"/>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External pipeline development expenses:</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LUNAR-COVID, net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24,892</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(12,857 )</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-51.7 %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55,092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71,501</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(16,409 )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LUNAR-OTC, net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(1,111 )</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-55.5 %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(320 )</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BARDA</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2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44.8 %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Early-stage programs</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26,543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10,018</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16,525</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Discovery technologies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(2,591 )</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-55.6 %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(11,813 )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External platform development expenses:</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Personnel related expenses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Facilities and equipment expenses</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(1,317 )</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-47.2 %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8,426</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(521 )</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research and development expenses,</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39,134</w:t>
            </w:r>
          </w:p>
        </w:tc>
        <w:tc>
          <w:tcPr>
            <w:tcW w:w="240" w:type="dxa"/>
            <w:vAlign w:val="bottom"/>
            <w:vMerge w:val="restart"/>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51,077</w:t>
            </w:r>
          </w:p>
        </w:tc>
        <w:tc>
          <w:tcPr>
            <w:tcW w:w="240" w:type="dxa"/>
            <w:vAlign w:val="bottom"/>
            <w:vMerge w:val="restart"/>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(11,943 )</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-23.4 %</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151,376</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155,513</w:t>
            </w: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(4,137 )</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44"/>
        </w:trPr>
        <w:tc>
          <w:tcPr>
            <w:tcW w:w="266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color w:val="auto"/>
              </w:rPr>
              <w:t>net</w:t>
            </w:r>
          </w:p>
        </w:tc>
        <w:tc>
          <w:tcPr>
            <w:tcW w:w="1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-213995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-213995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-213995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-213995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-213995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$39.1 million for the three months ended September 30, 2024, compared with $51.1 million for the three months ended September 30, 2023. The decrease was due to high manufacturing expenses in 2023 for Meiji supply batches and other clinical trial batches which were not incurred in 2024. The decrease was also due to lower facilities and equipment expenses in 2024. This was offset by an increase in clinical trial related expenses. Research and development expenses for the nine months ended September 30, 2024 were $151.4 million compared with $155.5 million for the nine months ended September 30, 2023. The decrease was due to lower manufacturing expenses in 2023 for Meiji supply batches and other clinical trial batches which were not incurred in 2024. Additionally, there was a decrease in consulting expenses as well as facilities and equipment expenses in 2024. This was offset by increased clinical related expenses for the COVID program and increased personnel related expenses in 2024. We expect that our research and development efforts and associated costs will continue to be substantial over the next several years as our pipeline progresses.</w:t>
      </w:r>
    </w:p>
    <w:p>
      <w:pPr>
        <w:spacing w:after="0" w:line="84"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Early-stage programs represent programs that are in the pre-clinical or Phase 1 clinical stage and may be partnered or unpartnered, including the LUNAR-CF and LUNAR-FLU programs. Discovery technologies represent our efforts to expand our product pipeline and are primarily related to pre-partnered studies and new capabilities assessment. For some of our programs, the activities are part of our collaborative and other relationships, and the expenses may be partially offset with funds that have been awarded to the Company. The expenses for early-stage programs and discovery technologies primarily consist of external manufacturing costs, lab supplies, equipment, and consulting and professional fees. Early-stage programs and discovery technologies expenses are expected to steadily increase over the coming years.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Personnel related expenses primarily consist of employee salaries and benefits, share-based compensation and consultants. Although such expenses increased during 2024 as compared to 2023, we expect that they will not increase over the next twelve months.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Facilities and equipment expenses primarily consist of rent expenses, common area maintenance charges, shipping costs, various costs of our offices and laboratories and depreciation expenses. Facilities and equipment expenses are not expected to increase during the next twelve months.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our executive, administrative, legal and accounting functions and professional service fees for legal and accounting services as well as other general and administrative expenses.</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$13.3 million for the three months ended September 30, 2024 compared with $13.4 million for the three months ended September 30, 2023. The decrease in general and administrative expenses was attributable to decreased personnel expenses, partially offset by increased legal and other professional expenses, facilities expenses and other various general and administrative expenses. General and administrative expenses for the nine months ended September 30, 2024 remained consistent compared to the nine months ended September 30, 2023. The Company expects that general and administrative expenses will remain relatively consistent over the next fiscal year with the current pipeline.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300" w:type="dxa"/>
            <w:vAlign w:val="bottom"/>
            <w:gridSpan w:val="5"/>
            <w:vMerge w:val="restart"/>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9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86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18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2300" w:type="dxa"/>
            <w:vAlign w:val="bottom"/>
            <w:gridSpan w:val="5"/>
            <w:vMerge w:val="continue"/>
          </w:tcPr>
          <w:p>
            <w:pPr>
              <w:spacing w:after="0"/>
              <w:rPr>
                <w:sz w:val="16"/>
                <w:szCs w:val="16"/>
                <w:color w:val="auto"/>
              </w:rPr>
            </w:pPr>
          </w:p>
        </w:tc>
        <w:tc>
          <w:tcPr>
            <w:tcW w:w="19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 change</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(183 )</w:t>
            </w: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-4.6 %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2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4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(763 )</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94"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Interest income is generated on cash and cash equivalents. The decrease in interest income for the three months ended September 30, 2024 as compared to the three months ended September 30, 2023 was primarily the result of decreased interest earned on investment accounts. The increase in interest income for the nine months ended September 30, 2024 as compared to the nine months ended September 30, 2023 was primarily the result of increased interest earned on investment accounts caused by higher interest rates. Interest expense during the nine months ended September 30, 2023 was incurred in connection with the Western Alliance Agreement and the Singapore Loan, both of which have since been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90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18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26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gain from foreign currency</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(201 )</w:t>
            </w:r>
          </w:p>
        </w:tc>
        <w:tc>
          <w:tcPr>
            <w:tcW w:w="640" w:type="dxa"/>
            <w:vAlign w:val="bottom"/>
            <w:shd w:val="clear" w:color="auto" w:fill="CCEC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(205 )</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(642 )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(467 )</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(33,953 )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(201 )</w:t>
            </w:r>
          </w:p>
        </w:tc>
        <w:tc>
          <w:tcPr>
            <w:tcW w:w="640" w:type="dxa"/>
            <w:vAlign w:val="bottom"/>
            <w:shd w:val="clear" w:color="auto" w:fill="CCEC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(205 )</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(642 )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220" w:type="dxa"/>
            <w:vAlign w:val="bottom"/>
            <w:shd w:val="clear" w:color="auto" w:fill="CCECFF"/>
          </w:tcPr>
          <w:p>
            <w:pPr>
              <w:spacing w:after="0"/>
              <w:rPr>
                <w:sz w:val="22"/>
                <w:szCs w:val="22"/>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(34,420 )</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25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9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9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-25400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Other income and expense items primarily relate to gains and losses from foreign currency transactions. Additionally, we recorded a gain on debt extinguishment related to the Singapore Loan of $34.0 million during the first quarter of 2023 as a result of the Singapore Loan being forgiven.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Through September 30, 2024,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the Company’s inception through the quarter ended September 30, 2024, the Company has funded its operations principally with the proceeds from the sale of capital stock, long-term debt and revenues earned through collaboration agreements and government contracts. Through the third quarter of 2024, we have achieved a total of approximately $462.1 million in upfront payments and milestones from CSL Seqirus, including a milestone of $25.0 million achieved in the current quarter with payment anticipated in the fourth quarter of 2024. At September 30, 2024, we had $294.1 million in cash and cash equivalents and restricted cash.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CSL Seqirus, Inc. Collaboration and License Agreement</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entered into the CSL Collaboration Agreement with CSL Seqirus, a part of CSL Limited, one of the world’s leading influenza vaccine providers, for the global exclusive rights to research, develop, manufacture and commercialize mRNA vaccines.</w:t>
      </w:r>
    </w:p>
    <w:p>
      <w:pPr>
        <w:spacing w:after="0" w:line="54"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CSL Seqirus received exclusive global rights to our technology for vaccines against SARS-CoV-2 (COVID-19), influenza and three other respiratory infectious diseases and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w:t>
      </w:r>
    </w:p>
    <w:p>
      <w:pPr>
        <w:spacing w:after="0" w:line="7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27" w:name="page28"/>
    <w:bookmarkEnd w:id="27"/>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April 21, 2023, our wholly-owned subsidiary, Arcturus Therapeutics, Inc. entered into a credit agreement with Wells Fargo Bank, National Association (“Wells Fargo”) whereby Wells Fargo agreed to make a $50.0 million revolving credit line available to the Company (the “Wells Fargo Loan”) and each Wells Fargo Loan evidenced by a revolving line of credit note (the “Note”).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Wells Fargo Note),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 As of September 30, 2024, no borrowings were made against the Wells Fargo Note.</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term of the agreement was originally two years, with an option for one-year renewals subject to Wells Fargo approval and the Company furnishing to Wells Fargo a non-refundable commitment fee equal to 0.25% of the Wells Fargo Loan amount for each such renewal. In June 2024, Arcturus Therapeutics and Wells Fargo entered into an amendment to the Note, whereby the term of the Note was extended by one year to April 2026. There is no penalty for terminating the agreement. There is no penalty for terminating the facility prior to the maturity date of the Wells Fargo Note. As collateral, we agreed to pledge $55.0 million in cash to be held in our securities accounts with Wells Fargo Securities, LLC, an affiliate of Wells Fargo, pursuant to a security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from the Biomedical Advanced Research and Development Authority</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September 30, 2024, the remaining available funding net of revenue earned was $41.6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Vinbiocare Agreement</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spacing w:after="0" w:line="8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Vinbiocare Support Agreement requires us to pay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Financial Resources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portion of our current cash balance is expected to be utilized during fiscal year 2024 to fund (i) advances to our LUNAR-CF program in clinical trials, (ii) the continued Phase 2 trial of ARCT-810, our LUNAR-OTC candidate, (iii) expenses incurred prior to customer payments under the CSL Collaboration Agreement and BARDA Contract and (iv) continued exploratory activities related to our platform and other general administrative activities.</w:t>
      </w:r>
    </w:p>
    <w:p>
      <w:pPr>
        <w:spacing w:after="0" w:line="284"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successful clinical trials for OTC and CF and identifying and developing successful mRNA drug and vaccine candidates. If we are not able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our LUNAR-COV19 and LUNAR-FLU vaccine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under our strategic alliance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and/or expanding our manufacturing network and capabilities;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strategic alliance, licensing and other arrangements that we may establish, including those with CSL Seqirus and CSL Seqirus’ arrangement with Meiji, and any related payments thereunder;</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successful completion of preclinical studies and clinical trials for our product candidates, including OTC and CF;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procuring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litigation related to collaboration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2023.</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the 2023 Annual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do not have any foreign currency or other derivative financial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2024, our disclosure controls and procedures were not effective due to the material weaknesses in internal control over financial reporting described below.</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will prevent all error and all fraud. The effectiveness of our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Financing Reporting Existing as of September 30, 2024</w:t>
      </w:r>
    </w:p>
    <w:p>
      <w:pPr>
        <w:spacing w:after="0" w:line="121"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3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Management concluded that the material weaknesses disclosed in the Company’s Annual Report on Form 10-K for the fiscal year ended December 31, 2024 continued to exist as of September 30, 2024. Specifically, management concluded that the following material weaknesses exist as of September 30, 2024:</w:t>
      </w:r>
    </w:p>
    <w:p>
      <w:pPr>
        <w:spacing w:after="0" w:line="68" w:lineRule="exact"/>
        <w:rPr>
          <w:sz w:val="20"/>
          <w:szCs w:val="20"/>
          <w:color w:val="auto"/>
        </w:rPr>
      </w:pPr>
    </w:p>
    <w:p>
      <w:pPr>
        <w:ind w:left="1020" w:right="16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related to information technology general controls (“ITGCs”) that support our financial reporting processes; Management determined that we did not maintain effective controls over (i) user access to ensure appropriate segregation of duties and adequately restrict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 As a result, our related IT dependent manual and application controls that rely upon the affected ITGCs, or information coming from IT systems with affected ITGCs, were also deemed ineffective.</w:t>
      </w:r>
    </w:p>
    <w:p>
      <w:pPr>
        <w:spacing w:after="0" w:line="80"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related to revenue recognition. Management determined that certain control activities within the area of revenue did not operate effectively, specifically controls over the review of costs incurred in satisfaction of our performance obligations under collaboration arrangements.</w:t>
      </w:r>
    </w:p>
    <w:p>
      <w:pPr>
        <w:spacing w:after="0" w:line="6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Material Weaknesses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 We are committed to making the necessary changes and improvements to our system of controls to address the material weaknesses in internal control over financial reporting described above.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renewed emphasis of designing and implementing improved processes and controls involves but is not limited to the following: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available resources with experience designing and implementing control activities, including ITGCs and automated controls, both by hiring internally and the use of third-party consultations and specialists.</w:t>
      </w: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access profiles in IT systems and relevant software, and adjust access review controls accordingly.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 the control to identify access profiles in IT systems and software that result in risks of segregation of duties.</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training with control performers to improve documentation that supports effective control activities, including evidence over the completeness and accuracy of information produced by the Company.</w:t>
      </w:r>
    </w:p>
    <w:p>
      <w:pPr>
        <w:ind w:left="1020" w:right="860" w:hanging="503"/>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technical accounting resource to review our revenue accounting along with financial disclosures for collaboration arrangements on a quarterly basis.</w:t>
      </w:r>
    </w:p>
    <w:p>
      <w:pPr>
        <w:spacing w:after="0" w:line="7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the remediation activities as of the date of this report and believe that upon completion, we will have strengthened our ITGCs, and controls related to accounting for collaboration arrangements to address and successfully remediate the identified material weaknesses. However, control weaknesses are not considered remediated until new internal controls have been operational for a period of time, are tested, and management concludes that these controls are operating effectively. We expect to complete the remediation activities in the fiscal year 2024. We will continue to monitor the effectiveness of these remediation measures, and we will make any changes to the design of this plan and take such other actions that we deem appropriate given the circumstances.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Item 1A of our Annual Report on Form 10-K for the fiscal year ended December 31, 2023, which we strongly encourage you to review. There have been no material changes from the risk factors described in our Annual Report on Form 10-K for the year ended December 31, 2023 filed with the Commission on March 14,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adopted or terminated a "Rule 10b5-1 trading arrangement" (as defined in Item 408 of Regulation S-K of the Exchange Act) intended to satisfy the affirmative defense conditions of Rule 10b5-1(c) under the Exchange Act.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40" w:type="dxa"/>
            <w:vAlign w:val="bottom"/>
            <w:gridSpan w:val="32"/>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42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60" w:type="dxa"/>
            <w:vAlign w:val="bottom"/>
            <w:tcBorders>
              <w:bottom w:val="single" w:sz="8" w:color="auto"/>
            </w:tcBorders>
            <w:gridSpan w:val="3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27"/>
          </w:tcPr>
          <w:p>
            <w:pPr>
              <w:spacing w:after="0" w:line="207"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Controlled Equity Offering</w:t>
              </w:r>
            </w:hyperlink>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w:t>
            </w:r>
            <w:hyperlink r:id="rId167">
              <w:r>
                <w:rPr>
                  <w:rFonts w:ascii="Times New Roman" w:cs="Times New Roman" w:eastAsia="Times New Roman" w:hAnsi="Times New Roman"/>
                  <w:sz w:val="18"/>
                  <w:szCs w:val="18"/>
                  <w:color w:val="0000FF"/>
                </w:rPr>
                <w:t>Sales Agreement, dated as of December 23, 2022 by and between Cantor Fitzgerald &amp; Co, Wells Fargo</w:t>
              </w:r>
            </w:hyperlink>
          </w:p>
        </w:tc>
        <w:tc>
          <w:tcPr>
            <w:tcW w:w="30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Securities, LLC and Arcturus Therapeutics Holdings Inc. Incorporated by reference to Exhibit 1.2 to Registration Statement on Form S-3</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filed on December 23, 2022 (File No. 333269003).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28"/>
          </w:tcPr>
          <w:p>
            <w:pPr>
              <w:spacing w:after="0" w:line="207"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1 to Controlled Equity Offering</w:t>
              </w:r>
            </w:hyperlink>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w:t>
            </w:r>
            <w:hyperlink r:id="rId168">
              <w:r>
                <w:rPr>
                  <w:rFonts w:ascii="Times New Roman" w:cs="Times New Roman" w:eastAsia="Times New Roman" w:hAnsi="Times New Roman"/>
                  <w:sz w:val="18"/>
                  <w:szCs w:val="18"/>
                  <w:color w:val="0000FF"/>
                </w:rPr>
                <w:t>Sales Agreement by and between Cantor Fitzgerald &amp; Co, Wells Fargo Securities,</w:t>
              </w:r>
            </w:hyperlink>
          </w:p>
        </w:tc>
        <w:tc>
          <w:tcPr>
            <w:tcW w:w="28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LLC, William Blair &amp; Company, L.L.C., and Arcturus Therapeutics Holdings Inc. Incorporated by reference to Exhibit 1.1 to Form 8-K</w:t>
              </w:r>
            </w:hyperlink>
          </w:p>
        </w:tc>
        <w:tc>
          <w:tcPr>
            <w:tcW w:w="1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filed on August 7, 2023.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Certificate of Incorporation. Incorporated by reference to Annex B to the proxy statement/prospectus which forms part of the Registration</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Statement on Form S-4 filed on March 18, 2019 (File No. 333-230353).</w:t>
              </w:r>
            </w:hyperlink>
          </w:p>
        </w:tc>
        <w:tc>
          <w:tcPr>
            <w:tcW w:w="4740" w:type="dxa"/>
            <w:vAlign w:val="bottom"/>
            <w:gridSpan w:val="29"/>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Certificate of Amendment, dated November 25, 2020. Incorporated by reference to Exhibit 3.1 to Form 8-K filed on November 25, 2020</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(File No. 001-38942).</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36"/>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Bylaws of Arcturus Therapeutics Holdings Inc. Incorporated by reference to Exhibit 3.2 to the Company’s Registration Statement on</w:t>
              </w:r>
            </w:hyperlink>
          </w:p>
        </w:tc>
        <w:tc>
          <w:tcPr>
            <w:tcW w:w="34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S-3, filed with the SEC on May 8, 2020 (File No. 333-238139).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Description of Registrant’s Securities. Incorporated by reference to Exhibit 4.1 to the Company’s Annual Report on Form 10-K for the</w:t>
              </w:r>
            </w:hyperlink>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year ended December 31, 2021 filed on February 28, 2022 (File No. 001-38942).</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26"/>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Indemnification Agreement. Incorporated by reference to Exhibit 10.1 to the Company’s Annual Report on Form 10-K for the</w:t>
              </w:r>
            </w:hyperlink>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year ended December 31, 2019 filed on March 16, 2020 (File No. 001-38942).</w:t>
              </w:r>
            </w:hyperlink>
          </w:p>
        </w:tc>
        <w:tc>
          <w:tcPr>
            <w:tcW w:w="4300" w:type="dxa"/>
            <w:vAlign w:val="bottom"/>
            <w:gridSpan w:val="28"/>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2019 Omnibus Equity Incentive Plan. Incorporated by reference Exhibit 4.3 to the Registration Statement on</w:t>
              </w:r>
            </w:hyperlink>
          </w:p>
        </w:tc>
        <w:tc>
          <w:tcPr>
            <w:tcW w:w="38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S-8 filed on August 5, 2020 (File No. 333-240397).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Amended and Restated Amendment to Development and Option Agreement, dated as of September 28, 2018, by and between CureVac</w:t>
              </w:r>
            </w:hyperlink>
          </w:p>
        </w:tc>
        <w:tc>
          <w:tcPr>
            <w:tcW w:w="1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AG and Arcturus Therapeutics Inc. Incorporated by reference to Exhibit 99.2 to the Company’s Report of Foreign Private Issuer on Form</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6-K filed on October 1,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Research and Exclusive License Agreement, by and between Arcturus Therapeutics, Inc. and Synthetic Genomics, Inc., effective October</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24, 2017. Incorporated by reference to Exhibit 4.8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282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Research Collaboration and License Agreement, by and between Arcturus Therapeutics, Inc. and Ultragenyx Pharmaceutical Inc., entered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into as of October 26, 2015, as amended October 17, 2017 and April 20, 2018. Incorporated by reference to Exhibit 4.10 to Form 20-F</w:t>
              </w:r>
            </w:hyperlink>
          </w:p>
        </w:tc>
        <w:tc>
          <w:tcPr>
            <w:tcW w:w="2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EE"/>
            </w:tcBorders>
            <w:gridSpan w:val="4"/>
            <w:shd w:val="clear" w:color="auto" w:fill="0000FF"/>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Third Amendment to Research Collaboration and License Agreement, by and between Arcturus Therapeutics, Inc. and Ultragenyx</w:t>
              </w:r>
            </w:hyperlink>
          </w:p>
        </w:tc>
        <w:tc>
          <w:tcPr>
            <w:tcW w:w="52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Pharmaceutical Inc., effective June 18, 2019. Incorporated by reference to Exhibit 10.2 to Form 8-K filed on June 20, 2019 (File No. 001-</w:t>
              </w:r>
            </w:hyperlink>
          </w:p>
        </w:tc>
      </w:tr>
      <w:tr>
        <w:trPr>
          <w:trHeight w:val="196"/>
        </w:trPr>
        <w:tc>
          <w:tcPr>
            <w:tcW w:w="1140" w:type="dxa"/>
            <w:vAlign w:val="bottom"/>
          </w:tcPr>
          <w:p>
            <w:pPr>
              <w:spacing w:after="0"/>
              <w:rPr>
                <w:sz w:val="17"/>
                <w:szCs w:val="17"/>
                <w:color w:val="auto"/>
              </w:rPr>
            </w:pPr>
          </w:p>
        </w:tc>
        <w:tc>
          <w:tcPr>
            <w:tcW w:w="720" w:type="dxa"/>
            <w:vAlign w:val="bottom"/>
            <w:gridSpan w:val="3"/>
          </w:tcPr>
          <w:p>
            <w:pPr>
              <w:ind w:left="140"/>
              <w:spacing w:after="0" w:line="196"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38942).</w:t>
              </w:r>
            </w:hyperlink>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Letter Agreement, by and between Arcturus Therapeutics, Inc. and the Cystic Fibrosis Foundation, dated May 16, 2017. Incorporated by</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reference to Exhibit 4.11 to Form 20-F filed on May 14, 2018 (File No. 001-35932).</w:t>
              </w:r>
            </w:hyperlink>
          </w:p>
        </w:tc>
        <w:tc>
          <w:tcPr>
            <w:tcW w:w="20" w:type="dxa"/>
            <w:vAlign w:val="bottom"/>
            <w:tcBorders>
              <w:bottom w:val="single" w:sz="8" w:color="0000EE"/>
            </w:tcBorders>
          </w:tcPr>
          <w:p>
            <w:pPr>
              <w:spacing w:after="0"/>
              <w:rPr>
                <w:sz w:val="17"/>
                <w:szCs w:val="17"/>
                <w:color w:val="auto"/>
              </w:rPr>
            </w:pPr>
          </w:p>
        </w:tc>
        <w:tc>
          <w:tcPr>
            <w:tcW w:w="3880" w:type="dxa"/>
            <w:vAlign w:val="bottom"/>
            <w:gridSpan w:val="24"/>
          </w:tcPr>
          <w:p>
            <w:pPr>
              <w:spacing w:after="0"/>
              <w:rPr>
                <w:sz w:val="17"/>
                <w:szCs w:val="17"/>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Amendment No. 2 to Letter Agreement, by and between Arcturus Therapeutics, Inc. and the Cystic Fibrosis Foundation, dated August 1,</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2019. Incorporated by reference to Exhibit 10.16 to Form 10-Q filed on August 14, 2019.</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22"/>
          </w:tcPr>
          <w:p>
            <w:pPr>
              <w:spacing w:after="0"/>
              <w:rPr>
                <w:sz w:val="17"/>
                <w:szCs w:val="17"/>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Development and Option Agreement, by and between Arcturus Therapeutics, Inc. and CureVac AG, dated January 1, 2018, as amended</w:t>
              </w:r>
            </w:hyperlink>
          </w:p>
        </w:tc>
        <w:tc>
          <w:tcPr>
            <w:tcW w:w="1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May 3, 2018. Incorporated by reference to Exhibit 4.12 to Form 20-F filed on May 14, 2018 (File No. 001-35932).</w:t>
              </w:r>
            </w:hyperlink>
          </w:p>
        </w:tc>
        <w:tc>
          <w:tcPr>
            <w:tcW w:w="20" w:type="dxa"/>
            <w:vAlign w:val="bottom"/>
            <w:tcBorders>
              <w:bottom w:val="single" w:sz="8" w:color="0000EE"/>
            </w:tcBorders>
          </w:tcPr>
          <w:p>
            <w:pPr>
              <w:spacing w:after="0"/>
              <w:rPr>
                <w:sz w:val="17"/>
                <w:szCs w:val="17"/>
                <w:color w:val="auto"/>
              </w:rPr>
            </w:pPr>
          </w:p>
        </w:tc>
        <w:tc>
          <w:tcPr>
            <w:tcW w:w="1680" w:type="dxa"/>
            <w:vAlign w:val="bottom"/>
            <w:gridSpan w:val="17"/>
          </w:tcPr>
          <w:p>
            <w:pPr>
              <w:spacing w:after="0"/>
              <w:rPr>
                <w:sz w:val="17"/>
                <w:szCs w:val="17"/>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Third Amendment to Development and Option Agreement, by and between Arcturus Therapeutics, Inc. and CureVac AG, dated July 26,</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2019. Incorporated by reference to Exhibit 10.20 to Form 10-Q filed on August 14, 2019 (File No. 001-38942).</w:t>
              </w:r>
            </w:hyperlink>
          </w:p>
        </w:tc>
        <w:tc>
          <w:tcPr>
            <w:tcW w:w="20" w:type="dxa"/>
            <w:vAlign w:val="bottom"/>
            <w:tcBorders>
              <w:bottom w:val="single" w:sz="8" w:color="0000EE"/>
            </w:tcBorders>
          </w:tcPr>
          <w:p>
            <w:pPr>
              <w:spacing w:after="0"/>
              <w:rPr>
                <w:sz w:val="17"/>
                <w:szCs w:val="17"/>
                <w:color w:val="auto"/>
              </w:rPr>
            </w:pPr>
          </w:p>
        </w:tc>
        <w:tc>
          <w:tcPr>
            <w:tcW w:w="1920" w:type="dxa"/>
            <w:vAlign w:val="bottom"/>
            <w:gridSpan w:val="19"/>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License Agreement, by and between Arcturus Therapeutics, Inc., as successor-in-interest to Marina Biotech, Inc., and Protiva</w:t>
              </w:r>
            </w:hyperlink>
          </w:p>
        </w:tc>
        <w:tc>
          <w:tcPr>
            <w:tcW w:w="880" w:type="dxa"/>
            <w:vAlign w:val="bottom"/>
            <w:gridSpan w:val="1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Biotherapeutics Inc., dated as of November 28, 2012. Incorporated by reference to Exhibit 4.14 to Form 20-F/A filed on July 10, 2018</w:t>
              </w:r>
            </w:hyperlink>
          </w:p>
        </w:tc>
        <w:tc>
          <w:tcPr>
            <w:tcW w:w="2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(File No. 001-35932).</w:t>
              </w:r>
            </w:hyperlink>
          </w:p>
        </w:tc>
        <w:tc>
          <w:tcPr>
            <w:tcW w:w="8380" w:type="dxa"/>
            <w:vAlign w:val="bottom"/>
            <w:gridSpan w:val="37"/>
          </w:tcPr>
          <w:p>
            <w:pPr>
              <w:spacing w:after="0"/>
              <w:rPr>
                <w:sz w:val="17"/>
                <w:szCs w:val="17"/>
                <w:color w:val="auto"/>
              </w:rPr>
            </w:pPr>
          </w:p>
        </w:tc>
      </w:tr>
      <w:tr>
        <w:trPr>
          <w:trHeight w:val="466"/>
        </w:trPr>
        <w:tc>
          <w:tcPr>
            <w:tcW w:w="1140" w:type="dxa"/>
            <w:vAlign w:val="bottom"/>
          </w:tcPr>
          <w:p>
            <w:pPr>
              <w:spacing w:after="0"/>
              <w:rPr>
                <w:sz w:val="24"/>
                <w:szCs w:val="24"/>
                <w:color w:val="auto"/>
              </w:rPr>
            </w:pPr>
          </w:p>
        </w:tc>
        <w:tc>
          <w:tcPr>
            <w:tcW w:w="5160" w:type="dxa"/>
            <w:vAlign w:val="bottom"/>
            <w:gridSpan w:val="11"/>
          </w:tcPr>
          <w:p>
            <w:pPr>
              <w:jc w:val="right"/>
              <w:ind w:right="58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135"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Patent Assignment and License Agreement, by and between Arcturus Therapeutics, Inc. and Marina Biotech, Inc., dated as of August 9,</w:t>
              </w:r>
            </w:hyperlink>
          </w:p>
        </w:tc>
        <w:tc>
          <w:tcPr>
            <w:tcW w:w="1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2013. Incorporated by reference to Exhibit 4.15 to Form 20-F filed on May 14, 2018 (File No. 001-35932).</w:t>
              </w:r>
            </w:hyperlink>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4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Share Exchange Agreement, dated as of February 11, 2019, by and between Arcturus Therapeutics Ltd. and Arcturus Therapeutics</w:t>
              </w:r>
            </w:hyperlink>
          </w:p>
        </w:tc>
        <w:tc>
          <w:tcPr>
            <w:tcW w:w="50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7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Holdings Inc. Incorporated by reference to Exhibit 10.13 to the Company’s Annual Report on Form 10-K for the year ended December</w:t>
              </w:r>
            </w:hyperlink>
          </w:p>
        </w:tc>
        <w:tc>
          <w:tcPr>
            <w:tcW w:w="20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31, 2018 filed on March 18, 2019 (File No. 001-35932).</w:t>
              </w:r>
            </w:hyperlink>
          </w:p>
        </w:tc>
        <w:tc>
          <w:tcPr>
            <w:tcW w:w="5880" w:type="dxa"/>
            <w:vAlign w:val="bottom"/>
            <w:gridSpan w:val="29"/>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39"/>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Lease Agreement, by and between Arcturus Therapeutics, Inc. and ARE-SD Region No. 44, LLC, dated October 4, 2017. Incorporated by</w:t>
              </w:r>
            </w:hyperlink>
          </w:p>
        </w:tc>
      </w:tr>
      <w:tr>
        <w:trPr>
          <w:trHeight w:val="196"/>
        </w:trPr>
        <w:tc>
          <w:tcPr>
            <w:tcW w:w="128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reference to Exhibit 4.6 to Form 20-F filed on May 14, 2018 (File No. 001-35932).</w:t>
              </w:r>
            </w:hyperlink>
          </w:p>
        </w:tc>
        <w:tc>
          <w:tcPr>
            <w:tcW w:w="20" w:type="dxa"/>
            <w:vAlign w:val="bottom"/>
            <w:tcBorders>
              <w:top w:val="single" w:sz="8" w:color="0000FF"/>
              <w:bottom w:val="single" w:sz="8" w:color="0000EE"/>
            </w:tcBorders>
          </w:tcPr>
          <w:p>
            <w:pPr>
              <w:spacing w:after="0"/>
              <w:rPr>
                <w:sz w:val="17"/>
                <w:szCs w:val="17"/>
                <w:color w:val="auto"/>
              </w:rPr>
            </w:pPr>
          </w:p>
        </w:tc>
        <w:tc>
          <w:tcPr>
            <w:tcW w:w="3940" w:type="dxa"/>
            <w:vAlign w:val="bottom"/>
            <w:tcBorders>
              <w:top w:val="single" w:sz="8" w:color="0000FF"/>
            </w:tcBorders>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6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First Amendment to Lease Agreement, by and between Arcturus Therapeutics Holdings Inc. and ARE-SD Region No. 44, LLC dated</w:t>
              </w:r>
            </w:hyperlink>
          </w:p>
        </w:tc>
        <w:tc>
          <w:tcPr>
            <w:tcW w:w="30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2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February 1, 2020. Incorporated by reference to Exhibit 10.23 to the Company’s Annual Report on Form 10-K for the year ended</w:t>
              </w:r>
            </w:hyperlink>
          </w:p>
        </w:tc>
        <w:tc>
          <w:tcPr>
            <w:tcW w:w="68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December 31, 2019 filed on March 16, 2020 (File No. 001-38942).</w:t>
              </w:r>
            </w:hyperlink>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8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Acceptance Letter, dated March 4, 2020, by and between Arcturus Therapeutics Holdings Inc. and the Economic Development Board of</w:t>
              </w:r>
            </w:hyperlink>
          </w:p>
        </w:tc>
        <w:tc>
          <w:tcPr>
            <w:tcW w:w="10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Singapore. Incorporated by reference to Exhibit 10.24 to the Company’s Annual Report on Form 10-K for the year ended December 31,</w:t>
              </w:r>
            </w:hyperlink>
          </w:p>
        </w:tc>
        <w:tc>
          <w:tcPr>
            <w:tcW w:w="1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2019 filed on March 16, 2020 (File No. 001-38942).</w:t>
              </w:r>
            </w:hyperlink>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2020 Employee Stock Purchase Plan. Incorporated by reference to Exhibit 4.3 to Form S-8 filed on August 5, 2020 (File No. 333-</w:t>
              </w:r>
            </w:hyperlink>
          </w:p>
        </w:tc>
      </w:tr>
      <w:tr>
        <w:trPr>
          <w:trHeight w:val="196"/>
        </w:trPr>
        <w:tc>
          <w:tcPr>
            <w:tcW w:w="128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74">
              <w:r>
                <w:rPr>
                  <w:rFonts w:ascii="Times New Roman" w:cs="Times New Roman" w:eastAsia="Times New Roman" w:hAnsi="Times New Roman"/>
                  <w:sz w:val="18"/>
                  <w:szCs w:val="18"/>
                  <w:color w:val="0000FF"/>
                  <w:w w:val="96"/>
                </w:rPr>
                <w:t>240392).</w:t>
              </w:r>
            </w:hyperlink>
          </w:p>
        </w:tc>
        <w:tc>
          <w:tcPr>
            <w:tcW w:w="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9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Second Amendment to Lease, by and between Arcturus Therapeutics, Inc. and ARE-SD Region No. 44, LLC, dated November 13, 2020.</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Incorporated by reference to Exhibit 10.29 to the Company’s Annual Report on Form 10-K for the year ended December 31, 2020 filed</w:t>
              </w:r>
            </w:hyperlink>
          </w:p>
        </w:tc>
        <w:tc>
          <w:tcPr>
            <w:tcW w:w="1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on March 1, 2020 (File No. 001-38942).</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6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Third Amendment to Lease, by and between Arcturus Therapeutics, Inc. and ARE-SD Region No. 44, LLC, dated February 25, 2021.</w:t>
              </w:r>
            </w:hyperlink>
          </w:p>
        </w:tc>
        <w:tc>
          <w:tcPr>
            <w:tcW w:w="28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Incorporated by reference to Exhibit 10.30 to the Company’s Annual Report on Form 10-K for the year ended December 31, 2020 filed</w:t>
              </w:r>
            </w:hyperlink>
          </w:p>
        </w:tc>
        <w:tc>
          <w:tcPr>
            <w:tcW w:w="1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on March 1, 2020 (File No. 001-38942).</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6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Arcturus Therapeutics Holdings Inc. Severance Policy for Executives. Incorporated by reference to Exhibit 10.1 to Current Report on</w:t>
              </w:r>
            </w:hyperlink>
          </w:p>
        </w:tc>
        <w:tc>
          <w:tcPr>
            <w:tcW w:w="30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Form 8-K filed on April 26, 2021 (File No. 001-38942).</w:t>
              </w:r>
            </w:hyperlink>
          </w:p>
        </w:tc>
        <w:tc>
          <w:tcPr>
            <w:tcW w:w="20" w:type="dxa"/>
            <w:vAlign w:val="bottom"/>
            <w:tcBorders>
              <w:bottom w:val="single" w:sz="8" w:color="0000EE"/>
            </w:tcBorders>
          </w:tcPr>
          <w:p>
            <w:pPr>
              <w:spacing w:after="0"/>
              <w:rPr>
                <w:sz w:val="17"/>
                <w:szCs w:val="17"/>
                <w:color w:val="auto"/>
              </w:rPr>
            </w:pPr>
          </w:p>
        </w:tc>
        <w:tc>
          <w:tcPr>
            <w:tcW w:w="5900" w:type="dxa"/>
            <w:vAlign w:val="bottom"/>
            <w:gridSpan w:val="30"/>
          </w:tcPr>
          <w:p>
            <w:pPr>
              <w:spacing w:after="0"/>
              <w:rPr>
                <w:sz w:val="17"/>
                <w:szCs w:val="17"/>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8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Lease, by and between Arcturus Therapeutics, Inc. and TPSC IX, LLC, dated September 29, 2021. Incorporated by reference to Exhibit</w:t>
              </w:r>
            </w:hyperlink>
          </w:p>
        </w:tc>
        <w:tc>
          <w:tcPr>
            <w:tcW w:w="14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r>
                <w:rPr>
                  <w:rFonts w:ascii="Times New Roman" w:cs="Times New Roman" w:eastAsia="Times New Roman" w:hAnsi="Times New Roman"/>
                  <w:sz w:val="18"/>
                  <w:szCs w:val="18"/>
                  <w:color w:val="0000FF"/>
                </w:rPr>
                <w:t xml:space="preserve"> to Form 10-Q filed on November 9, 2021 (File No. 001-38942).</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Arcturus Therapeutics Holdings Inc. 2021 Inducement Equity Incentive Plan. Incorporated by reference to Exhibit 4.1 to the Registration</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Statement on Form S-8 filed on October 20, 2021 (File No. 333-260391).</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7"/>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2019 Omnibus Equity Incentive Plan, as amended. Incorporated by reference to Exhibit 4.3 to the Registration</w:t>
              </w:r>
            </w:hyperlink>
          </w:p>
        </w:tc>
        <w:tc>
          <w:tcPr>
            <w:tcW w:w="24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Statement on Form S-8 filed on June 30, 2022.</w:t>
              </w:r>
            </w:hyperlink>
          </w:p>
        </w:tc>
        <w:tc>
          <w:tcPr>
            <w:tcW w:w="6540" w:type="dxa"/>
            <w:vAlign w:val="bottom"/>
            <w:gridSpan w:val="33"/>
          </w:tcPr>
          <w:p>
            <w:pPr>
              <w:spacing w:after="0"/>
              <w:rPr>
                <w:sz w:val="17"/>
                <w:szCs w:val="17"/>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7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Cost Reimbursement Contract dated August 31, 2022, by and between Arcturus Therapeutics Holdings Inc. and Biomedical Advanced</w:t>
              </w:r>
            </w:hyperlink>
          </w:p>
        </w:tc>
        <w:tc>
          <w:tcPr>
            <w:tcW w:w="22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Research and Development Authority of the U.S. Department of Health and Human Services. Incorporated by reference to Exhibit 10.36</w:t>
              </w:r>
            </w:hyperlink>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to Quarterly Report on Form 10-Q filed on November 9, 2022 (File No. 001-38942).</w:t>
              </w:r>
            </w:hyperlink>
          </w:p>
        </w:tc>
        <w:tc>
          <w:tcPr>
            <w:tcW w:w="3820" w:type="dxa"/>
            <w:vAlign w:val="bottom"/>
            <w:gridSpan w:val="23"/>
          </w:tcPr>
          <w:p>
            <w:pPr>
              <w:spacing w:after="0"/>
              <w:rPr>
                <w:sz w:val="17"/>
                <w:szCs w:val="17"/>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Study Support Agreement, dated October 31, 2022, by and between Arcturus Therapeutics, Inc. and Vinbiocare Research and</w:t>
              </w:r>
            </w:hyperlink>
          </w:p>
        </w:tc>
        <w:tc>
          <w:tcPr>
            <w:tcW w:w="880" w:type="dxa"/>
            <w:vAlign w:val="bottom"/>
            <w:gridSpan w:val="2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Manufacture Joint Stock Company. Incorporated by reference to Exhibit 10.1 to Current Report on Form 8-K filed on November 4, 2022</w:t>
              </w:r>
            </w:hyperlink>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(File No. 001-38942).</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36"/>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8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Collaboration and License Agreement, dated November 1, 2022, by and between Arcturus Therapeutics Holdings Inc. and CSL Limited.</w:t>
              </w:r>
            </w:hyperlink>
          </w:p>
        </w:tc>
        <w:tc>
          <w:tcPr>
            <w:tcW w:w="8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by reference to Exhibit 10.38 to Quarterly Report on Form 10-Q filed on November 9, 2022 (File No. 001-38942).</w:t>
              </w:r>
            </w:hyperlink>
          </w:p>
        </w:tc>
      </w:tr>
      <w:tr>
        <w:trPr>
          <w:trHeight w:val="20"/>
        </w:trPr>
        <w:tc>
          <w:tcPr>
            <w:tcW w:w="128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700" w:type="dxa"/>
            <w:vAlign w:val="bottom"/>
            <w:tcBorders>
              <w:right w:val="single" w:sz="8" w:color="0000FF"/>
            </w:tcBorders>
            <w:gridSpan w:val="1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Manufacturing Support Agreement Termination Letter, dated March 23, 2023, by and between Arcturus Therapeutics, Inc. and the</w:t>
              </w:r>
            </w:hyperlink>
          </w:p>
        </w:tc>
        <w:tc>
          <w:tcPr>
            <w:tcW w:w="52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6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Economic Development of Singapore. Incorporated by reference to Exhibit 10.41 to Annual Report on Form 10-K filed on March 29,</w:t>
              </w:r>
            </w:hyperlink>
          </w:p>
        </w:tc>
        <w:tc>
          <w:tcPr>
            <w:tcW w:w="3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2023 (File No. 001-38942).</w:t>
              </w:r>
            </w:hyperlink>
          </w:p>
        </w:tc>
        <w:tc>
          <w:tcPr>
            <w:tcW w:w="7940" w:type="dxa"/>
            <w:vAlign w:val="bottom"/>
            <w:gridSpan w:val="35"/>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4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Credit Agreement dated April 21, 2023, by and between Arcturus Therapeutics, Inc. and Wells Fargo Bank, National Association.</w:t>
              </w:r>
            </w:hyperlink>
          </w:p>
        </w:tc>
        <w:tc>
          <w:tcPr>
            <w:tcW w:w="560" w:type="dxa"/>
            <w:vAlign w:val="bottom"/>
            <w:gridSpan w:val="1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Incorporated by reference to Exhibit 10.28 to Quarterly Report on Form 10-Q filed on May 9, 2023 (File No. 001-38942).</w:t>
              </w:r>
            </w:hyperlink>
          </w:p>
        </w:tc>
      </w:tr>
      <w:tr>
        <w:trPr>
          <w:trHeight w:val="614"/>
        </w:trPr>
        <w:tc>
          <w:tcPr>
            <w:tcW w:w="1280" w:type="dxa"/>
            <w:vAlign w:val="bottom"/>
          </w:tcPr>
          <w:p>
            <w:pPr>
              <w:spacing w:after="0"/>
              <w:rPr>
                <w:sz w:val="24"/>
                <w:szCs w:val="24"/>
                <w:color w:val="auto"/>
              </w:rPr>
            </w:pPr>
          </w:p>
        </w:tc>
        <w:tc>
          <w:tcPr>
            <w:tcW w:w="4840" w:type="dxa"/>
            <w:vAlign w:val="bottom"/>
            <w:tcBorders>
              <w:top w:val="single" w:sz="8" w:color="0000EE"/>
            </w:tcBorders>
            <w:gridSpan w:val="11"/>
          </w:tcPr>
          <w:p>
            <w:pPr>
              <w:ind w:left="426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Security Agreement dated April 21, 2023, by and between Arcturus Therapeutics, Inc. and Wells Fargo Bank, National Association.</w:t>
              </w:r>
            </w:hyperlink>
          </w:p>
        </w:tc>
        <w:tc>
          <w:tcPr>
            <w:tcW w:w="38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by reference to Exhibit 10.29 to Quarterly Report on Form 10-Q filed on May 9, 2023 (File No. 001-38942).</w:t>
              </w:r>
            </w:hyperlink>
          </w:p>
        </w:tc>
        <w:tc>
          <w:tcPr>
            <w:tcW w:w="1100" w:type="dxa"/>
            <w:vAlign w:val="bottom"/>
            <w:gridSpan w:val="16"/>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3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Revolving Line of Credit Note dated April 21, 2023, by and between Arcturus Therapeutics, Inc. and Wells Fargo Bank, National</w:t>
              </w:r>
            </w:hyperlink>
          </w:p>
        </w:tc>
        <w:tc>
          <w:tcPr>
            <w:tcW w:w="56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Association. Incorporated by reference to Exhibit 10.30 to Quarterly Report on Form 10-Q filed on May 9, 2023 (File No. 001-38942).</w:t>
              </w:r>
            </w:hyperlink>
          </w:p>
        </w:tc>
        <w:tc>
          <w:tcPr>
            <w:tcW w:w="160" w:type="dxa"/>
            <w:vAlign w:val="bottom"/>
            <w:gridSpan w:val="4"/>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7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Amendment Number One to Collaboration and License Agreement, dated August 3, 2023, by and between Arcturus Therapeutics, Inc.</w:t>
              </w:r>
            </w:hyperlink>
          </w:p>
        </w:tc>
        <w:tc>
          <w:tcPr>
            <w:tcW w:w="18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and Seqirus Inc. Incorporated by reference to Exhibit 10.31 to Quarterly Report on Form 10-Q filed on November 14, 2023 (File No.</w:t>
              </w:r>
            </w:hyperlink>
          </w:p>
        </w:tc>
      </w:tr>
      <w:tr>
        <w:trPr>
          <w:trHeight w:val="196"/>
        </w:trPr>
        <w:tc>
          <w:tcPr>
            <w:tcW w:w="1260" w:type="dxa"/>
            <w:vAlign w:val="bottom"/>
          </w:tcPr>
          <w:p>
            <w:pPr>
              <w:spacing w:after="0"/>
              <w:rPr>
                <w:sz w:val="17"/>
                <w:szCs w:val="17"/>
                <w:color w:val="auto"/>
              </w:rPr>
            </w:pPr>
          </w:p>
        </w:tc>
        <w:tc>
          <w:tcPr>
            <w:tcW w:w="920" w:type="dxa"/>
            <w:vAlign w:val="bottom"/>
            <w:tcBorders>
              <w:top w:val="single" w:sz="8" w:color="0000FF"/>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001-38942).</w:t>
              </w:r>
            </w:hyperlink>
          </w:p>
        </w:tc>
        <w:tc>
          <w:tcPr>
            <w:tcW w:w="520" w:type="dxa"/>
            <w:vAlign w:val="bottom"/>
            <w:tcBorders>
              <w:top w:val="single" w:sz="8" w:color="0000FF"/>
            </w:tcBorders>
          </w:tcPr>
          <w:p>
            <w:pPr>
              <w:spacing w:after="0"/>
              <w:rPr>
                <w:sz w:val="17"/>
                <w:szCs w:val="17"/>
                <w:color w:val="auto"/>
              </w:rPr>
            </w:pPr>
          </w:p>
        </w:tc>
        <w:tc>
          <w:tcPr>
            <w:tcW w:w="23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7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Amendment No. 4 to Letter Agreement, dated September 25, 2023, by and between Arcturus Therapeutics, Inc. and the Cystic Fibrosis</w:t>
              </w:r>
            </w:hyperlink>
          </w:p>
        </w:tc>
        <w:tc>
          <w:tcPr>
            <w:tcW w:w="14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Foundation. Incorporated by reference to Exhibit 10.32 to Quarterly Report on Form 10-Q filed on November 14, 2023 (File No. 001-</w:t>
              </w:r>
            </w:hyperlink>
          </w:p>
        </w:tc>
      </w:tr>
      <w:tr>
        <w:trPr>
          <w:trHeight w:val="196"/>
        </w:trPr>
        <w:tc>
          <w:tcPr>
            <w:tcW w:w="1260" w:type="dxa"/>
            <w:vAlign w:val="bottom"/>
          </w:tcPr>
          <w:p>
            <w:pPr>
              <w:spacing w:after="0"/>
              <w:rPr>
                <w:sz w:val="17"/>
                <w:szCs w:val="17"/>
                <w:color w:val="auto"/>
              </w:rPr>
            </w:pPr>
          </w:p>
        </w:tc>
        <w:tc>
          <w:tcPr>
            <w:tcW w:w="600" w:type="dxa"/>
            <w:vAlign w:val="bottom"/>
            <w:tcBorders>
              <w:top w:val="single" w:sz="8" w:color="0000FF"/>
              <w:bottom w:val="single" w:sz="8" w:color="0000EE"/>
            </w:tcBorders>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38942).</w:t>
              </w:r>
            </w:hyperlink>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3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8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Amendment Number Two to Collaboration and License Agreement, dated March 29, 2024, by and between Arcturus Therapeutics, Inc.</w:t>
              </w:r>
            </w:hyperlink>
          </w:p>
        </w:tc>
        <w:tc>
          <w:tcPr>
            <w:tcW w:w="12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and Seqirus Inc. Incorporated by reference to Exhibit 10.33 to Quarterly Report on Form 10-Q filed on May 8, 2024 (File No. 001-</w:t>
              </w:r>
            </w:hyperlink>
          </w:p>
        </w:tc>
      </w:tr>
      <w:tr>
        <w:trPr>
          <w:trHeight w:val="196"/>
        </w:trPr>
        <w:tc>
          <w:tcPr>
            <w:tcW w:w="1260" w:type="dxa"/>
            <w:vAlign w:val="bottom"/>
          </w:tcPr>
          <w:p>
            <w:pPr>
              <w:spacing w:after="0"/>
              <w:rPr>
                <w:sz w:val="17"/>
                <w:szCs w:val="17"/>
                <w:color w:val="auto"/>
              </w:rPr>
            </w:pPr>
          </w:p>
        </w:tc>
        <w:tc>
          <w:tcPr>
            <w:tcW w:w="600" w:type="dxa"/>
            <w:vAlign w:val="bottom"/>
            <w:tcBorders>
              <w:top w:val="single" w:sz="8" w:color="0000FF"/>
              <w:bottom w:val="single" w:sz="8" w:color="0000EE"/>
            </w:tcBorders>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38942).</w:t>
              </w:r>
            </w:hyperlink>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3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4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 and Restated 2019 Omnibus Equity Incentive Plan, as amended. Incorporated by reference to Exhibit 10.1 to the Current</w:t>
              </w:r>
            </w:hyperlink>
          </w:p>
        </w:tc>
        <w:tc>
          <w:tcPr>
            <w:tcW w:w="44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Report on Form 8-K filed on June 14, 2024 (File No. 001-38942).</w:t>
              </w:r>
            </w:hyperlink>
          </w:p>
        </w:tc>
        <w:tc>
          <w:tcPr>
            <w:tcW w:w="5140" w:type="dxa"/>
            <w:vAlign w:val="bottom"/>
            <w:gridSpan w:val="17"/>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9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First Amendment to Credit Agreement and First Amendment to Revolving Line of Credit, dated June 26, 2024, by and between Arcturus</w:t>
              </w:r>
            </w:hyperlink>
          </w:p>
        </w:tc>
      </w:tr>
      <w:tr>
        <w:trPr>
          <w:trHeight w:val="196"/>
        </w:trPr>
        <w:tc>
          <w:tcPr>
            <w:tcW w:w="1260" w:type="dxa"/>
            <w:vAlign w:val="bottom"/>
          </w:tcPr>
          <w:p>
            <w:pPr>
              <w:spacing w:after="0"/>
              <w:rPr>
                <w:sz w:val="17"/>
                <w:szCs w:val="17"/>
                <w:color w:val="auto"/>
              </w:rPr>
            </w:pPr>
          </w:p>
        </w:tc>
        <w:tc>
          <w:tcPr>
            <w:tcW w:w="98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Therapeutics, Inc. and Wells Fargo Bank, National Association. Incorporated by reference to Exhibit 10.35 to Quarterly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10-Q filed on August 5, 2024 (File No. 001-38942).</w:t>
              </w:r>
            </w:hyperlink>
          </w:p>
        </w:tc>
      </w:tr>
      <w:tr>
        <w:trPr>
          <w:trHeight w:val="20"/>
        </w:trPr>
        <w:tc>
          <w:tcPr>
            <w:tcW w:w="12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Fifth Amendment to Lease, by and between Arcturus Therapeutics, Inc. and ARE-SD Region No. 44, LLC, dated July 12, 2024.</w:t>
            </w:r>
          </w:p>
        </w:tc>
        <w:tc>
          <w:tcPr>
            <w:tcW w:w="20" w:type="dxa"/>
            <w:vAlign w:val="bottom"/>
            <w:tcBorders>
              <w:bottom w:val="single" w:sz="8" w:color="0000EE"/>
            </w:tcBorders>
          </w:tcPr>
          <w:p>
            <w:pPr>
              <w:spacing w:after="0"/>
              <w:rPr>
                <w:sz w:val="24"/>
                <w:szCs w:val="24"/>
                <w:color w:val="auto"/>
              </w:rPr>
            </w:pPr>
          </w:p>
        </w:tc>
        <w:tc>
          <w:tcPr>
            <w:tcW w:w="660" w:type="dxa"/>
            <w:vAlign w:val="bottom"/>
            <w:gridSpan w:val="14"/>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15d-14(a) under the Securities Exchange Act of 1934, as</w:t>
            </w:r>
          </w:p>
        </w:tc>
        <w:tc>
          <w:tcPr>
            <w:tcW w:w="44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40" w:type="dxa"/>
            <w:vAlign w:val="bottom"/>
            <w:tcBorders>
              <w:bottom w:val="single" w:sz="8" w:color="0000EE"/>
            </w:tcBorders>
          </w:tcPr>
          <w:p>
            <w:pPr>
              <w:spacing w:after="0"/>
              <w:rPr>
                <w:sz w:val="17"/>
                <w:szCs w:val="17"/>
                <w:color w:val="auto"/>
              </w:rPr>
            </w:pPr>
          </w:p>
        </w:tc>
        <w:tc>
          <w:tcPr>
            <w:tcW w:w="9180" w:type="dxa"/>
            <w:vAlign w:val="bottom"/>
            <w:gridSpan w:val="21"/>
          </w:tcPr>
          <w:p>
            <w:pPr>
              <w:spacing w:after="0"/>
              <w:rPr>
                <w:sz w:val="17"/>
                <w:szCs w:val="17"/>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Rule 13a-14(a) or 15d-14(a) under the Securities Exchange Act of 1934, as</w:t>
            </w:r>
          </w:p>
        </w:tc>
        <w:tc>
          <w:tcPr>
            <w:tcW w:w="48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22"/>
          </w:tcPr>
          <w:p>
            <w:pPr>
              <w:spacing w:after="0"/>
              <w:rPr>
                <w:sz w:val="17"/>
                <w:szCs w:val="17"/>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260" w:type="dxa"/>
            <w:vAlign w:val="bottom"/>
          </w:tcPr>
          <w:p>
            <w:pPr>
              <w:spacing w:after="0"/>
              <w:rPr>
                <w:sz w:val="17"/>
                <w:szCs w:val="17"/>
                <w:color w:val="auto"/>
              </w:rPr>
            </w:pPr>
          </w:p>
        </w:tc>
        <w:tc>
          <w:tcPr>
            <w:tcW w:w="1440" w:type="dxa"/>
            <w:vAlign w:val="bottom"/>
            <w:tcBorders>
              <w:top w:val="single" w:sz="8" w:color="0000FF"/>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160" w:type="dxa"/>
            <w:vAlign w:val="bottom"/>
            <w:tcBorders>
              <w:top w:val="single" w:sz="8" w:color="0000FF"/>
            </w:tcBorders>
            <w:gridSpan w:val="11"/>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6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480" w:type="dxa"/>
            <w:vAlign w:val="bottom"/>
            <w:gridSpan w:val="19"/>
          </w:tcPr>
          <w:p>
            <w:pPr>
              <w:spacing w:after="0"/>
              <w:rPr>
                <w:sz w:val="17"/>
                <w:szCs w:val="17"/>
                <w:color w:val="auto"/>
              </w:rPr>
            </w:pPr>
          </w:p>
        </w:tc>
      </w:tr>
      <w:tr>
        <w:trPr>
          <w:trHeight w:val="39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following financial statements and footnotes from the Registrant’s Quarterly Report on Form 10-Q for the fiscal quarter ended</w:t>
            </w:r>
          </w:p>
        </w:tc>
      </w:tr>
      <w:tr>
        <w:trPr>
          <w:trHeight w:val="234"/>
        </w:trPr>
        <w:tc>
          <w:tcPr>
            <w:tcW w:w="1260" w:type="dxa"/>
            <w:vAlign w:val="bottom"/>
          </w:tcPr>
          <w:p>
            <w:pPr>
              <w:spacing w:after="0"/>
              <w:rPr>
                <w:sz w:val="20"/>
                <w:szCs w:val="20"/>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September 30, 2024 formatted in Inline Extensible Business Reporting Language (Inline XBRL):</w:t>
            </w:r>
          </w:p>
        </w:tc>
      </w:tr>
    </w:tbl>
    <w:p>
      <w:pPr>
        <w:spacing w:after="0" w:line="9" w:lineRule="exact"/>
        <w:rPr>
          <w:sz w:val="20"/>
          <w:szCs w:val="20"/>
          <w:color w:val="auto"/>
        </w:rPr>
      </w:pPr>
    </w:p>
    <w:p>
      <w:pPr>
        <w:ind w:left="1280" w:right="20"/>
        <w:spacing w:after="0" w:line="266" w:lineRule="auto"/>
        <w:rPr>
          <w:sz w:val="20"/>
          <w:szCs w:val="20"/>
          <w:color w:val="auto"/>
        </w:rPr>
      </w:pPr>
      <w:r>
        <w:rPr>
          <w:rFonts w:ascii="Times New Roman" w:cs="Times New Roman" w:eastAsia="Times New Roman" w:hAnsi="Times New Roman"/>
          <w:sz w:val="18"/>
          <w:szCs w:val="18"/>
          <w:color w:val="auto"/>
        </w:rPr>
        <w:t>101.INS Inline XBRL Instance Document - the instance document does not appear in the Interactive Data File because its XBRL tags are embedded within the Inline XBRL document</w:t>
      </w:r>
    </w:p>
    <w:p>
      <w:pPr>
        <w:ind w:left="1280"/>
        <w:spacing w:after="0"/>
        <w:rPr>
          <w:sz w:val="20"/>
          <w:szCs w:val="20"/>
          <w:color w:val="auto"/>
        </w:rPr>
      </w:pPr>
      <w:r>
        <w:rPr>
          <w:rFonts w:ascii="Times New Roman" w:cs="Times New Roman" w:eastAsia="Times New Roman" w:hAnsi="Times New Roman"/>
          <w:sz w:val="18"/>
          <w:szCs w:val="18"/>
          <w:color w:val="auto"/>
        </w:rPr>
        <w:t>101.SCH Inline XBRL Taxonomy Extension Schema</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101.LAB Inline XBRL Taxonomy Extension Label Linkbase</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w:t>
      </w:r>
    </w:p>
    <w:p>
      <w:pPr>
        <w:spacing w:after="0" w:line="36" w:lineRule="exact"/>
        <w:rPr>
          <w:sz w:val="20"/>
          <w:szCs w:val="20"/>
          <w:color w:val="auto"/>
        </w:rPr>
      </w:pPr>
    </w:p>
    <w:p>
      <w:pPr>
        <w:ind w:left="1280" w:hanging="1259"/>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right="420" w:firstLine="8"/>
        <w:spacing w:after="0" w:line="266" w:lineRule="auto"/>
        <w:tabs>
          <w:tab w:leader="none" w:pos="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9512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6" w:right="379" w:bottom="1440" w:gutter="0" w:footer="0" w:header="0"/>
        </w:sectPr>
      </w:pPr>
    </w:p>
    <w:bookmarkStart w:id="35" w:name="page36"/>
    <w:bookmarkEnd w:id="3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83"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 /s/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26035</wp:posOffset>
            </wp:positionV>
            <wp:extent cx="27000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Andy Sassine</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6" w:name="page37"/>
    <w:bookmarkEnd w:id="36"/>
    <w:p>
      <w:pPr>
        <w:ind w:left="3160"/>
        <w:spacing w:after="0"/>
        <w:rPr>
          <w:sz w:val="20"/>
          <w:szCs w:val="20"/>
          <w:color w:val="auto"/>
        </w:rPr>
      </w:pPr>
      <w:r>
        <w:rPr>
          <w:rFonts w:ascii="Arial" w:cs="Arial" w:eastAsia="Arial" w:hAnsi="Arial"/>
          <w:sz w:val="18"/>
          <w:szCs w:val="18"/>
          <w:b w:val="1"/>
          <w:bCs w:val="1"/>
          <w:color w:val="auto"/>
        </w:rPr>
        <w:t>FIFTH AMENDMENT TO LEASE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FIFTH AMENDMENT TO LEASE (this “</w:t>
      </w:r>
      <w:r>
        <w:rPr>
          <w:rFonts w:ascii="Arial" w:cs="Arial" w:eastAsia="Arial" w:hAnsi="Arial"/>
          <w:sz w:val="18"/>
          <w:szCs w:val="18"/>
          <w:b w:val="1"/>
          <w:bCs w:val="1"/>
          <w:color w:val="auto"/>
        </w:rPr>
        <w:t>Fifth Amendment</w:t>
      </w:r>
      <w:r>
        <w:rPr>
          <w:rFonts w:ascii="Arial" w:cs="Arial" w:eastAsia="Arial" w:hAnsi="Arial"/>
          <w:sz w:val="18"/>
          <w:szCs w:val="18"/>
          <w:color w:val="auto"/>
        </w:rPr>
        <w:t>”) is made as of July ___, 2024, by</w:t>
      </w:r>
    </w:p>
    <w:p>
      <w:pPr>
        <w:spacing w:after="0" w:line="198" w:lineRule="exact"/>
        <w:rPr>
          <w:sz w:val="20"/>
          <w:szCs w:val="20"/>
          <w:color w:val="auto"/>
        </w:rPr>
      </w:pPr>
    </w:p>
    <w:p>
      <w:pPr>
        <w:ind w:left="8540"/>
        <w:spacing w:after="0"/>
        <w:rPr>
          <w:sz w:val="20"/>
          <w:szCs w:val="20"/>
          <w:color w:val="auto"/>
        </w:rPr>
      </w:pPr>
      <w:r>
        <w:rPr>
          <w:rFonts w:ascii="Arial" w:cs="Arial" w:eastAsia="Arial" w:hAnsi="Arial"/>
          <w:sz w:val="16"/>
          <w:szCs w:val="16"/>
          <w:color w:val="auto"/>
        </w:rPr>
        <w:t>12</w:t>
      </w:r>
    </w:p>
    <w:p>
      <w:pPr>
        <w:spacing w:after="0" w:line="18" w:lineRule="exact"/>
        <w:rPr>
          <w:sz w:val="20"/>
          <w:szCs w:val="20"/>
          <w:color w:val="auto"/>
        </w:rPr>
      </w:pPr>
    </w:p>
    <w:p>
      <w:pPr>
        <w:jc w:val="both"/>
        <w:ind w:left="20"/>
        <w:spacing w:after="0" w:line="260" w:lineRule="auto"/>
        <w:rPr>
          <w:sz w:val="20"/>
          <w:szCs w:val="20"/>
          <w:color w:val="auto"/>
        </w:rPr>
      </w:pPr>
      <w:r>
        <w:rPr>
          <w:rFonts w:ascii="Arial" w:cs="Arial" w:eastAsia="Arial" w:hAnsi="Arial"/>
          <w:sz w:val="18"/>
          <w:szCs w:val="18"/>
          <w:color w:val="auto"/>
        </w:rPr>
        <w:t xml:space="preserve">and between </w:t>
      </w:r>
      <w:r>
        <w:rPr>
          <w:rFonts w:ascii="Arial" w:cs="Arial" w:eastAsia="Arial" w:hAnsi="Arial"/>
          <w:sz w:val="18"/>
          <w:szCs w:val="18"/>
          <w:b w:val="1"/>
          <w:bCs w:val="1"/>
          <w:color w:val="auto"/>
        </w:rPr>
        <w:t>ARE-SD REGION NO. 44,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ARCTURUS</w:t>
      </w:r>
      <w:r>
        <w:rPr>
          <w:rFonts w:ascii="Arial" w:cs="Arial" w:eastAsia="Arial" w:hAnsi="Arial"/>
          <w:sz w:val="18"/>
          <w:szCs w:val="18"/>
          <w:color w:val="auto"/>
        </w:rPr>
        <w:t xml:space="preserve"> </w:t>
      </w:r>
      <w:r>
        <w:rPr>
          <w:rFonts w:ascii="Arial" w:cs="Arial" w:eastAsia="Arial" w:hAnsi="Arial"/>
          <w:sz w:val="18"/>
          <w:szCs w:val="18"/>
          <w:b w:val="1"/>
          <w:bCs w:val="1"/>
          <w:color w:val="auto"/>
        </w:rPr>
        <w:t>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left="20" w:firstLine="749"/>
        <w:spacing w:after="0" w:line="239" w:lineRule="auto"/>
        <w:rPr>
          <w:sz w:val="20"/>
          <w:szCs w:val="20"/>
          <w:color w:val="auto"/>
        </w:rPr>
      </w:pPr>
      <w:r>
        <w:rPr>
          <w:rFonts w:ascii="Arial" w:cs="Arial" w:eastAsia="Arial" w:hAnsi="Arial"/>
          <w:sz w:val="18"/>
          <w:szCs w:val="18"/>
          <w:color w:val="auto"/>
        </w:rPr>
        <w:t>A.Landlord and Tenant are parties to that certain Lease Agreement dated as of October 4, 2017, as amended by that certain First Amendment to Lease dated as of January 31, 2020, as further amended by that certain Second Amendment to Lease dated as of November 13, 2020, as further amended by that certain Third Amendment to Lease dated as of February 25, 2021, and as further amended by that certain Fourth Amendment to Lease dated as of March 25, 2024 (as amended,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leases to Tenant certain premises containing approximately 24,705 rentable square feet, commonly known as Suite 250, located at 10628 Science Center Drive, San Diego, California (the “</w:t>
      </w:r>
      <w:r>
        <w:rPr>
          <w:rFonts w:ascii="Arial" w:cs="Arial" w:eastAsia="Arial" w:hAnsi="Arial"/>
          <w:sz w:val="18"/>
          <w:szCs w:val="18"/>
          <w:b w:val="1"/>
          <w:bCs w:val="1"/>
          <w:color w:val="auto"/>
        </w:rPr>
        <w:t>Premises</w:t>
      </w:r>
      <w:r>
        <w:rPr>
          <w:rFonts w:ascii="Arial" w:cs="Arial" w:eastAsia="Arial" w:hAnsi="Arial"/>
          <w:sz w:val="18"/>
          <w:szCs w:val="18"/>
          <w:color w:val="auto"/>
        </w:rPr>
        <w:t>”), and certain temporary premises containing approximately 11,749 rentable square feet, commonly known as Suite 150, located at 10578 Science Center Drive, San Diego, California (the “</w:t>
      </w:r>
      <w:r>
        <w:rPr>
          <w:rFonts w:ascii="Arial" w:cs="Arial" w:eastAsia="Arial" w:hAnsi="Arial"/>
          <w:sz w:val="18"/>
          <w:szCs w:val="18"/>
          <w:b w:val="1"/>
          <w:bCs w:val="1"/>
          <w:color w:val="auto"/>
        </w:rPr>
        <w:t>Temporary Premises</w:t>
      </w:r>
      <w:r>
        <w:rPr>
          <w:rFonts w:ascii="Arial" w:cs="Arial" w:eastAsia="Arial" w:hAnsi="Arial"/>
          <w:sz w:val="18"/>
          <w:szCs w:val="18"/>
          <w:color w:val="auto"/>
        </w:rPr>
        <w:t>”), as more particularly described in the Lease. Capitalized terms used herein without definition shall have the meanings defined for such terms in the Lease.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B.The Term of the Lease, with respect to the Temporary Premises only, is scheduled to expire on March 31, 2025.</w:t>
      </w:r>
    </w:p>
    <w:p>
      <w:pPr>
        <w:spacing w:after="0" w:line="212" w:lineRule="exact"/>
        <w:rPr>
          <w:sz w:val="20"/>
          <w:szCs w:val="20"/>
          <w:color w:val="auto"/>
        </w:rPr>
      </w:pPr>
    </w:p>
    <w:p>
      <w:pPr>
        <w:jc w:val="both"/>
        <w:ind w:left="20" w:firstLine="749"/>
        <w:spacing w:after="0" w:line="257" w:lineRule="auto"/>
        <w:rPr>
          <w:sz w:val="20"/>
          <w:szCs w:val="20"/>
          <w:color w:val="auto"/>
        </w:rPr>
      </w:pPr>
      <w:r>
        <w:rPr>
          <w:rFonts w:ascii="Arial" w:cs="Arial" w:eastAsia="Arial" w:hAnsi="Arial"/>
          <w:sz w:val="18"/>
          <w:szCs w:val="18"/>
          <w:color w:val="auto"/>
        </w:rPr>
        <w:t>C.Landlord and Tenant desire, subject to the terms and conditions set forth below, to amend the Lease to, among other things, reflect the early termination of the Lease with respect to the Temporary Premises only as of the date this Fifth Amendment is executed (the “</w:t>
      </w:r>
      <w:r>
        <w:rPr>
          <w:rFonts w:ascii="Arial" w:cs="Arial" w:eastAsia="Arial" w:hAnsi="Arial"/>
          <w:sz w:val="18"/>
          <w:szCs w:val="18"/>
          <w:b w:val="1"/>
          <w:bCs w:val="1"/>
          <w:color w:val="auto"/>
        </w:rPr>
        <w:t>Temporary Premises Termination Date</w:t>
      </w:r>
      <w:r>
        <w:rPr>
          <w:rFonts w:ascii="Arial" w:cs="Arial" w:eastAsia="Arial" w:hAnsi="Arial"/>
          <w:sz w:val="18"/>
          <w:szCs w:val="18"/>
          <w:color w:val="auto"/>
        </w:rPr>
        <w:t>”).</w:t>
      </w:r>
    </w:p>
    <w:p>
      <w:pPr>
        <w:spacing w:after="0" w:line="159" w:lineRule="exact"/>
        <w:rPr>
          <w:sz w:val="20"/>
          <w:szCs w:val="20"/>
          <w:color w:val="auto"/>
        </w:rPr>
      </w:pPr>
    </w:p>
    <w:p>
      <w:pPr>
        <w:jc w:val="both"/>
        <w:ind w:left="20" w:firstLine="749"/>
        <w:spacing w:after="0" w:line="25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mutual 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jc w:val="both"/>
        <w:ind w:left="760" w:hanging="749"/>
        <w:spacing w:after="0" w:line="238" w:lineRule="auto"/>
        <w:tabs>
          <w:tab w:leader="none" w:pos="760" w:val="left"/>
        </w:tabs>
        <w:numPr>
          <w:ilvl w:val="0"/>
          <w:numId w:val="1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Temporary Premises Termination</w:t>
      </w:r>
      <w:r>
        <w:rPr>
          <w:rFonts w:ascii="Arial" w:cs="Arial" w:eastAsia="Arial" w:hAnsi="Arial"/>
          <w:sz w:val="18"/>
          <w:szCs w:val="18"/>
          <w:color w:val="auto"/>
        </w:rPr>
        <w:t>. The Term of the Lease with respect to the Temporary Premises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the Temporary Premises Termination Date. Tenant shall voluntarily surrender the Temporary Premises on the Temporary Premises Termination Date in accordance with the surrender requirements contained in the Lease and in the condition in which Tenant is required to surrender the Temporary Premises pursuant to the Lease. From and after the Temporary Premises Termination Date, Tenant shall have no further rights of any kind with respect to the Temporary Premises. Notwithstanding the foregoing, those provisions of the Lease which, by their terms, survive the termination of the Lease shall survive the surrender of the Temporary Premises and termination of the Lease with respect to the Temporary Premises as provided for herein. Nothing herein shall excuse Tenant from its obligations under the Lease with respect to the Temporary Premises prior to the Temporary Premises Termination Date. If Tenant fails to surrender the Temporary Premises by the Temporary Premises Termination Date pursuant to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such failure shall constitute a hold over without Landlord’s consent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original Lease. For the avoidance of doubt, the Term of the Lease shall otherwise continue in full force and effect with respect to the Premises.</w:t>
      </w:r>
    </w:p>
    <w:p>
      <w:pPr>
        <w:spacing w:after="0" w:line="180" w:lineRule="exact"/>
        <w:rPr>
          <w:rFonts w:ascii="Arial" w:cs="Arial" w:eastAsia="Arial" w:hAnsi="Arial"/>
          <w:sz w:val="18"/>
          <w:szCs w:val="18"/>
          <w:b w:val="1"/>
          <w:bCs w:val="1"/>
          <w:u w:val="single" w:color="auto"/>
          <w:color w:val="auto"/>
        </w:rPr>
      </w:pPr>
    </w:p>
    <w:p>
      <w:pPr>
        <w:ind w:left="760" w:hanging="749"/>
        <w:spacing w:after="0" w:line="271" w:lineRule="auto"/>
        <w:tabs>
          <w:tab w:leader="none" w:pos="760" w:val="left"/>
        </w:tabs>
        <w:numPr>
          <w:ilvl w:val="0"/>
          <w:numId w:val="1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Tenant shall continue paying Base Rent, Operating Expenses, the Amenities Fee and all other amounts due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with respect to the Temporary Premises through the Temporary Premises Termination Date.</w:t>
      </w:r>
    </w:p>
    <w:p>
      <w:pPr>
        <w:spacing w:after="0" w:line="153" w:lineRule="exact"/>
        <w:rPr>
          <w:rFonts w:ascii="Arial" w:cs="Arial" w:eastAsia="Arial" w:hAnsi="Arial"/>
          <w:sz w:val="18"/>
          <w:szCs w:val="18"/>
          <w:b w:val="1"/>
          <w:bCs w:val="1"/>
          <w:u w:val="single" w:color="auto"/>
          <w:color w:val="auto"/>
        </w:rPr>
      </w:pPr>
    </w:p>
    <w:p>
      <w:pPr>
        <w:ind w:left="760" w:right="20" w:hanging="749"/>
        <w:spacing w:after="0" w:line="281" w:lineRule="auto"/>
        <w:tabs>
          <w:tab w:leader="none" w:pos="760" w:val="left"/>
        </w:tabs>
        <w:numPr>
          <w:ilvl w:val="0"/>
          <w:numId w:val="1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-12065</wp:posOffset>
            </wp:positionV>
            <wp:extent cx="2529205" cy="3511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2529205" cy="351155"/>
                    </a:xfrm>
                    <a:prstGeom prst="rect">
                      <a:avLst/>
                    </a:prstGeom>
                    <a:noFill/>
                  </pic:spPr>
                </pic:pic>
              </a:graphicData>
            </a:graphic>
          </wp:anchor>
        </w:drawing>
      </w:r>
    </w:p>
    <w:p>
      <w:pPr>
        <w:spacing w:after="0" w:line="37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44" w:right="339" w:bottom="1440" w:gutter="0" w:footer="0" w:header="0"/>
        </w:sectPr>
      </w:pPr>
    </w:p>
    <w:bookmarkStart w:id="37" w:name="page38"/>
    <w:bookmarkEnd w:id="37"/>
    <w:p>
      <w:pPr>
        <w:spacing w:after="0" w:line="193"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Fifth Amendment and that no Broker brought about this transaction, other than Savills, Cushman &amp; Wakefield and CBRE. Landlord and Tenant each hereby agree to indemnify and hold the other harmless from and against any claims by any Broker, other than Savills, Cushman &amp; Wakefield and CBRE, claiming a commission or other form of compensation by virtue of having dealt with Tenant or Landlord, as applicable, with regard to this Fifth Amendment.</w:t>
      </w:r>
    </w:p>
    <w:p>
      <w:pPr>
        <w:spacing w:after="0" w:line="160" w:lineRule="exact"/>
        <w:rPr>
          <w:sz w:val="20"/>
          <w:szCs w:val="20"/>
          <w:color w:val="auto"/>
        </w:rPr>
      </w:pPr>
    </w:p>
    <w:p>
      <w:pPr>
        <w:ind w:left="760" w:hanging="749"/>
        <w:spacing w:after="0" w:line="271" w:lineRule="auto"/>
        <w:tabs>
          <w:tab w:leader="none" w:pos="760" w:val="left"/>
        </w:tabs>
        <w:numPr>
          <w:ilvl w:val="0"/>
          <w:numId w:val="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California Accessibility Disclosure</w:t>
      </w:r>
      <w:r>
        <w:rPr>
          <w:rFonts w:ascii="Arial" w:cs="Arial" w:eastAsia="Arial" w:hAnsi="Arial"/>
          <w:sz w:val="18"/>
          <w:szCs w:val="18"/>
          <w:color w:val="auto"/>
        </w:rPr>
        <w:t>.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Lease are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Fifth Amendment by reference.</w:t>
      </w:r>
    </w:p>
    <w:p>
      <w:pPr>
        <w:spacing w:after="0" w:line="153" w:lineRule="exact"/>
        <w:rPr>
          <w:rFonts w:ascii="Arial" w:cs="Arial" w:eastAsia="Arial" w:hAnsi="Arial"/>
          <w:sz w:val="18"/>
          <w:szCs w:val="18"/>
          <w:b w:val="1"/>
          <w:bCs w:val="1"/>
          <w:u w:val="single" w:color="auto"/>
          <w:color w:val="auto"/>
        </w:rPr>
      </w:pPr>
    </w:p>
    <w:p>
      <w:pPr>
        <w:jc w:val="both"/>
        <w:ind w:left="760" w:hanging="749"/>
        <w:spacing w:after="0"/>
        <w:tabs>
          <w:tab w:leader="none" w:pos="760" w:val="left"/>
        </w:tabs>
        <w:numPr>
          <w:ilvl w:val="0"/>
          <w:numId w:val="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all beneficial owners of Tenant are currently (a) in compliance with and shall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w:t>
      </w:r>
      <w:r>
        <w:rPr>
          <w:rFonts w:ascii="Arial" w:cs="Arial" w:eastAsia="Arial" w:hAnsi="Arial"/>
          <w:sz w:val="18"/>
          <w:szCs w:val="18"/>
          <w:color w:val="auto"/>
        </w:rPr>
        <w:t xml:space="preserve"> </w:t>
      </w:r>
      <w:r>
        <w:rPr>
          <w:rFonts w:ascii="Arial" w:cs="Arial" w:eastAsia="Arial" w:hAnsi="Arial"/>
          <w:sz w:val="18"/>
          <w:szCs w:val="18"/>
          <w:b w:val="1"/>
          <w:bCs w:val="1"/>
          <w:color w:val="auto"/>
        </w:rPr>
        <w:t>Rules</w:t>
      </w:r>
      <w:r>
        <w:rPr>
          <w:rFonts w:ascii="Arial" w:cs="Arial" w:eastAsia="Arial" w:hAnsi="Arial"/>
          <w:sz w:val="18"/>
          <w:szCs w:val="18"/>
          <w:color w:val="auto"/>
        </w:rPr>
        <w:t>”), (b) not listed on, and shall not during the term of the Lease be listed on, the Specially Designated Nationals</w:t>
      </w:r>
      <w:r>
        <w:rPr>
          <w:rFonts w:ascii="Arial" w:cs="Arial" w:eastAsia="Arial" w:hAnsi="Arial"/>
          <w:sz w:val="18"/>
          <w:szCs w:val="18"/>
          <w:b w:val="1"/>
          <w:bCs w:val="1"/>
          <w:color w:val="auto"/>
        </w:rPr>
        <w:t xml:space="preserve"> </w:t>
      </w:r>
      <w:r>
        <w:rPr>
          <w:rFonts w:ascii="Arial" w:cs="Arial" w:eastAsia="Arial" w:hAnsi="Arial"/>
          <w:sz w:val="18"/>
          <w:szCs w:val="18"/>
          <w:color w:val="auto"/>
        </w:rPr>
        <w:t>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4" w:lineRule="exact"/>
        <w:rPr>
          <w:rFonts w:ascii="Arial" w:cs="Arial" w:eastAsia="Arial" w:hAnsi="Arial"/>
          <w:sz w:val="18"/>
          <w:szCs w:val="18"/>
          <w:b w:val="1"/>
          <w:bCs w:val="1"/>
          <w:u w:val="single" w:color="auto"/>
          <w:color w:val="auto"/>
        </w:rPr>
      </w:pPr>
    </w:p>
    <w:p>
      <w:pPr>
        <w:ind w:left="760" w:hanging="749"/>
        <w:spacing w:after="0"/>
        <w:tabs>
          <w:tab w:leader="none" w:pos="760" w:val="left"/>
        </w:tabs>
        <w:numPr>
          <w:ilvl w:val="0"/>
          <w:numId w:val="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u w:val="single" w:color="auto"/>
          <w:color w:val="auto"/>
        </w:rPr>
      </w:pPr>
    </w:p>
    <w:p>
      <w:pPr>
        <w:jc w:val="both"/>
        <w:ind w:left="760"/>
        <w:spacing w:after="0" w:line="247" w:lineRule="auto"/>
        <w:tabs>
          <w:tab w:leader="none" w:pos="9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Fifth Amendment is the entire agreement between the parties with respect to the subject matter hereof and supersedes all prior and contemporaneous oral and written agreements and discussions. Reference to the Lease in this Fifth Amendment shall mean the Lease as amended by this Fifth Amendment. This Fifth Amendment may be amended only by an agreement in writing, signed by the parties hereto.</w:t>
      </w:r>
    </w:p>
    <w:p>
      <w:pPr>
        <w:spacing w:after="0" w:line="173" w:lineRule="exact"/>
        <w:rPr>
          <w:rFonts w:ascii="Arial" w:cs="Arial" w:eastAsia="Arial" w:hAnsi="Arial"/>
          <w:sz w:val="18"/>
          <w:szCs w:val="18"/>
          <w:color w:val="auto"/>
        </w:rPr>
      </w:pPr>
    </w:p>
    <w:p>
      <w:pPr>
        <w:ind w:left="760"/>
        <w:spacing w:after="0" w:line="271" w:lineRule="auto"/>
        <w:tabs>
          <w:tab w:leader="none" w:pos="9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Once executed by both parties, this Fifth Amendment is binding upon and shall inure to the benefit of the parties hereto and their respective successors and assigns.</w:t>
      </w:r>
    </w:p>
    <w:p>
      <w:pPr>
        <w:spacing w:after="0" w:line="153" w:lineRule="exact"/>
        <w:rPr>
          <w:rFonts w:ascii="Arial" w:cs="Arial" w:eastAsia="Arial" w:hAnsi="Arial"/>
          <w:sz w:val="18"/>
          <w:szCs w:val="18"/>
          <w:color w:val="auto"/>
        </w:rPr>
      </w:pPr>
    </w:p>
    <w:p>
      <w:pPr>
        <w:jc w:val="both"/>
        <w:ind w:left="760"/>
        <w:spacing w:after="0"/>
        <w:tabs>
          <w:tab w:leader="none" w:pos="9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Fifth Amendment may be executed in 2 or more counterparts, each of which shall be deemed an original, but all of which together shall constitute one and the same instrument. Counterparts may be delivered via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Fifth Amendment and all matters related thereto, with such electronic signatures having the same legal effect as original signatures.</w:t>
      </w:r>
    </w:p>
    <w:p>
      <w:pPr>
        <w:spacing w:after="0" w:line="184" w:lineRule="exact"/>
        <w:rPr>
          <w:rFonts w:ascii="Arial" w:cs="Arial" w:eastAsia="Arial" w:hAnsi="Arial"/>
          <w:sz w:val="18"/>
          <w:szCs w:val="18"/>
          <w:color w:val="auto"/>
        </w:rPr>
      </w:pPr>
    </w:p>
    <w:p>
      <w:pPr>
        <w:jc w:val="both"/>
        <w:ind w:left="760"/>
        <w:spacing w:after="0" w:line="242" w:lineRule="auto"/>
        <w:tabs>
          <w:tab w:leader="none" w:pos="9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amended and/or modified by this Fifth Amendment, the Lease is hereby ratified and confirmed and all other terms of the Lease shall remain in full force and effect, unaltered and unchanged by this Fifth Amendment. In the event of any conflict between the provisions of this Fifth Amendment and the provisions of the Lease, the provisions of this Fifth Amendment shall prevail. Whether or not specifically amended by this Fifth Amendment, all of the terms and provisions of the Lease are hereby amended to the extent necessary to give effect to the purpose and intent of this Fifth Amendment.</w:t>
      </w:r>
    </w:p>
    <w:p>
      <w:pPr>
        <w:spacing w:after="0" w:line="200" w:lineRule="exact"/>
        <w:rPr>
          <w:sz w:val="20"/>
          <w:szCs w:val="20"/>
          <w:color w:val="auto"/>
        </w:rPr>
      </w:pPr>
    </w:p>
    <w:p>
      <w:pPr>
        <w:spacing w:after="0" w:line="39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429260</wp:posOffset>
            </wp:positionV>
            <wp:extent cx="2529205" cy="3511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25292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759460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8" w:name="page39"/>
    <w:bookmarkEnd w:id="38"/>
    <w:p>
      <w:pPr>
        <w:ind w:right="1820" w:firstLine="749"/>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Fifth Amendment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5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ARCTURUS THERAPEUTICS,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ind w:left="45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6"/>
          <w:szCs w:val="16"/>
          <w:color w:val="auto"/>
        </w:rPr>
        <w:t>Joe Payne</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6"/>
          <w:szCs w:val="16"/>
          <w:color w:val="auto"/>
        </w:rPr>
        <w:t>.President &amp; CEO</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X</w:t>
      </w:r>
      <w:r>
        <w:rPr>
          <w:rFonts w:ascii="Arial" w:cs="Arial" w:eastAsia="Arial" w:hAnsi="Arial"/>
          <w:sz w:val="17"/>
          <w:szCs w:val="17"/>
          <w:color w:val="auto"/>
        </w:rPr>
        <w:t>□ I hereby certify that the signature, name, and title</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ARE-SD REGION NO. 44, LLC</w:t>
      </w:r>
      <w:r>
        <w:rPr>
          <w:rFonts w:ascii="Arial" w:cs="Arial" w:eastAsia="Arial" w:hAnsi="Arial"/>
          <w:sz w:val="18"/>
          <w:szCs w:val="18"/>
          <w:color w:val="auto"/>
        </w:rPr>
        <w: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limited liability company</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 Delaware limited partnership,</w:t>
      </w:r>
    </w:p>
    <w:p>
      <w:pPr>
        <w:ind w:left="5240"/>
        <w:spacing w:after="0"/>
        <w:rPr>
          <w:sz w:val="20"/>
          <w:szCs w:val="20"/>
          <w:color w:val="auto"/>
        </w:rPr>
      </w:pPr>
      <w:r>
        <w:rPr>
          <w:rFonts w:ascii="Arial" w:cs="Arial" w:eastAsia="Arial" w:hAnsi="Arial"/>
          <w:sz w:val="18"/>
          <w:szCs w:val="18"/>
          <w:color w:val="auto"/>
        </w:rPr>
        <w:t>managing member</w:t>
      </w:r>
    </w:p>
    <w:p>
      <w:pPr>
        <w:spacing w:after="0" w:line="1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ARE-QRS CORP.,</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Maryland corporation,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ind w:left="59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6"/>
          <w:szCs w:val="16"/>
          <w:color w:val="auto"/>
        </w:rPr>
        <w:t>Gary Dean</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6"/>
          <w:szCs w:val="16"/>
          <w:u w:val="single" w:color="auto"/>
          <w:color w:val="auto"/>
        </w:rPr>
        <w:t>Executive Vice President – Re</w:t>
      </w:r>
      <w:r>
        <w:rPr>
          <w:rFonts w:ascii="Arial" w:cs="Arial" w:eastAsia="Arial" w:hAnsi="Arial"/>
          <w:sz w:val="16"/>
          <w:szCs w:val="16"/>
          <w:color w:val="auto"/>
        </w:rPr>
        <w:t>al Estate Leg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1573530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2057400" cy="28257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2057400" cy="282575"/>
                    </a:xfrm>
                    <a:prstGeom prst="rect">
                      <a:avLst/>
                    </a:prstGeom>
                    <a:noFill/>
                    <a:ln>
                      <a:noFill/>
                    </a:ln>
                  </pic:spPr>
                </pic:pic>
              </a:graphicData>
            </a:graphic>
          </wp:inline>
        </w:drawing>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Payne,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Andy Sassine,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September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4"/>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jpeg"/><Relationship Id="rId216" Type="http://schemas.openxmlformats.org/officeDocument/2006/relationships/image" Target="media/image169.png"/><Relationship Id="rId217" Type="http://schemas.openxmlformats.org/officeDocument/2006/relationships/image" Target="media/image170.jpe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jpe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167" Type="http://schemas.openxmlformats.org/officeDocument/2006/relationships/hyperlink" Target="https://www.sec.gov/Archives/edgar/data/1768224/000119380522001786/e618047_ex1-2.htm" TargetMode="External"/><Relationship Id="rId168" Type="http://schemas.openxmlformats.org/officeDocument/2006/relationships/hyperlink" Target="https://www.sec.gov/Archives/edgar/data/1768224/000119380523001112/e618839_ex1-1.htm" TargetMode="External"/><Relationship Id="rId169" Type="http://schemas.openxmlformats.org/officeDocument/2006/relationships/hyperlink" Target="https://www.sec.gov/Archives/edgar/data/0001566049/000119312519077140/d721306ds4.htm" TargetMode="External"/><Relationship Id="rId170" Type="http://schemas.openxmlformats.org/officeDocument/2006/relationships/hyperlink" Target="https://www.sec.gov/Archives/edgar/data/0001768224/000119380520001470/e620104_ex3-1.htm" TargetMode="External"/><Relationship Id="rId171" Type="http://schemas.openxmlformats.org/officeDocument/2006/relationships/hyperlink" Target="https://www.sec.gov/Archives/edgar/data/0001768224/000119380520000569/e619613_ex3-2.htm" TargetMode="External"/><Relationship Id="rId172" Type="http://schemas.openxmlformats.org/officeDocument/2006/relationships/hyperlink" Target="https://www.sec.gov/Archives/edgar/data/1768224/000156459021009872/arct-ex41_391.htm" TargetMode="External"/><Relationship Id="rId173" Type="http://schemas.openxmlformats.org/officeDocument/2006/relationships/hyperlink" Target="https://www.sec.gov/Archives/edgar/data/1768224/000156459020011037/arct-ex101_364.htm" TargetMode="External"/><Relationship Id="rId174" Type="http://schemas.openxmlformats.org/officeDocument/2006/relationships/hyperlink" Target="https://www.sec.gov/Archives/edgar/data/0001768224/000119380520000940/e619825_ex4-3.htm" TargetMode="External"/><Relationship Id="rId175" Type="http://schemas.openxmlformats.org/officeDocument/2006/relationships/hyperlink" Target="https://www.sec.gov/Archives/edgar/data/0001566049/000156459018023735/arct-ex992_6.htm" TargetMode="External"/><Relationship Id="rId176" Type="http://schemas.openxmlformats.org/officeDocument/2006/relationships/hyperlink" Target="https://www.sec.gov/Archives/edgar/data/0001566049/000156459018013460/arct-ex48_879.htm" TargetMode="External"/><Relationship Id="rId177" Type="http://schemas.openxmlformats.org/officeDocument/2006/relationships/hyperlink" Target="https://www.sec.gov/Archives/edgar/data/0001566049/000156459018013460/arct-ex410_883.htm" TargetMode="External"/><Relationship Id="rId178" Type="http://schemas.openxmlformats.org/officeDocument/2006/relationships/hyperlink" Target="https://www.sec.gov/Archives/edgar/data/0001566049/000119312519176908/d721252dex102.htm" TargetMode="External"/><Relationship Id="rId179" Type="http://schemas.openxmlformats.org/officeDocument/2006/relationships/hyperlink" Target="https://www.sec.gov/Archives/edgar/data/0001566049/000156459018013460/arct-ex411_878.htm" TargetMode="External"/><Relationship Id="rId180" Type="http://schemas.openxmlformats.org/officeDocument/2006/relationships/hyperlink" Target="https://www.sec.gov/Archives/edgar/data/0001768224/000156459019032166/arct-ex1016_165.htm" TargetMode="External"/><Relationship Id="rId181" Type="http://schemas.openxmlformats.org/officeDocument/2006/relationships/hyperlink" Target="https://www.sec.gov/Archives/edgar/data/0001566049/000156459018013460/arct-ex412_1677.htm" TargetMode="External"/><Relationship Id="rId182" Type="http://schemas.openxmlformats.org/officeDocument/2006/relationships/hyperlink" Target="https://www.sec.gov/Archives/edgar/data/0001768224/000156459019032166/arct-ex1020_166.htm" TargetMode="External"/><Relationship Id="rId183" Type="http://schemas.openxmlformats.org/officeDocument/2006/relationships/hyperlink" Target="https://www.sec.gov/Archives/edgar/data/0001566049/000156459018016705/arct-ex414_7.htm" TargetMode="External"/><Relationship Id="rId186" Type="http://schemas.openxmlformats.org/officeDocument/2006/relationships/hyperlink" Target="https://www.sec.gov/Archives/edgar/data/0001566049/000156459018013460/arct-ex415_876.htm" TargetMode="External"/><Relationship Id="rId187" Type="http://schemas.openxmlformats.org/officeDocument/2006/relationships/hyperlink" Target="https://www.sec.gov/Archives/edgar/data/0001566049/000156459019008092/arct-ex1013_446.htm" TargetMode="External"/><Relationship Id="rId188" Type="http://schemas.openxmlformats.org/officeDocument/2006/relationships/hyperlink" Target="https://www.sec.gov/Archives/edgar/data/0001566049/000156459018013460/arct-ex46_882.htm" TargetMode="External"/><Relationship Id="rId189" Type="http://schemas.openxmlformats.org/officeDocument/2006/relationships/hyperlink" Target="https://www.sec.gov/Archives/edgar/data/0001768224/000156459020011037/arct-ex1023_426.htm" TargetMode="External"/><Relationship Id="rId190" Type="http://schemas.openxmlformats.org/officeDocument/2006/relationships/hyperlink" Target="https://www.sec.gov/Archives/edgar/data/0001768224/000156459020011037/arct-ex1024_365.htm" TargetMode="External"/><Relationship Id="rId191" Type="http://schemas.openxmlformats.org/officeDocument/2006/relationships/hyperlink" Target="https://www.sec.gov/Archives/edgar/data/1768224/000156459021009872/arct-ex1029_392.htm" TargetMode="External"/><Relationship Id="rId192" Type="http://schemas.openxmlformats.org/officeDocument/2006/relationships/hyperlink" Target="https://www.sec.gov/Archives/edgar/data/1768224/000156459021009872/arct-ex1030_393.htm" TargetMode="External"/><Relationship Id="rId193" Type="http://schemas.openxmlformats.org/officeDocument/2006/relationships/hyperlink" Target="https://www.sec.gov/Archives/edgar/data/1768224/000119380521000538/e620514_ex10-1.htm" TargetMode="External"/><Relationship Id="rId194" Type="http://schemas.openxmlformats.org/officeDocument/2006/relationships/hyperlink" Target="https://www.sec.gov/Archives/edgar/data/1768224/000156459021055372/arct-ex1035_75.htm" TargetMode="External"/><Relationship Id="rId195" Type="http://schemas.openxmlformats.org/officeDocument/2006/relationships/hyperlink" Target="https://www.sec.gov/Archives/edgar/data/0001768224/000119380521001468/e621018_ex4-1.htm" TargetMode="External"/><Relationship Id="rId196" Type="http://schemas.openxmlformats.org/officeDocument/2006/relationships/hyperlink" Target="https://www.sec.gov/Archives/edgar/data/1768224/000119380522001036/e621786_ex4-3.htm" TargetMode="External"/><Relationship Id="rId197" Type="http://schemas.openxmlformats.org/officeDocument/2006/relationships/hyperlink" Target="https://www.sec.gov/Archives/edgar/data/1768224/000095017022023969/arct-ex10_36.htm" TargetMode="External"/><Relationship Id="rId198" Type="http://schemas.openxmlformats.org/officeDocument/2006/relationships/hyperlink" Target="https://www.sec.gov/Archives/edgar/data/1768224/000119380522001480/e617791_ex10-1.htm" TargetMode="External"/><Relationship Id="rId199" Type="http://schemas.openxmlformats.org/officeDocument/2006/relationships/hyperlink" Target="https://www.sec.gov/Archives/edgar/data/1768224/000095017022023969/arct-ex10_38.htm" TargetMode="External"/><Relationship Id="rId200" Type="http://schemas.openxmlformats.org/officeDocument/2006/relationships/hyperlink" Target="https://www.sec.gov/Archives/edgar/data/1768224/000095017023010380/arct-ex10_41.htm" TargetMode="External"/><Relationship Id="rId201" Type="http://schemas.openxmlformats.org/officeDocument/2006/relationships/hyperlink" Target="https://www.sec.gov/Archives/edgar/data/1768224/000095017023019773/arct-ex10_28.htm" TargetMode="External"/><Relationship Id="rId204" Type="http://schemas.openxmlformats.org/officeDocument/2006/relationships/hyperlink" Target="https://www.sec.gov/Archives/edgar/data/1768224/000095017023019773/arct-ex10_29.htm" TargetMode="External"/><Relationship Id="rId205" Type="http://schemas.openxmlformats.org/officeDocument/2006/relationships/hyperlink" Target="https://www.sec.gov/Archives/edgar/data/1768224/000095017023019773/arct-ex10_30.htm" TargetMode="External"/><Relationship Id="rId206" Type="http://schemas.openxmlformats.org/officeDocument/2006/relationships/hyperlink" Target="https://www.sec.gov/Archives/edgar/data/1768224/000095017023063778/arct-ex10_31.htm" TargetMode="External"/><Relationship Id="rId207" Type="http://schemas.openxmlformats.org/officeDocument/2006/relationships/hyperlink" Target="https://www.sec.gov/Archives/edgar/data/1768224/000095017023063778/arct-ex10_32.htm" TargetMode="External"/><Relationship Id="rId208" Type="http://schemas.openxmlformats.org/officeDocument/2006/relationships/hyperlink" Target="https://www.sec.gov/Archives/edgar/data/1768224/000095017024055702/arct-ex10_33.htm" TargetMode="External"/><Relationship Id="rId209" Type="http://schemas.openxmlformats.org/officeDocument/2006/relationships/hyperlink" Target="https://www.sec.gov/Archives/edgar/data/1768224/000119380524000806/e663711_ex10-1.htm" TargetMode="External"/><Relationship Id="rId210" Type="http://schemas.openxmlformats.org/officeDocument/2006/relationships/hyperlink" Target="https://www.sec.gov/Archives/edgar/data/1768224/000095017024090905/arct-ex10_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2024-11-07T16:32:04Z</dcterms:created>
  <dcterms:modified xsi:type="dcterms:W3CDTF">2024-11-07T16:32:04Z</dcterms:modified>
</cp:coreProperties>
</file>