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February 2017 (Report No. 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February 15, 2017, announcing its financial results for the fourth quarter ended December 31, 2016.</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GAAP financial statements in this Form 6-K of the registrant are incorporated by reference into the Registration Statements on Form F-3 (File No. 333-209960) and Forms S-8 (File No. 333-194875, File No.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February 15, 2017, announcing its financial results for the fourth quarter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Tomer Berkovitz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-121920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337"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165735</wp:posOffset>
            </wp:positionV>
            <wp:extent cx="1534795"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212-390-8964, Intl: +972-3-7299871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00" w:lineRule="exact"/>
        <w:rPr>
          <w:sz w:val="20"/>
          <w:szCs w:val="20"/>
          <w:color w:val="auto"/>
        </w:rPr>
      </w:pPr>
    </w:p>
    <w:p>
      <w:pPr>
        <w:spacing w:after="0" w:line="22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ALCOBRA ANNOUNCES FOURTH-QUARTER AND FULL-YEAR 2016 FINANCIAL RESULTS AND PROVIDES CORPORATE UPDATE </w:t>
      </w:r>
      <w:r>
        <w:rPr>
          <w:rFonts w:ascii="Arial" w:cs="Arial" w:eastAsia="Arial" w:hAnsi="Arial"/>
          <w:sz w:val="18"/>
          <w:szCs w:val="18"/>
          <w:i w:val="1"/>
          <w:iCs w:val="1"/>
          <w:color w:val="auto"/>
        </w:rPr>
        <w:t>Conference Call &amp; Webcast February 15th at 8:30 a.m. Eastern Time/5:30 a.m. Pacific Time</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Tel Aviv, Israel – February 15, 2017 </w:t>
      </w:r>
      <w:r>
        <w:rPr>
          <w:rFonts w:ascii="Arial" w:cs="Arial" w:eastAsia="Arial" w:hAnsi="Arial"/>
          <w:sz w:val="18"/>
          <w:szCs w:val="18"/>
          <w:color w:val="auto"/>
        </w:rPr>
        <w:t>– 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CNS and cognitive disorders, today announced financial results for the three and twelve months ended December 31, 2016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Updates:</w:t>
      </w:r>
    </w:p>
    <w:p>
      <w:pPr>
        <w:spacing w:after="0" w:line="27" w:lineRule="exact"/>
        <w:rPr>
          <w:sz w:val="20"/>
          <w:szCs w:val="20"/>
          <w:color w:val="auto"/>
        </w:rPr>
      </w:pPr>
    </w:p>
    <w:p>
      <w:pPr>
        <w:jc w:val="both"/>
        <w:ind w:left="580" w:right="560" w:hanging="329"/>
        <w:spacing w:after="0" w:line="28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In January 2017, Alcobra held a Pre-IND meeting with the U.S. Food &amp; Drug Administration (FDA) regarding the company’s new proprietary </w:t>
      </w:r>
      <w:r>
        <w:rPr>
          <w:rFonts w:ascii="Arial" w:cs="Arial" w:eastAsia="Arial" w:hAnsi="Arial"/>
          <w:sz w:val="16"/>
          <w:szCs w:val="16"/>
          <w:b w:val="1"/>
          <w:bCs w:val="1"/>
          <w:color w:val="auto"/>
        </w:rPr>
        <w:t>A</w:t>
      </w:r>
      <w:r>
        <w:rPr>
          <w:rFonts w:ascii="Arial" w:cs="Arial" w:eastAsia="Arial" w:hAnsi="Arial"/>
          <w:sz w:val="16"/>
          <w:szCs w:val="16"/>
          <w:color w:val="auto"/>
        </w:rPr>
        <w:t>buse-</w:t>
      </w:r>
      <w:r>
        <w:rPr>
          <w:rFonts w:ascii="Arial" w:cs="Arial" w:eastAsia="Arial" w:hAnsi="Arial"/>
          <w:sz w:val="16"/>
          <w:szCs w:val="16"/>
          <w:b w:val="1"/>
          <w:bCs w:val="1"/>
          <w:color w:val="auto"/>
        </w:rPr>
        <w:t>D</w:t>
      </w:r>
      <w:r>
        <w:rPr>
          <w:rFonts w:ascii="Arial" w:cs="Arial" w:eastAsia="Arial" w:hAnsi="Arial"/>
          <w:sz w:val="16"/>
          <w:szCs w:val="16"/>
          <w:color w:val="auto"/>
        </w:rPr>
        <w:t>eterrent,</w:t>
      </w:r>
      <w:r>
        <w:rPr>
          <w:rFonts w:ascii="Arial" w:cs="Arial" w:eastAsia="Arial" w:hAnsi="Arial"/>
          <w:sz w:val="16"/>
          <w:szCs w:val="16"/>
          <w:b w:val="1"/>
          <w:bCs w:val="1"/>
          <w:color w:val="auto"/>
        </w:rPr>
        <w:t xml:space="preserve"> A</w:t>
      </w:r>
      <w:r>
        <w:rPr>
          <w:rFonts w:ascii="Arial" w:cs="Arial" w:eastAsia="Arial" w:hAnsi="Arial"/>
          <w:sz w:val="16"/>
          <w:szCs w:val="16"/>
          <w:color w:val="auto"/>
        </w:rPr>
        <w:t>mphetamine</w:t>
      </w:r>
      <w:r>
        <w:rPr>
          <w:rFonts w:ascii="Arial" w:cs="Arial" w:eastAsia="Arial" w:hAnsi="Arial"/>
          <w:sz w:val="16"/>
          <w:szCs w:val="16"/>
          <w:b w:val="1"/>
          <w:bCs w:val="1"/>
          <w:color w:val="auto"/>
        </w:rPr>
        <w:t xml:space="preserve"> I</w:t>
      </w:r>
      <w:r>
        <w:rPr>
          <w:rFonts w:ascii="Arial" w:cs="Arial" w:eastAsia="Arial" w:hAnsi="Arial"/>
          <w:sz w:val="16"/>
          <w:szCs w:val="16"/>
          <w:color w:val="auto"/>
        </w:rPr>
        <w:t>mmediate</w:t>
      </w:r>
      <w:r>
        <w:rPr>
          <w:rFonts w:ascii="Arial" w:cs="Arial" w:eastAsia="Arial" w:hAnsi="Arial"/>
          <w:sz w:val="16"/>
          <w:szCs w:val="16"/>
          <w:b w:val="1"/>
          <w:bCs w:val="1"/>
          <w:color w:val="auto"/>
        </w:rPr>
        <w:t xml:space="preserve"> R</w:t>
      </w:r>
      <w:r>
        <w:rPr>
          <w:rFonts w:ascii="Arial" w:cs="Arial" w:eastAsia="Arial" w:hAnsi="Arial"/>
          <w:sz w:val="16"/>
          <w:szCs w:val="16"/>
          <w:color w:val="auto"/>
        </w:rPr>
        <w:t>elease (</w:t>
      </w:r>
      <w:r>
        <w:rPr>
          <w:rFonts w:ascii="Arial" w:cs="Arial" w:eastAsia="Arial" w:hAnsi="Arial"/>
          <w:sz w:val="16"/>
          <w:szCs w:val="16"/>
          <w:b w:val="1"/>
          <w:bCs w:val="1"/>
          <w:color w:val="auto"/>
        </w:rPr>
        <w:t>ADAIR</w:t>
      </w:r>
      <w:r>
        <w:rPr>
          <w:rFonts w:ascii="Arial" w:cs="Arial" w:eastAsia="Arial" w:hAnsi="Arial"/>
          <w:sz w:val="16"/>
          <w:szCs w:val="16"/>
          <w:color w:val="auto"/>
        </w:rPr>
        <w:t>) product candidate for the treatment of Attention Deficit Hyperactivity Disorder</w:t>
      </w:r>
      <w:r>
        <w:rPr>
          <w:rFonts w:ascii="Arial" w:cs="Arial" w:eastAsia="Arial" w:hAnsi="Arial"/>
          <w:sz w:val="16"/>
          <w:szCs w:val="16"/>
          <w:b w:val="1"/>
          <w:bCs w:val="1"/>
          <w:color w:val="auto"/>
        </w:rPr>
        <w:t xml:space="preserve"> </w:t>
      </w:r>
      <w:r>
        <w:rPr>
          <w:rFonts w:ascii="Arial" w:cs="Arial" w:eastAsia="Arial" w:hAnsi="Arial"/>
          <w:sz w:val="16"/>
          <w:szCs w:val="16"/>
          <w:color w:val="auto"/>
        </w:rPr>
        <w:t>(ADHD). ADAIR could be the first FDA-approved proprietary Abuse Deterrent immediate-release dextro-amphetamine drug.</w:t>
      </w:r>
    </w:p>
    <w:p>
      <w:pPr>
        <w:spacing w:after="0" w:line="2" w:lineRule="exact"/>
        <w:rPr>
          <w:rFonts w:ascii="Arial" w:cs="Arial" w:eastAsia="Arial" w:hAnsi="Arial"/>
          <w:sz w:val="16"/>
          <w:szCs w:val="16"/>
          <w:color w:val="auto"/>
        </w:rPr>
      </w:pPr>
    </w:p>
    <w:p>
      <w:pPr>
        <w:ind w:left="580" w:hanging="329"/>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result of this meeting, Alcobra plans to develop ADAIR to deter abuse by snorting or injecting, a significant unmet need in the growing ADHD market which includes over 24 million annual U.S. prescriptions of immediate-release stimulants. Recent studies show that 40% or more of the people who misuse stimulants do so by snorting or injecting them.</w:t>
      </w:r>
    </w:p>
    <w:p>
      <w:pPr>
        <w:spacing w:after="0" w:line="1" w:lineRule="exact"/>
        <w:rPr>
          <w:rFonts w:ascii="Arial" w:cs="Arial" w:eastAsia="Arial" w:hAnsi="Arial"/>
          <w:sz w:val="18"/>
          <w:szCs w:val="18"/>
          <w:color w:val="auto"/>
        </w:rPr>
      </w:pPr>
    </w:p>
    <w:p>
      <w:pPr>
        <w:ind w:left="580" w:right="440" w:hanging="329"/>
        <w:spacing w:after="0" w:line="235"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Alcobra has been developing ADAIR’s patent-pending formulation, specifically designed to deter abuse by snorting or injecting, for over a year. Development was conducted in association with Capsugel</w:t>
      </w:r>
      <w:r>
        <w:rPr>
          <w:rFonts w:ascii="Arial" w:cs="Arial" w:eastAsia="Arial" w:hAnsi="Arial"/>
          <w:sz w:val="26"/>
          <w:szCs w:val="26"/>
          <w:color w:val="auto"/>
          <w:vertAlign w:val="superscript"/>
        </w:rPr>
        <w:t>®</w:t>
      </w:r>
      <w:r>
        <w:rPr>
          <w:rFonts w:ascii="Arial" w:cs="Arial" w:eastAsia="Arial" w:hAnsi="Arial"/>
          <w:sz w:val="16"/>
          <w:szCs w:val="16"/>
          <w:color w:val="auto"/>
        </w:rPr>
        <w:t>, a global leader in delivering high-quality, innovative dosage forms and solutions.</w:t>
      </w:r>
    </w:p>
    <w:p>
      <w:pPr>
        <w:spacing w:after="0" w:line="1" w:lineRule="exact"/>
        <w:rPr>
          <w:rFonts w:ascii="Arial" w:cs="Arial" w:eastAsia="Arial" w:hAnsi="Arial"/>
          <w:sz w:val="16"/>
          <w:szCs w:val="16"/>
          <w:color w:val="auto"/>
        </w:rPr>
      </w:pPr>
    </w:p>
    <w:p>
      <w:pPr>
        <w:ind w:left="580" w:right="500" w:hanging="329"/>
        <w:spacing w:after="0" w:line="24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ADAIR will be developed through a 505(b)(2) development path, targeting a 2H 2018 New Drug Application (NDA) submission. Management expects that all development activities to NDA filing can be supported by Alcobra’s existing cash resources.</w:t>
      </w:r>
    </w:p>
    <w:p>
      <w:pPr>
        <w:ind w:left="580" w:hanging="329"/>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Extensive analyses and commissioned surveys suggest a potential of $300+ million in ADAIR annual sales within four years of launch, if approved.</w:t>
      </w:r>
    </w:p>
    <w:p>
      <w:pPr>
        <w:spacing w:after="0" w:line="32" w:lineRule="exact"/>
        <w:rPr>
          <w:rFonts w:ascii="Arial" w:cs="Arial" w:eastAsia="Arial" w:hAnsi="Arial"/>
          <w:sz w:val="16"/>
          <w:szCs w:val="16"/>
          <w:color w:val="auto"/>
        </w:rPr>
      </w:pPr>
    </w:p>
    <w:p>
      <w:pPr>
        <w:ind w:left="580" w:hanging="329"/>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ADAIR can potentially be the first FDA-approved proprietary abuse deterrent immediate release dextro-amphetamine drug in the market.</w:t>
      </w:r>
    </w:p>
    <w:p>
      <w:pPr>
        <w:spacing w:after="0" w:line="20" w:lineRule="exact"/>
        <w:rPr>
          <w:rFonts w:ascii="Arial" w:cs="Arial" w:eastAsia="Arial" w:hAnsi="Arial"/>
          <w:sz w:val="17"/>
          <w:szCs w:val="17"/>
          <w:color w:val="auto"/>
        </w:rPr>
      </w:pPr>
    </w:p>
    <w:p>
      <w:pPr>
        <w:ind w:left="580" w:right="20" w:hanging="329"/>
        <w:spacing w:after="0" w:line="261"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is exploring various strategic alternatives for Metadoxine Extended Release (MDX) while minimizing any additional investment of Alcobra’s existing resources on this drug candidate.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and Fiscal-Year Ended December 31, 2016 Financial Results:</w:t>
      </w:r>
    </w:p>
    <w:p>
      <w:pPr>
        <w:spacing w:after="0" w:line="27" w:lineRule="exact"/>
        <w:rPr>
          <w:sz w:val="20"/>
          <w:szCs w:val="20"/>
          <w:color w:val="auto"/>
        </w:rPr>
      </w:pPr>
    </w:p>
    <w:p>
      <w:pPr>
        <w:ind w:left="340" w:right="3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fourth quarter and fiscal year 2016 were $6.1 million and $25.2 million, respectively, compared with $5.0 million and $19.7 million in the fourth quarter and fiscal year 2015.</w:t>
      </w:r>
    </w:p>
    <w:p>
      <w:pPr>
        <w:ind w:left="340" w:right="6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operating expenses, excluding non-cash stock based compensation of $0.5 million and $2.5 million, respectively, in the fourth quarter and fiscal year 2016 were $5.6 million and $22.7 million, respectively, compared with $4.4 million and $17.3 million in the fourth quarter and fiscal year 2015.</w:t>
      </w:r>
    </w:p>
    <w:p>
      <w:pPr>
        <w:spacing w:after="0" w:line="1" w:lineRule="exact"/>
        <w:rPr>
          <w:rFonts w:ascii="Arial" w:cs="Arial" w:eastAsia="Arial" w:hAnsi="Arial"/>
          <w:sz w:val="16"/>
          <w:szCs w:val="16"/>
          <w:color w:val="auto"/>
        </w:rPr>
      </w:pPr>
    </w:p>
    <w:p>
      <w:pPr>
        <w:jc w:val="both"/>
        <w:ind w:left="340" w:right="16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in the fourth quarter and fiscal year 2016 were $4.4 million and $18.4 million, respectively, compared with $3.3 million and $13.5 million in the fourth quarter and fiscal year 2015. R&amp;D expenses consisted primarily of costs associated with the conduct of the MEASURE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448945</wp:posOffset>
            </wp:positionV>
            <wp:extent cx="1534795" cy="78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340" w:right="120" w:hanging="332"/>
        <w:spacing w:after="0" w:line="27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and administrative (G&amp;A) expenses in the fourth quarter and fiscal year 2016 were $1.3 million and $5.4 million, respectively, compared with $1.3 million and $5.0 million in the fourth quarter and fiscal year 2015. Pre-commercialization expenses in the fourth quarter and fiscal year 2016 were $0.4 million and $1.4 million, respectively, compared with $0.3 million and $1.2 million in the fourth quarter and fiscal year 2015.</w:t>
      </w:r>
    </w:p>
    <w:p>
      <w:pPr>
        <w:ind w:left="340" w:right="2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marketable securities, and deposits totaled $50.2 million at December 31, 2016, compared with $54.3 million at September 30, 2016 and $69.7 million at December 31, 2015.</w:t>
      </w: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estimated clinical development cost of the ADAIR product to NDA filing is approximately $13 million. The investment to date in the project (2015 and 2016) has been less than $1 million.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Wednesday, February 15, 2017 @ 8:30a.m. Eastern Time</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63950344</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0000FF"/>
        </w:rPr>
        <w:t>http://edge.media-server.com/m/p/662vg37q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March 2, 2017</w:t>
      </w:r>
    </w:p>
    <w:p>
      <w:pPr>
        <w:spacing w:after="0" w:line="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63950344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medications to treat CNS and cognitive disorders. For more information, please visit the company's website, www.alcobra-pharma.com,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and costs of filing an NDA for ADAIR, if filed at all, the proposed development path to approve ADAIR, the sufficiency of Alcobra’s financial resources for its future plans, the market opportunity for and the potential benefits of ADAIR.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448945</wp:posOffset>
            </wp:positionV>
            <wp:extent cx="153479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jc w:val="right"/>
              <w:ind w:right="100"/>
              <w:spacing w:after="0"/>
              <w:rPr>
                <w:sz w:val="20"/>
                <w:szCs w:val="20"/>
                <w:color w:val="auto"/>
              </w:rPr>
            </w:pPr>
            <w:r>
              <w:rPr>
                <w:rFonts w:ascii="Arial" w:cs="Arial" w:eastAsia="Arial" w:hAnsi="Arial"/>
                <w:sz w:val="18"/>
                <w:szCs w:val="18"/>
                <w:color w:val="auto"/>
              </w:rPr>
              <w:t>Year Ended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December 31,</w:t>
            </w:r>
          </w:p>
        </w:tc>
        <w:tc>
          <w:tcPr>
            <w:tcW w:w="8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Pre-commercialization expenses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5,357</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25,167</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Tax on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5,927</w:t>
            </w:r>
          </w:p>
        </w:tc>
        <w:tc>
          <w:tcPr>
            <w:tcW w:w="160" w:type="dxa"/>
            <w:vAlign w:val="bottom"/>
          </w:tcPr>
          <w:p>
            <w:pPr>
              <w:spacing w:after="0"/>
              <w:rPr>
                <w:sz w:val="24"/>
                <w:szCs w:val="24"/>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24,603</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Unrealized loss on available-for-sale marketable securities</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5,930</w:t>
            </w:r>
          </w:p>
        </w:tc>
        <w:tc>
          <w:tcPr>
            <w:tcW w:w="160" w:type="dxa"/>
            <w:vAlign w:val="bottom"/>
          </w:tcPr>
          <w:p>
            <w:pPr>
              <w:spacing w:after="0"/>
              <w:rPr>
                <w:sz w:val="24"/>
                <w:szCs w:val="24"/>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24,609</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(0.89)</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Ordinary shares used in computing basic and</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27,562,795</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24,136,669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27,562,657</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21,638,207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448945</wp:posOffset>
            </wp:positionV>
            <wp:extent cx="1534795" cy="780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9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1"/>
              </w:rPr>
              <w:t>ASSETS</w:t>
            </w: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2,304</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14,938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51,299</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Long-term bank deposits</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long-term assets</w:t>
            </w:r>
          </w:p>
        </w:tc>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4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51,568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9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rPr>
              <w:t>LIABILITIES AND</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9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SHAREHOLDERS’ EQUITY</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Trade payables</w:t>
            </w:r>
          </w:p>
        </w:tc>
        <w:tc>
          <w:tcPr>
            <w:tcW w:w="4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Ordinary shares</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(95,620)</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47,228</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5869305</wp:posOffset>
            </wp:positionH>
            <wp:positionV relativeFrom="page">
              <wp:posOffset>448945</wp:posOffset>
            </wp:positionV>
            <wp:extent cx="1534795"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color w:val="auto"/>
              </w:rPr>
              <w:t>Year Ended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December 31,</w:t>
            </w:r>
          </w:p>
        </w:tc>
        <w:tc>
          <w:tcPr>
            <w:tcW w:w="8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Cash flow from operating activities: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3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(5,927)</w:t>
            </w:r>
          </w:p>
        </w:tc>
        <w:tc>
          <w:tcPr>
            <w:tcW w:w="5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(4,887)</w:t>
            </w:r>
          </w:p>
        </w:tc>
        <w:tc>
          <w:tcPr>
            <w:tcW w:w="3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(24,603)</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Trade payables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(19,241)</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Purchase of property and equipment, net</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Investment in marketable securities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(17,372)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Proceeds from redemption of marketable securities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701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short-term bank deposits,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20,022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Investment in long-term bank deposit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(27,589)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4,881</w:t>
            </w: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(33,842)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share capital upon public offering,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Exercise of options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38,556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(14,354)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9,970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16,658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2,304</w:t>
            </w:r>
          </w:p>
        </w:tc>
        <w:tc>
          <w:tcPr>
            <w:tcW w:w="160" w:type="dxa"/>
            <w:vAlign w:val="bottom"/>
          </w:tcPr>
          <w:p>
            <w:pPr>
              <w:spacing w:after="0"/>
              <w:rPr>
                <w:sz w:val="21"/>
                <w:szCs w:val="21"/>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16,658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2,304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2019-12-07T19:34:48Z</dcterms:created>
  <dcterms:modified xsi:type="dcterms:W3CDTF">2019-12-07T19:34:48Z</dcterms:modified>
</cp:coreProperties>
</file>