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2"/>
          <w:szCs w:val="12"/>
          <w:b w:val="1"/>
          <w:bCs w:val="1"/>
          <w:color w:val="auto"/>
        </w:rPr>
        <w:t>UNITED STATES</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Washington, D.C. 20549</w:t>
      </w:r>
    </w:p>
    <w:p>
      <w:pPr>
        <w:spacing w:after="0" w:line="137"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FORM 8-K</w:t>
      </w:r>
    </w:p>
    <w:p>
      <w:pPr>
        <w:spacing w:after="0" w:line="150"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CURRENT REPORT</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 Section 13 or 15(d)</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of the Securities Exchange Act of 1934</w:t>
      </w:r>
    </w:p>
    <w:p>
      <w:pPr>
        <w:spacing w:after="0" w:line="137"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Date of Report (Date of earliest event reported): May 10, 2021</w:t>
      </w:r>
    </w:p>
    <w:p>
      <w:pPr>
        <w:spacing w:after="0" w:line="135"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ARCTURUS THERAPEUTICS HOLDINGS INC.</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136" w:lineRule="exact"/>
        <w:rPr>
          <w:sz w:val="24"/>
          <w:szCs w:val="24"/>
          <w:color w:val="auto"/>
        </w:rPr>
      </w:pPr>
    </w:p>
    <w:tbl>
      <w:tblPr>
        <w:tblLayout w:type="fixed"/>
        <w:tblInd w:w="1148" w:type="dxa"/>
        <w:tblCellMar>
          <w:top w:w="0" w:type="dxa"/>
          <w:left w:w="0" w:type="dxa"/>
          <w:bottom w:w="0" w:type="dxa"/>
          <w:right w:w="0" w:type="dxa"/>
        </w:tblCellMar>
      </w:tblPr>
      <w:tr>
        <w:trPr>
          <w:trHeight w:val="144"/>
        </w:trPr>
        <w:tc>
          <w:tcPr>
            <w:tcW w:w="2080" w:type="dxa"/>
            <w:vAlign w:val="bottom"/>
          </w:tcPr>
          <w:p>
            <w:pPr>
              <w:jc w:val="center"/>
              <w:ind w:right="620"/>
              <w:spacing w:after="0"/>
              <w:rPr>
                <w:sz w:val="20"/>
                <w:szCs w:val="20"/>
                <w:color w:val="auto"/>
              </w:rPr>
            </w:pPr>
            <w:r>
              <w:rPr>
                <w:rFonts w:ascii="Arial" w:cs="Arial" w:eastAsia="Arial" w:hAnsi="Arial"/>
                <w:sz w:val="12"/>
                <w:szCs w:val="12"/>
                <w:b w:val="1"/>
                <w:bCs w:val="1"/>
                <w:color w:val="auto"/>
                <w:w w:val="91"/>
              </w:rPr>
              <w:t>Delaware</w:t>
            </w:r>
          </w:p>
        </w:tc>
        <w:tc>
          <w:tcPr>
            <w:tcW w:w="4960" w:type="dxa"/>
            <w:vAlign w:val="bottom"/>
          </w:tcPr>
          <w:p>
            <w:pPr>
              <w:jc w:val="center"/>
              <w:ind w:right="60"/>
              <w:spacing w:after="0"/>
              <w:rPr>
                <w:sz w:val="20"/>
                <w:szCs w:val="20"/>
                <w:color w:val="auto"/>
              </w:rPr>
            </w:pPr>
            <w:r>
              <w:rPr>
                <w:rFonts w:ascii="Arial" w:cs="Arial" w:eastAsia="Arial" w:hAnsi="Arial"/>
                <w:sz w:val="12"/>
                <w:szCs w:val="12"/>
                <w:b w:val="1"/>
                <w:bCs w:val="1"/>
                <w:color w:val="auto"/>
                <w:w w:val="90"/>
              </w:rPr>
              <w:t>001-38942</w:t>
            </w:r>
          </w:p>
        </w:tc>
        <w:tc>
          <w:tcPr>
            <w:tcW w:w="1740" w:type="dxa"/>
            <w:vAlign w:val="bottom"/>
          </w:tcPr>
          <w:p>
            <w:pPr>
              <w:jc w:val="center"/>
              <w:ind w:left="740"/>
              <w:spacing w:after="0"/>
              <w:rPr>
                <w:sz w:val="20"/>
                <w:szCs w:val="20"/>
                <w:color w:val="auto"/>
              </w:rPr>
            </w:pPr>
            <w:r>
              <w:rPr>
                <w:rFonts w:ascii="Arial" w:cs="Arial" w:eastAsia="Arial" w:hAnsi="Arial"/>
                <w:sz w:val="12"/>
                <w:szCs w:val="12"/>
                <w:b w:val="1"/>
                <w:bCs w:val="1"/>
                <w:color w:val="auto"/>
                <w:w w:val="90"/>
              </w:rPr>
              <w:t>32-0595345</w:t>
            </w:r>
          </w:p>
        </w:tc>
      </w:tr>
      <w:tr>
        <w:trPr>
          <w:trHeight w:val="144"/>
        </w:trPr>
        <w:tc>
          <w:tcPr>
            <w:tcW w:w="2080" w:type="dxa"/>
            <w:vAlign w:val="bottom"/>
          </w:tcPr>
          <w:p>
            <w:pPr>
              <w:jc w:val="center"/>
              <w:ind w:right="640"/>
              <w:spacing w:after="0"/>
              <w:rPr>
                <w:sz w:val="20"/>
                <w:szCs w:val="20"/>
                <w:color w:val="auto"/>
              </w:rPr>
            </w:pPr>
            <w:r>
              <w:rPr>
                <w:rFonts w:ascii="Arial" w:cs="Arial" w:eastAsia="Arial" w:hAnsi="Arial"/>
                <w:sz w:val="12"/>
                <w:szCs w:val="12"/>
                <w:b w:val="1"/>
                <w:bCs w:val="1"/>
                <w:color w:val="auto"/>
                <w:w w:val="91"/>
              </w:rPr>
              <w:t>(State or other jurisdiction</w:t>
            </w:r>
          </w:p>
        </w:tc>
        <w:tc>
          <w:tcPr>
            <w:tcW w:w="4960" w:type="dxa"/>
            <w:vAlign w:val="bottom"/>
          </w:tcPr>
          <w:p>
            <w:pPr>
              <w:jc w:val="center"/>
              <w:ind w:right="60"/>
              <w:spacing w:after="0"/>
              <w:rPr>
                <w:sz w:val="20"/>
                <w:szCs w:val="20"/>
                <w:color w:val="auto"/>
              </w:rPr>
            </w:pPr>
            <w:r>
              <w:rPr>
                <w:rFonts w:ascii="Arial" w:cs="Arial" w:eastAsia="Arial" w:hAnsi="Arial"/>
                <w:sz w:val="12"/>
                <w:szCs w:val="12"/>
                <w:b w:val="1"/>
                <w:bCs w:val="1"/>
                <w:color w:val="auto"/>
                <w:w w:val="89"/>
              </w:rPr>
              <w:t>(Commission</w:t>
            </w:r>
          </w:p>
        </w:tc>
        <w:tc>
          <w:tcPr>
            <w:tcW w:w="1740" w:type="dxa"/>
            <w:vAlign w:val="bottom"/>
          </w:tcPr>
          <w:p>
            <w:pPr>
              <w:jc w:val="center"/>
              <w:ind w:left="740"/>
              <w:spacing w:after="0"/>
              <w:rPr>
                <w:sz w:val="20"/>
                <w:szCs w:val="20"/>
                <w:color w:val="auto"/>
              </w:rPr>
            </w:pPr>
            <w:r>
              <w:rPr>
                <w:rFonts w:ascii="Arial" w:cs="Arial" w:eastAsia="Arial" w:hAnsi="Arial"/>
                <w:sz w:val="12"/>
                <w:szCs w:val="12"/>
                <w:b w:val="1"/>
                <w:bCs w:val="1"/>
                <w:color w:val="auto"/>
                <w:w w:val="93"/>
              </w:rPr>
              <w:t>(I.R.S. Employer</w:t>
            </w:r>
          </w:p>
        </w:tc>
      </w:tr>
      <w:tr>
        <w:trPr>
          <w:trHeight w:val="157"/>
        </w:trPr>
        <w:tc>
          <w:tcPr>
            <w:tcW w:w="2080" w:type="dxa"/>
            <w:vAlign w:val="bottom"/>
          </w:tcPr>
          <w:p>
            <w:pPr>
              <w:jc w:val="center"/>
              <w:ind w:right="620"/>
              <w:spacing w:after="0"/>
              <w:rPr>
                <w:sz w:val="20"/>
                <w:szCs w:val="20"/>
                <w:color w:val="auto"/>
              </w:rPr>
            </w:pPr>
            <w:r>
              <w:rPr>
                <w:rFonts w:ascii="Arial" w:cs="Arial" w:eastAsia="Arial" w:hAnsi="Arial"/>
                <w:sz w:val="12"/>
                <w:szCs w:val="12"/>
                <w:b w:val="1"/>
                <w:bCs w:val="1"/>
                <w:color w:val="auto"/>
                <w:w w:val="91"/>
              </w:rPr>
              <w:t>of incorporation)</w:t>
            </w:r>
          </w:p>
        </w:tc>
        <w:tc>
          <w:tcPr>
            <w:tcW w:w="4960" w:type="dxa"/>
            <w:vAlign w:val="bottom"/>
          </w:tcPr>
          <w:p>
            <w:pPr>
              <w:jc w:val="center"/>
              <w:ind w:right="60"/>
              <w:spacing w:after="0"/>
              <w:rPr>
                <w:sz w:val="20"/>
                <w:szCs w:val="20"/>
                <w:color w:val="auto"/>
              </w:rPr>
            </w:pPr>
            <w:r>
              <w:rPr>
                <w:rFonts w:ascii="Arial" w:cs="Arial" w:eastAsia="Arial" w:hAnsi="Arial"/>
                <w:sz w:val="12"/>
                <w:szCs w:val="12"/>
                <w:b w:val="1"/>
                <w:bCs w:val="1"/>
                <w:color w:val="auto"/>
                <w:w w:val="92"/>
              </w:rPr>
              <w:t>File Number)</w:t>
            </w:r>
          </w:p>
        </w:tc>
        <w:tc>
          <w:tcPr>
            <w:tcW w:w="1740" w:type="dxa"/>
            <w:vAlign w:val="bottom"/>
          </w:tcPr>
          <w:p>
            <w:pPr>
              <w:jc w:val="center"/>
              <w:ind w:left="740"/>
              <w:spacing w:after="0"/>
              <w:rPr>
                <w:sz w:val="20"/>
                <w:szCs w:val="20"/>
                <w:color w:val="auto"/>
              </w:rPr>
            </w:pPr>
            <w:r>
              <w:rPr>
                <w:rFonts w:ascii="Arial" w:cs="Arial" w:eastAsia="Arial" w:hAnsi="Arial"/>
                <w:sz w:val="12"/>
                <w:szCs w:val="12"/>
                <w:b w:val="1"/>
                <w:bCs w:val="1"/>
                <w:color w:val="auto"/>
                <w:w w:val="92"/>
              </w:rPr>
              <w:t>Identification No.)</w:t>
            </w:r>
          </w:p>
        </w:tc>
      </w:tr>
      <w:tr>
        <w:trPr>
          <w:trHeight w:val="275"/>
        </w:trPr>
        <w:tc>
          <w:tcPr>
            <w:tcW w:w="2080" w:type="dxa"/>
            <w:vAlign w:val="bottom"/>
          </w:tcPr>
          <w:p>
            <w:pPr>
              <w:spacing w:after="0"/>
              <w:rPr>
                <w:sz w:val="23"/>
                <w:szCs w:val="23"/>
                <w:color w:val="auto"/>
              </w:rPr>
            </w:pPr>
          </w:p>
        </w:tc>
        <w:tc>
          <w:tcPr>
            <w:tcW w:w="4960" w:type="dxa"/>
            <w:vAlign w:val="bottom"/>
          </w:tcPr>
          <w:p>
            <w:pPr>
              <w:jc w:val="center"/>
              <w:ind w:right="40"/>
              <w:spacing w:after="0"/>
              <w:rPr>
                <w:sz w:val="20"/>
                <w:szCs w:val="20"/>
                <w:color w:val="auto"/>
              </w:rPr>
            </w:pPr>
            <w:r>
              <w:rPr>
                <w:rFonts w:ascii="Arial" w:cs="Arial" w:eastAsia="Arial" w:hAnsi="Arial"/>
                <w:sz w:val="12"/>
                <w:szCs w:val="12"/>
                <w:b w:val="1"/>
                <w:bCs w:val="1"/>
                <w:color w:val="auto"/>
                <w:w w:val="89"/>
              </w:rPr>
              <w:t>10628 Science Center Drive, Suite 250</w:t>
            </w:r>
          </w:p>
        </w:tc>
        <w:tc>
          <w:tcPr>
            <w:tcW w:w="1740" w:type="dxa"/>
            <w:vAlign w:val="bottom"/>
          </w:tcPr>
          <w:p>
            <w:pPr>
              <w:spacing w:after="0"/>
              <w:rPr>
                <w:sz w:val="23"/>
                <w:szCs w:val="23"/>
                <w:color w:val="auto"/>
              </w:rPr>
            </w:pPr>
          </w:p>
        </w:tc>
      </w:tr>
      <w:tr>
        <w:trPr>
          <w:trHeight w:val="144"/>
        </w:trPr>
        <w:tc>
          <w:tcPr>
            <w:tcW w:w="2080" w:type="dxa"/>
            <w:vAlign w:val="bottom"/>
          </w:tcPr>
          <w:p>
            <w:pPr>
              <w:spacing w:after="0"/>
              <w:rPr>
                <w:sz w:val="12"/>
                <w:szCs w:val="12"/>
                <w:color w:val="auto"/>
              </w:rPr>
            </w:pPr>
          </w:p>
        </w:tc>
        <w:tc>
          <w:tcPr>
            <w:tcW w:w="4960" w:type="dxa"/>
            <w:vAlign w:val="bottom"/>
          </w:tcPr>
          <w:p>
            <w:pPr>
              <w:jc w:val="center"/>
              <w:ind w:right="60"/>
              <w:spacing w:after="0"/>
              <w:rPr>
                <w:sz w:val="20"/>
                <w:szCs w:val="20"/>
                <w:color w:val="auto"/>
              </w:rPr>
            </w:pPr>
            <w:r>
              <w:rPr>
                <w:rFonts w:ascii="Arial" w:cs="Arial" w:eastAsia="Arial" w:hAnsi="Arial"/>
                <w:sz w:val="12"/>
                <w:szCs w:val="12"/>
                <w:b w:val="1"/>
                <w:bCs w:val="1"/>
                <w:color w:val="auto"/>
                <w:w w:val="91"/>
              </w:rPr>
              <w:t>San Diego, California 92121</w:t>
            </w:r>
          </w:p>
        </w:tc>
        <w:tc>
          <w:tcPr>
            <w:tcW w:w="1740" w:type="dxa"/>
            <w:vAlign w:val="bottom"/>
          </w:tcPr>
          <w:p>
            <w:pPr>
              <w:spacing w:after="0"/>
              <w:rPr>
                <w:sz w:val="12"/>
                <w:szCs w:val="12"/>
                <w:color w:val="auto"/>
              </w:rPr>
            </w:pPr>
          </w:p>
        </w:tc>
      </w:tr>
      <w:tr>
        <w:trPr>
          <w:trHeight w:val="157"/>
        </w:trPr>
        <w:tc>
          <w:tcPr>
            <w:tcW w:w="2080" w:type="dxa"/>
            <w:vAlign w:val="bottom"/>
          </w:tcPr>
          <w:p>
            <w:pPr>
              <w:spacing w:after="0"/>
              <w:rPr>
                <w:sz w:val="13"/>
                <w:szCs w:val="13"/>
                <w:color w:val="auto"/>
              </w:rPr>
            </w:pPr>
          </w:p>
        </w:tc>
        <w:tc>
          <w:tcPr>
            <w:tcW w:w="4960" w:type="dxa"/>
            <w:vAlign w:val="bottom"/>
          </w:tcPr>
          <w:p>
            <w:pPr>
              <w:jc w:val="center"/>
              <w:ind w:right="40"/>
              <w:spacing w:after="0"/>
              <w:rPr>
                <w:sz w:val="20"/>
                <w:szCs w:val="20"/>
                <w:color w:val="auto"/>
              </w:rPr>
            </w:pPr>
            <w:r>
              <w:rPr>
                <w:rFonts w:ascii="Arial" w:cs="Arial" w:eastAsia="Arial" w:hAnsi="Arial"/>
                <w:sz w:val="12"/>
                <w:szCs w:val="12"/>
                <w:b w:val="1"/>
                <w:bCs w:val="1"/>
                <w:color w:val="auto"/>
                <w:w w:val="88"/>
              </w:rPr>
              <w:t>(Address of principal executive offices)</w:t>
            </w:r>
          </w:p>
        </w:tc>
        <w:tc>
          <w:tcPr>
            <w:tcW w:w="1740" w:type="dxa"/>
            <w:vAlign w:val="bottom"/>
          </w:tcPr>
          <w:p>
            <w:pPr>
              <w:spacing w:after="0"/>
              <w:rPr>
                <w:sz w:val="13"/>
                <w:szCs w:val="13"/>
                <w:color w:val="auto"/>
              </w:rPr>
            </w:pPr>
          </w:p>
        </w:tc>
      </w:tr>
      <w:tr>
        <w:trPr>
          <w:trHeight w:val="288"/>
        </w:trPr>
        <w:tc>
          <w:tcPr>
            <w:tcW w:w="2080" w:type="dxa"/>
            <w:vAlign w:val="bottom"/>
          </w:tcPr>
          <w:p>
            <w:pPr>
              <w:spacing w:after="0"/>
              <w:rPr>
                <w:sz w:val="24"/>
                <w:szCs w:val="24"/>
                <w:color w:val="auto"/>
              </w:rPr>
            </w:pPr>
          </w:p>
        </w:tc>
        <w:tc>
          <w:tcPr>
            <w:tcW w:w="4960" w:type="dxa"/>
            <w:vAlign w:val="bottom"/>
          </w:tcPr>
          <w:p>
            <w:pPr>
              <w:jc w:val="center"/>
              <w:ind w:right="60"/>
              <w:spacing w:after="0"/>
              <w:rPr>
                <w:sz w:val="20"/>
                <w:szCs w:val="20"/>
                <w:color w:val="auto"/>
              </w:rPr>
            </w:pPr>
            <w:r>
              <w:rPr>
                <w:rFonts w:ascii="Arial" w:cs="Arial" w:eastAsia="Arial" w:hAnsi="Arial"/>
                <w:sz w:val="12"/>
                <w:szCs w:val="12"/>
                <w:b w:val="1"/>
                <w:bCs w:val="1"/>
                <w:color w:val="auto"/>
                <w:w w:val="89"/>
              </w:rPr>
              <w:t>Registrant’s telephone number, including area code: (858) 900-2660</w:t>
            </w:r>
          </w:p>
        </w:tc>
        <w:tc>
          <w:tcPr>
            <w:tcW w:w="1740" w:type="dxa"/>
            <w:vAlign w:val="bottom"/>
          </w:tcPr>
          <w:p>
            <w:pPr>
              <w:spacing w:after="0"/>
              <w:rPr>
                <w:sz w:val="24"/>
                <w:szCs w:val="24"/>
                <w:color w:val="auto"/>
              </w:rPr>
            </w:pPr>
          </w:p>
        </w:tc>
      </w:tr>
    </w:tbl>
    <w:p>
      <w:pPr>
        <w:spacing w:after="0" w:line="135"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6"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40" w:lineRule="exact"/>
        <w:rPr>
          <w:sz w:val="24"/>
          <w:szCs w:val="24"/>
          <w:color w:val="auto"/>
        </w:rPr>
      </w:pPr>
    </w:p>
    <w:tbl>
      <w:tblPr>
        <w:tblLayout w:type="fixed"/>
        <w:tblInd w:w="8" w:type="dxa"/>
        <w:tblCellMar>
          <w:top w:w="0" w:type="dxa"/>
          <w:left w:w="0" w:type="dxa"/>
          <w:bottom w:w="0" w:type="dxa"/>
          <w:right w:w="0" w:type="dxa"/>
        </w:tblCellMar>
      </w:tblPr>
      <w:tr>
        <w:trPr>
          <w:trHeight w:val="153"/>
        </w:trPr>
        <w:tc>
          <w:tcPr>
            <w:tcW w:w="4000" w:type="dxa"/>
            <w:vAlign w:val="bottom"/>
            <w:gridSpan w:val="2"/>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3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20" w:type="dxa"/>
            <w:vAlign w:val="bottom"/>
          </w:tcPr>
          <w:p>
            <w:pPr>
              <w:spacing w:after="0"/>
              <w:rPr>
                <w:sz w:val="13"/>
                <w:szCs w:val="13"/>
                <w:color w:val="auto"/>
              </w:rPr>
            </w:pPr>
          </w:p>
        </w:tc>
      </w:tr>
      <w:tr>
        <w:trPr>
          <w:trHeight w:val="275"/>
        </w:trPr>
        <w:tc>
          <w:tcPr>
            <w:tcW w:w="3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5"/>
              </w:rPr>
              <w:t>Trading</w:t>
            </w:r>
          </w:p>
        </w:tc>
        <w:tc>
          <w:tcPr>
            <w:tcW w:w="3920" w:type="dxa"/>
            <w:vAlign w:val="bottom"/>
          </w:tcPr>
          <w:p>
            <w:pPr>
              <w:jc w:val="center"/>
              <w:spacing w:after="0"/>
              <w:rPr>
                <w:sz w:val="20"/>
                <w:szCs w:val="20"/>
                <w:color w:val="auto"/>
              </w:rPr>
            </w:pPr>
            <w:r>
              <w:rPr>
                <w:rFonts w:ascii="Arial" w:cs="Arial" w:eastAsia="Arial" w:hAnsi="Arial"/>
                <w:sz w:val="12"/>
                <w:szCs w:val="12"/>
                <w:b w:val="1"/>
                <w:bCs w:val="1"/>
                <w:color w:val="auto"/>
                <w:w w:val="87"/>
              </w:rPr>
              <w:t>Name of each exchange</w:t>
            </w:r>
          </w:p>
        </w:tc>
      </w:tr>
      <w:tr>
        <w:trPr>
          <w:trHeight w:val="157"/>
        </w:trPr>
        <w:tc>
          <w:tcPr>
            <w:tcW w:w="40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7"/>
              </w:rPr>
              <w:t>Title of each class</w:t>
            </w:r>
          </w:p>
        </w:tc>
        <w:tc>
          <w:tcPr>
            <w:tcW w:w="33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Symbol(s)</w:t>
            </w:r>
          </w:p>
        </w:tc>
        <w:tc>
          <w:tcPr>
            <w:tcW w:w="3920" w:type="dxa"/>
            <w:vAlign w:val="bottom"/>
          </w:tcPr>
          <w:p>
            <w:pPr>
              <w:jc w:val="center"/>
              <w:spacing w:after="0"/>
              <w:rPr>
                <w:sz w:val="20"/>
                <w:szCs w:val="20"/>
                <w:color w:val="auto"/>
              </w:rPr>
            </w:pPr>
            <w:r>
              <w:rPr>
                <w:rFonts w:ascii="Arial" w:cs="Arial" w:eastAsia="Arial" w:hAnsi="Arial"/>
                <w:sz w:val="12"/>
                <w:szCs w:val="12"/>
                <w:b w:val="1"/>
                <w:bCs w:val="1"/>
                <w:color w:val="auto"/>
                <w:w w:val="88"/>
              </w:rPr>
              <w:t>on which registered</w:t>
            </w:r>
          </w:p>
        </w:tc>
      </w:tr>
      <w:tr>
        <w:trPr>
          <w:trHeight w:val="146"/>
        </w:trPr>
        <w:tc>
          <w:tcPr>
            <w:tcW w:w="38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Common stock, par value $0.001 per share</w:t>
            </w:r>
          </w:p>
        </w:tc>
        <w:tc>
          <w:tcPr>
            <w:tcW w:w="120" w:type="dxa"/>
            <w:vAlign w:val="bottom"/>
          </w:tcPr>
          <w:p>
            <w:pPr>
              <w:spacing w:after="0"/>
              <w:rPr>
                <w:sz w:val="12"/>
                <w:szCs w:val="12"/>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ARCT</w:t>
            </w:r>
          </w:p>
        </w:tc>
        <w:tc>
          <w:tcPr>
            <w:tcW w:w="120" w:type="dxa"/>
            <w:vAlign w:val="bottom"/>
          </w:tcPr>
          <w:p>
            <w:pPr>
              <w:spacing w:after="0"/>
              <w:rPr>
                <w:sz w:val="12"/>
                <w:szCs w:val="12"/>
                <w:color w:val="auto"/>
              </w:rPr>
            </w:pPr>
          </w:p>
        </w:tc>
        <w:tc>
          <w:tcPr>
            <w:tcW w:w="392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The Nasdaq Stock Market LLC</w:t>
            </w:r>
          </w:p>
        </w:tc>
      </w:tr>
    </w:tbl>
    <w:p>
      <w:pPr>
        <w:spacing w:after="0" w:line="122" w:lineRule="exact"/>
        <w:rPr>
          <w:sz w:val="24"/>
          <w:szCs w:val="24"/>
          <w:color w:val="auto"/>
        </w:rPr>
      </w:pPr>
    </w:p>
    <w:p>
      <w:pPr>
        <w:ind w:left="8" w:right="18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8"/>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72" w:lineRule="exact"/>
        <w:rPr>
          <w:sz w:val="24"/>
          <w:szCs w:val="24"/>
          <w:color w:val="auto"/>
        </w:rPr>
      </w:pPr>
    </w:p>
    <w:p>
      <w:pPr>
        <w:ind w:left="8" w:right="10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233045</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361" w:right="299"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2.02. Results of Operations and Financial Conditions.</w:t>
      </w:r>
    </w:p>
    <w:p>
      <w:pPr>
        <w:spacing w:after="0" w:line="154"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On May 10, 2021, Arcturus Therapeutics Holdings Inc. (the “Company” or “Arcturus”) issued a press release, a copy of which is furnished herewith as Exhibit 99.1, announcing the Company’s financial results for the quarter ended March 31, 2021 and providing a corporate update (the “Press Release”).</w:t>
      </w:r>
    </w:p>
    <w:p>
      <w:pPr>
        <w:spacing w:after="0" w:line="115" w:lineRule="exact"/>
        <w:rPr>
          <w:sz w:val="20"/>
          <w:szCs w:val="20"/>
          <w:color w:val="auto"/>
        </w:rPr>
      </w:pPr>
    </w:p>
    <w:p>
      <w:pPr>
        <w:ind w:right="260"/>
        <w:spacing w:after="0" w:line="263" w:lineRule="auto"/>
        <w:rPr>
          <w:sz w:val="20"/>
          <w:szCs w:val="20"/>
          <w:color w:val="auto"/>
        </w:rPr>
      </w:pPr>
      <w:r>
        <w:rPr>
          <w:rFonts w:ascii="Arial" w:cs="Arial" w:eastAsia="Arial" w:hAnsi="Arial"/>
          <w:sz w:val="12"/>
          <w:szCs w:val="12"/>
          <w:color w:val="auto"/>
        </w:rPr>
        <w:t>The information contained in Item 2.02 of this Current Report on Form 8-K, including the Press Release, shall not be deemed “filed” for the purposes of Section 18 of the Securities Exchange Act of 1934, as amended, or otherwise subject to the liability of that section or Sections 11 and 12(a)(2) of the Securities Act of 1933, as amended. In addition, this information shall not be deemed incorporated by reference into any of the Company’s filings with the Securities and Exchange Commission (the “SEC”), except as shall be expressly set forth by specific reference in any such filing.</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The Company has made available a presentation about its business (the “Presentation”), a copy of which is furnished herewith as Exhibit 99.2 to this Current Report on Form 8-K and is hereby incorporated by reference.</w:t>
      </w:r>
    </w:p>
    <w:p>
      <w:pPr>
        <w:spacing w:after="0" w:line="162"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The furnishing of the Presentation is not an admission as to the materiality of any information therein. The information contained in the Presentation is summary information that should be considered in the context of the Company’s filings with the SEC and other public announcements the Company may make by press release or otherwise from time to time.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Cautionary Note Regarding Forward-Looking Statements</w:t>
      </w:r>
    </w:p>
    <w:p>
      <w:pPr>
        <w:spacing w:after="0" w:line="154" w:lineRule="exact"/>
        <w:rPr>
          <w:sz w:val="20"/>
          <w:szCs w:val="20"/>
          <w:color w:val="auto"/>
        </w:rPr>
      </w:pPr>
    </w:p>
    <w:p>
      <w:pPr>
        <w:ind w:right="20"/>
        <w:spacing w:after="0" w:line="279" w:lineRule="auto"/>
        <w:rPr>
          <w:sz w:val="20"/>
          <w:szCs w:val="20"/>
          <w:color w:val="auto"/>
        </w:rPr>
      </w:pPr>
      <w:r>
        <w:rPr>
          <w:rFonts w:ascii="Arial" w:cs="Arial" w:eastAsia="Arial" w:hAnsi="Arial"/>
          <w:sz w:val="11"/>
          <w:szCs w:val="11"/>
          <w:color w:val="auto"/>
        </w:rPr>
        <w:t>Certain statements in this Current Report on Form 8-K, the Press Release and the Presentation are “forward-looking statements” that involve substantial risks and uncertainties for purposes of the safe harbor provided by the Private Securities Litigation Reform Act of 1995. Any statements, other than statements of historical fact included in this Current Report on Form 8-K, the Press Release and the Presentation, including those regarding strategy, future operations, collaborations, the likelihood of success, and the efficacy or safety, of the Company’s pipeline, including ARCT-021, ARCT-810 or ARCT-032, the potential administration regimen or dosage, or ability to administer multiple doses of, any of Company’s drug candidates, the ability to enroll subjects in clinical trials, the Company’s efforts to develop a vaccine against COVID-19 and therapeutic potential thereof based on the Company’s mRNA therapeutics, the Company’s manufacturing methods and technologies (including purification and lyophilization, and stability of manufactured product), the ability of the Company to scale up manufacturing of products or substances, the likelihood that a patent will issue from any patent application, its current cash position and expected cash burn and the impact of general business and economic conditions, are forward-looking statements. Arcturus may not actually achieve the plans, carry out the intentions or meet the expectations or projections disclosed in any forward-looking statements such as the foregoing and you should not place undue reliance on such forward-looking statements. Such statements are based on management’s current expectations and involve risks and uncertainties, including those discussed under the heading “Risk Factors” in Arcturus’ Annual Report on Form 10-K for the fiscal year ended December 31, 2020, filed with the SEC on March 1, 2021 and in subsequent filings with, or submissions to, the SEC.</w:t>
      </w:r>
    </w:p>
    <w:p>
      <w:pPr>
        <w:spacing w:after="0" w:line="117" w:lineRule="exact"/>
        <w:rPr>
          <w:sz w:val="20"/>
          <w:szCs w:val="20"/>
          <w:color w:val="auto"/>
        </w:rPr>
      </w:pPr>
    </w:p>
    <w:p>
      <w:pPr>
        <w:spacing w:after="0" w:line="298" w:lineRule="auto"/>
        <w:rPr>
          <w:sz w:val="20"/>
          <w:szCs w:val="20"/>
          <w:color w:val="auto"/>
        </w:rPr>
      </w:pPr>
      <w:r>
        <w:rPr>
          <w:rFonts w:ascii="Arial" w:cs="Arial" w:eastAsia="Arial" w:hAnsi="Arial"/>
          <w:sz w:val="11"/>
          <w:szCs w:val="11"/>
          <w:color w:val="auto"/>
        </w:rPr>
        <w:t>The statements made in this Current Report on Form 8-K, the Press Release and the Presentation speak only as of the date stated herein, and subsequent events and developments may cause the Company’s expectations and beliefs to change. While the Company may elect to update these forward-looking statements publicly at some point in the future, the Company specifically disclaims any obligation to do so, whether as a result of new information, future events or otherwise, except as required by law. These forward-looking statements should not be relied upon as representing the Company’s views as of any date after the date stated herein.</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240" w:type="dxa"/>
            <w:vAlign w:val="bottom"/>
          </w:tcPr>
          <w:p>
            <w:pPr>
              <w:spacing w:after="0"/>
              <w:rPr>
                <w:sz w:val="20"/>
                <w:szCs w:val="20"/>
                <w:color w:val="auto"/>
              </w:rPr>
            </w:pPr>
            <w:r>
              <w:rPr>
                <w:rFonts w:ascii="Arial" w:cs="Arial" w:eastAsia="Arial" w:hAnsi="Arial"/>
                <w:sz w:val="12"/>
                <w:szCs w:val="12"/>
                <w:b w:val="1"/>
                <w:bCs w:val="1"/>
                <w:i w:val="1"/>
                <w:iCs w:val="1"/>
                <w:color w:val="auto"/>
              </w:rPr>
              <w:t>(d) Exhibits.</w:t>
            </w: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20" w:type="dxa"/>
            <w:vAlign w:val="bottom"/>
          </w:tcPr>
          <w:p>
            <w:pPr>
              <w:spacing w:after="0"/>
              <w:rPr>
                <w:sz w:val="13"/>
                <w:szCs w:val="13"/>
                <w:color w:val="auto"/>
              </w:rPr>
            </w:pPr>
          </w:p>
        </w:tc>
      </w:tr>
      <w:tr>
        <w:trPr>
          <w:trHeight w:val="288"/>
        </w:trPr>
        <w:tc>
          <w:tcPr>
            <w:tcW w:w="1240" w:type="dxa"/>
            <w:vAlign w:val="bottom"/>
          </w:tcPr>
          <w:p>
            <w:pPr>
              <w:spacing w:after="0"/>
              <w:rPr>
                <w:sz w:val="20"/>
                <w:szCs w:val="20"/>
                <w:color w:val="auto"/>
              </w:rPr>
            </w:pPr>
            <w:r>
              <w:rPr>
                <w:rFonts w:ascii="Arial" w:cs="Arial" w:eastAsia="Arial" w:hAnsi="Arial"/>
                <w:sz w:val="12"/>
                <w:szCs w:val="12"/>
                <w:b w:val="1"/>
                <w:bCs w:val="1"/>
                <w:color w:val="auto"/>
              </w:rPr>
              <w:t>Exhibit No.</w:t>
            </w:r>
          </w:p>
        </w:tc>
        <w:tc>
          <w:tcPr>
            <w:tcW w:w="10060" w:type="dxa"/>
            <w:vAlign w:val="bottom"/>
            <w:gridSpan w:val="3"/>
          </w:tcPr>
          <w:p>
            <w:pPr>
              <w:spacing w:after="0"/>
              <w:rPr>
                <w:sz w:val="20"/>
                <w:szCs w:val="20"/>
                <w:color w:val="auto"/>
              </w:rPr>
            </w:pPr>
            <w:r>
              <w:rPr>
                <w:rFonts w:ascii="Arial" w:cs="Arial" w:eastAsia="Arial" w:hAnsi="Arial"/>
                <w:sz w:val="12"/>
                <w:szCs w:val="12"/>
                <w:b w:val="1"/>
                <w:bCs w:val="1"/>
                <w:color w:val="auto"/>
              </w:rPr>
              <w:t>Description of Exhibit</w:t>
            </w:r>
          </w:p>
        </w:tc>
      </w:tr>
      <w:tr>
        <w:trPr>
          <w:trHeight w:val="261"/>
        </w:trPr>
        <w:tc>
          <w:tcPr>
            <w:tcW w:w="1240" w:type="dxa"/>
            <w:vAlign w:val="bottom"/>
          </w:tcPr>
          <w:p>
            <w:pPr>
              <w:spacing w:after="0"/>
              <w:rPr>
                <w:sz w:val="20"/>
                <w:szCs w:val="20"/>
                <w:color w:val="auto"/>
              </w:rPr>
            </w:pPr>
            <w:r>
              <w:rPr>
                <w:rFonts w:ascii="Arial" w:cs="Arial" w:eastAsia="Arial" w:hAnsi="Arial"/>
                <w:sz w:val="12"/>
                <w:szCs w:val="12"/>
                <w:color w:val="auto"/>
              </w:rPr>
              <w:t>99.1</w:t>
            </w:r>
          </w:p>
        </w:tc>
        <w:tc>
          <w:tcPr>
            <w:tcW w:w="10060" w:type="dxa"/>
            <w:vAlign w:val="bottom"/>
            <w:gridSpan w:val="3"/>
          </w:tcPr>
          <w:p>
            <w:pPr>
              <w:spacing w:after="0"/>
              <w:rPr>
                <w:rFonts w:ascii="Arial" w:cs="Arial" w:eastAsia="Arial" w:hAnsi="Arial"/>
                <w:sz w:val="12"/>
                <w:szCs w:val="12"/>
                <w:color w:val="0000EE"/>
              </w:rPr>
            </w:pPr>
            <w:hyperlink w:anchor="page4">
              <w:r>
                <w:rPr>
                  <w:rFonts w:ascii="Arial" w:cs="Arial" w:eastAsia="Arial" w:hAnsi="Arial"/>
                  <w:sz w:val="12"/>
                  <w:szCs w:val="12"/>
                  <w:color w:val="0000EE"/>
                </w:rPr>
                <w:t>Press Release dated May 10, 2021</w:t>
              </w:r>
            </w:hyperlink>
          </w:p>
        </w:tc>
      </w:tr>
      <w:tr>
        <w:trPr>
          <w:trHeight w:val="124"/>
        </w:trPr>
        <w:tc>
          <w:tcPr>
            <w:tcW w:w="1240" w:type="dxa"/>
            <w:vAlign w:val="bottom"/>
          </w:tcPr>
          <w:p>
            <w:pPr>
              <w:spacing w:after="0" w:line="124" w:lineRule="exact"/>
              <w:rPr>
                <w:sz w:val="20"/>
                <w:szCs w:val="20"/>
                <w:color w:val="auto"/>
              </w:rPr>
            </w:pPr>
            <w:r>
              <w:rPr>
                <w:rFonts w:ascii="Arial" w:cs="Arial" w:eastAsia="Arial" w:hAnsi="Arial"/>
                <w:sz w:val="12"/>
                <w:szCs w:val="12"/>
                <w:color w:val="auto"/>
              </w:rPr>
              <w:t>99.2</w:t>
            </w:r>
          </w:p>
        </w:tc>
        <w:tc>
          <w:tcPr>
            <w:tcW w:w="1640" w:type="dxa"/>
            <w:vAlign w:val="bottom"/>
            <w:tcBorders>
              <w:top w:val="single" w:sz="8" w:color="0000EE"/>
            </w:tcBorders>
            <w:gridSpan w:val="2"/>
          </w:tcPr>
          <w:p>
            <w:pPr>
              <w:spacing w:after="0" w:line="124" w:lineRule="exact"/>
              <w:rPr>
                <w:rFonts w:ascii="Arial" w:cs="Arial" w:eastAsia="Arial" w:hAnsi="Arial"/>
                <w:sz w:val="12"/>
                <w:szCs w:val="12"/>
                <w:color w:val="0000EE"/>
              </w:rPr>
            </w:pPr>
            <w:hyperlink w:anchor="page10">
              <w:r>
                <w:rPr>
                  <w:rFonts w:ascii="Arial" w:cs="Arial" w:eastAsia="Arial" w:hAnsi="Arial"/>
                  <w:sz w:val="12"/>
                  <w:szCs w:val="12"/>
                  <w:color w:val="0000EE"/>
                </w:rPr>
                <w:t>Presentation dated May 2021</w:t>
              </w:r>
            </w:hyperlink>
          </w:p>
        </w:tc>
        <w:tc>
          <w:tcPr>
            <w:tcW w:w="8420" w:type="dxa"/>
            <w:vAlign w:val="bottom"/>
          </w:tcPr>
          <w:p>
            <w:pPr>
              <w:spacing w:after="0"/>
              <w:rPr>
                <w:sz w:val="10"/>
                <w:szCs w:val="10"/>
                <w:color w:val="auto"/>
              </w:rPr>
            </w:pPr>
          </w:p>
        </w:tc>
      </w:tr>
      <w:tr>
        <w:trPr>
          <w:trHeight w:val="20"/>
        </w:trPr>
        <w:tc>
          <w:tcPr>
            <w:tcW w:w="12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8660" w:type="dxa"/>
            <w:vAlign w:val="bottom"/>
            <w:gridSpan w:val="2"/>
          </w:tcPr>
          <w:p>
            <w:pPr>
              <w:spacing w:after="0" w:line="20" w:lineRule="exact"/>
              <w:rPr>
                <w:sz w:val="1"/>
                <w:szCs w:val="1"/>
                <w:color w:val="auto"/>
              </w:rPr>
            </w:pPr>
          </w:p>
        </w:tc>
      </w:tr>
      <w:tr>
        <w:trPr>
          <w:trHeight w:val="151"/>
        </w:trPr>
        <w:tc>
          <w:tcPr>
            <w:tcW w:w="1240" w:type="dxa"/>
            <w:vAlign w:val="bottom"/>
          </w:tcPr>
          <w:p>
            <w:pPr>
              <w:spacing w:after="0"/>
              <w:rPr>
                <w:sz w:val="20"/>
                <w:szCs w:val="20"/>
                <w:color w:val="auto"/>
              </w:rPr>
            </w:pPr>
            <w:r>
              <w:rPr>
                <w:rFonts w:ascii="Arial" w:cs="Arial" w:eastAsia="Arial" w:hAnsi="Arial"/>
                <w:sz w:val="12"/>
                <w:szCs w:val="12"/>
                <w:color w:val="auto"/>
              </w:rPr>
              <w:t>104</w:t>
            </w:r>
          </w:p>
        </w:tc>
        <w:tc>
          <w:tcPr>
            <w:tcW w:w="10060" w:type="dxa"/>
            <w:vAlign w:val="bottom"/>
            <w:gridSpan w:val="3"/>
          </w:tcPr>
          <w:p>
            <w:pPr>
              <w:spacing w:after="0"/>
              <w:rPr>
                <w:sz w:val="20"/>
                <w:szCs w:val="20"/>
                <w:color w:val="auto"/>
              </w:rPr>
            </w:pPr>
            <w:r>
              <w:rPr>
                <w:rFonts w:ascii="Arial" w:cs="Arial" w:eastAsia="Arial" w:hAnsi="Arial"/>
                <w:sz w:val="12"/>
                <w:szCs w:val="12"/>
                <w:color w:val="auto"/>
              </w:rPr>
              <w:t>Cover Page to this Current Report on Form 8-K in Inline XBRL</w:t>
            </w:r>
          </w:p>
        </w:tc>
      </w:tr>
      <w:tr>
        <w:trPr>
          <w:trHeight w:val="378"/>
        </w:trPr>
        <w:tc>
          <w:tcPr>
            <w:tcW w:w="1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71"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p>
      <w:pPr>
        <w:ind w:left="5660"/>
        <w:spacing w:after="0"/>
        <w:rPr>
          <w:sz w:val="20"/>
          <w:szCs w:val="20"/>
          <w:color w:val="auto"/>
        </w:rPr>
      </w:pPr>
      <w:r>
        <w:rPr>
          <w:rFonts w:ascii="Arial" w:cs="Arial" w:eastAsia="Arial" w:hAnsi="Arial"/>
          <w:sz w:val="12"/>
          <w:szCs w:val="12"/>
          <w:b w:val="1"/>
          <w:bCs w:val="1"/>
          <w:color w:val="auto"/>
        </w:rPr>
        <w:t>Arcturus Therapeutics Holdings Inc.</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Date: May 10, 2021</w:t>
      </w:r>
    </w:p>
    <w:p>
      <w:pPr>
        <w:spacing w:after="0" w:line="141" w:lineRule="exact"/>
        <w:rPr>
          <w:sz w:val="20"/>
          <w:szCs w:val="20"/>
          <w:color w:val="auto"/>
        </w:rPr>
      </w:pPr>
    </w:p>
    <w:tbl>
      <w:tblPr>
        <w:tblLayout w:type="fixed"/>
        <w:tblInd w:w="5660" w:type="dxa"/>
        <w:tblCellMar>
          <w:top w:w="0" w:type="dxa"/>
          <w:left w:w="0" w:type="dxa"/>
          <w:bottom w:w="0" w:type="dxa"/>
          <w:right w:w="0" w:type="dxa"/>
        </w:tblCellMar>
      </w:tblPr>
      <w:tr>
        <w:trPr>
          <w:trHeight w:val="153"/>
        </w:trPr>
        <w:tc>
          <w:tcPr>
            <w:tcW w:w="660" w:type="dxa"/>
            <w:vAlign w:val="bottom"/>
          </w:tcPr>
          <w:p>
            <w:pPr>
              <w:spacing w:after="0"/>
              <w:rPr>
                <w:sz w:val="20"/>
                <w:szCs w:val="20"/>
                <w:color w:val="auto"/>
              </w:rPr>
            </w:pPr>
            <w:r>
              <w:rPr>
                <w:rFonts w:ascii="Arial" w:cs="Arial" w:eastAsia="Arial" w:hAnsi="Arial"/>
                <w:sz w:val="12"/>
                <w:szCs w:val="12"/>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Joseph E. Payne</w:t>
            </w:r>
          </w:p>
        </w:tc>
      </w:tr>
      <w:tr>
        <w:trPr>
          <w:trHeight w:val="124"/>
        </w:trPr>
        <w:tc>
          <w:tcPr>
            <w:tcW w:w="660" w:type="dxa"/>
            <w:vAlign w:val="bottom"/>
          </w:tcPr>
          <w:p>
            <w:pPr>
              <w:spacing w:after="0" w:line="124" w:lineRule="exact"/>
              <w:rPr>
                <w:sz w:val="20"/>
                <w:szCs w:val="20"/>
                <w:color w:val="auto"/>
              </w:rPr>
            </w:pPr>
            <w:r>
              <w:rPr>
                <w:rFonts w:ascii="Arial" w:cs="Arial" w:eastAsia="Arial" w:hAnsi="Arial"/>
                <w:sz w:val="12"/>
                <w:szCs w:val="12"/>
                <w:color w:val="auto"/>
              </w:rPr>
              <w:t>Name:</w:t>
            </w:r>
          </w:p>
        </w:tc>
        <w:tc>
          <w:tcPr>
            <w:tcW w:w="4980" w:type="dxa"/>
            <w:vAlign w:val="bottom"/>
          </w:tcPr>
          <w:p>
            <w:pPr>
              <w:spacing w:after="0" w:line="124" w:lineRule="exact"/>
              <w:rPr>
                <w:sz w:val="20"/>
                <w:szCs w:val="20"/>
                <w:color w:val="auto"/>
              </w:rPr>
            </w:pPr>
            <w:r>
              <w:rPr>
                <w:rFonts w:ascii="Arial" w:cs="Arial" w:eastAsia="Arial" w:hAnsi="Arial"/>
                <w:sz w:val="12"/>
                <w:szCs w:val="12"/>
                <w:color w:val="auto"/>
              </w:rPr>
              <w:t>Joseph E. Payne</w:t>
            </w:r>
          </w:p>
        </w:tc>
      </w:tr>
      <w:tr>
        <w:trPr>
          <w:trHeight w:val="153"/>
        </w:trPr>
        <w:tc>
          <w:tcPr>
            <w:tcW w:w="660" w:type="dxa"/>
            <w:vAlign w:val="bottom"/>
          </w:tcPr>
          <w:p>
            <w:pPr>
              <w:spacing w:after="0"/>
              <w:rPr>
                <w:sz w:val="20"/>
                <w:szCs w:val="20"/>
                <w:color w:val="auto"/>
              </w:rPr>
            </w:pPr>
            <w:r>
              <w:rPr>
                <w:rFonts w:ascii="Arial" w:cs="Arial" w:eastAsia="Arial" w:hAnsi="Arial"/>
                <w:sz w:val="12"/>
                <w:szCs w:val="12"/>
                <w:color w:val="auto"/>
              </w:rPr>
              <w:t>Title:</w:t>
            </w:r>
          </w:p>
        </w:tc>
        <w:tc>
          <w:tcPr>
            <w:tcW w:w="4980" w:type="dxa"/>
            <w:vAlign w:val="bottom"/>
          </w:tcPr>
          <w:p>
            <w:pPr>
              <w:spacing w:after="0"/>
              <w:rPr>
                <w:sz w:val="20"/>
                <w:szCs w:val="20"/>
                <w:color w:val="auto"/>
              </w:rPr>
            </w:pPr>
            <w:r>
              <w:rPr>
                <w:rFonts w:ascii="Arial" w:cs="Arial" w:eastAsia="Arial" w:hAnsi="Arial"/>
                <w:sz w:val="12"/>
                <w:szCs w:val="12"/>
                <w:color w:val="auto"/>
              </w:rPr>
              <w:t>Chief Executive Officer</w:t>
            </w:r>
          </w:p>
        </w:tc>
      </w:tr>
    </w:tbl>
    <w:p>
      <w:pPr>
        <w:sectPr>
          <w:pgSz w:w="11900" w:h="16838" w:orient="portrait"/>
          <w:cols w:equalWidth="0" w:num="1">
            <w:col w:w="11300"/>
          </w:cols>
          <w:pgMar w:left="300" w:top="271" w:right="299" w:bottom="1440" w:gutter="0" w:footer="0" w:header="0"/>
        </w:sectPr>
      </w:pPr>
    </w:p>
    <w:bookmarkStart w:id="3" w:name="page4"/>
    <w:bookmarkEnd w:id="3"/>
    <w:p>
      <w:pPr>
        <w:jc w:val="center"/>
        <w:spacing w:after="0"/>
        <w:rPr>
          <w:sz w:val="20"/>
          <w:szCs w:val="20"/>
          <w:color w:val="auto"/>
        </w:rPr>
      </w:pPr>
      <w:r>
        <w:rPr>
          <w:rFonts w:ascii="Arial" w:cs="Arial" w:eastAsia="Arial" w:hAnsi="Arial"/>
          <w:sz w:val="12"/>
          <w:szCs w:val="12"/>
          <w:b w:val="1"/>
          <w:bCs w:val="1"/>
          <w:color w:val="auto"/>
        </w:rPr>
        <w:t>Arcturus Therapeutics Announces First Quarter 2021 Company Overview and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Financial Results and Provides New Clinical Data</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ARCT-021 Phase 2 interim data showed favorable safety profile and greater than 90% seroconversion after a single dose; data supports advancement into Phase 3</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In negotiations with multiple regulatory authorities regarding ARCT-021 Phase 3 study program</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Continued progress advancing mRNA therapeutic platform, including liver (ARCT-810) and lung (ARCT-032) targeted programs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Investor conference call at 4:30 p.m. ET today</w:t>
      </w:r>
    </w:p>
    <w:p>
      <w:pPr>
        <w:spacing w:after="0" w:line="146" w:lineRule="exact"/>
        <w:rPr>
          <w:sz w:val="20"/>
          <w:szCs w:val="20"/>
          <w:color w:val="auto"/>
        </w:rPr>
      </w:pPr>
    </w:p>
    <w:p>
      <w:pPr>
        <w:jc w:val="both"/>
        <w:spacing w:after="0" w:line="283" w:lineRule="auto"/>
        <w:rPr>
          <w:sz w:val="20"/>
          <w:szCs w:val="20"/>
          <w:color w:val="auto"/>
        </w:rPr>
      </w:pPr>
      <w:r>
        <w:rPr>
          <w:rFonts w:ascii="Arial" w:cs="Arial" w:eastAsia="Arial" w:hAnsi="Arial"/>
          <w:sz w:val="12"/>
          <w:szCs w:val="12"/>
          <w:b w:val="1"/>
          <w:bCs w:val="1"/>
          <w:color w:val="auto"/>
        </w:rPr>
        <w:t xml:space="preserve">San Diego, Calif, May 10, 2021 </w:t>
      </w:r>
      <w:r>
        <w:rPr>
          <w:rFonts w:ascii="Arial" w:cs="Arial" w:eastAsia="Arial" w:hAnsi="Arial"/>
          <w:sz w:val="12"/>
          <w:szCs w:val="12"/>
          <w:color w:val="auto"/>
        </w:rPr>
        <w:t>– Arcturus Therapeutics Holdings Inc. (the “Company”, “Arcturus”, Nasdaq: ARCT), a leading clinical-stage messenger RNA medicines company focused on the development of infectious disease</w:t>
      </w:r>
      <w:r>
        <w:rPr>
          <w:rFonts w:ascii="Arial" w:cs="Arial" w:eastAsia="Arial" w:hAnsi="Arial"/>
          <w:sz w:val="12"/>
          <w:szCs w:val="12"/>
          <w:b w:val="1"/>
          <w:bCs w:val="1"/>
          <w:color w:val="auto"/>
        </w:rPr>
        <w:t xml:space="preserve"> </w:t>
      </w:r>
      <w:r>
        <w:rPr>
          <w:rFonts w:ascii="Arial" w:cs="Arial" w:eastAsia="Arial" w:hAnsi="Arial"/>
          <w:sz w:val="12"/>
          <w:szCs w:val="12"/>
          <w:color w:val="auto"/>
        </w:rPr>
        <w:t>vaccines and significant opportunities within liver and respiratory rare diseases, today announced its financial results for the first quarter ended March 31, 2021 and provided corporate updates.</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“Arcturus has made continued progress advancing our clinical pipeline, highlighted by our development efforts for ARCT-021, a differentiated mRNA vaccine candidate targeting COVID-19. Based on promising data from our Phase 1/2 study, and the new interim safety and immunogenicity data from our Phase 2 study, we are looking forward to initiating ARCT-021 Phase 3 study as well as the continued advancement of our other pipeline programs,” said Steve Hughes, M.D., Chief Medical Officer of Arcturus.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“Our Self-Transcribing and Replicating mRNA (STARR™) delivered with our LUNAR® delivery system potentially has important differences from currently authorized mRNA vaccines for emergency use. We believe that ARCT-021, as a single shot lyophilized self-amplifying mRNA vaccine, if approved, may represent a preferred vaccine option. We are very pleased with the recent successes in our mRNA drug product manufacturing efforts, and in the expansion of our global safety database – and the positive readthrough this provides to the Company’s pipeline of mRNA therapeutics. We eagerly look forward to the next major development milestones for our vaccine, liver, and lung mRNA pipeline programs,” said Joseph Payne, President &amp; CEO of Arcturus.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Recent Corporate Highlights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ARCT-021, STARR™ mRNA Vaccine Candidate for SARS-CoV-2</w:t>
      </w:r>
    </w:p>
    <w:p>
      <w:pPr>
        <w:spacing w:after="0" w:line="19"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222222"/>
        </w:rPr>
        <w:t>Phase 2 study:</w:t>
      </w:r>
    </w:p>
    <w:p>
      <w:pPr>
        <w:spacing w:after="0" w:line="6" w:lineRule="exact"/>
        <w:rPr>
          <w:sz w:val="20"/>
          <w:szCs w:val="20"/>
          <w:color w:val="auto"/>
        </w:rPr>
      </w:pPr>
    </w:p>
    <w:p>
      <w:pPr>
        <w:ind w:left="640" w:hanging="216"/>
        <w:spacing w:after="0"/>
        <w:tabs>
          <w:tab w:leader="none" w:pos="640" w:val="left"/>
        </w:tabs>
        <w:numPr>
          <w:ilvl w:val="0"/>
          <w:numId w:val="2"/>
        </w:numPr>
        <w:rPr>
          <w:rFonts w:ascii="Arial" w:cs="Arial" w:eastAsia="Arial" w:hAnsi="Arial"/>
          <w:sz w:val="12"/>
          <w:szCs w:val="12"/>
          <w:color w:val="222222"/>
        </w:rPr>
      </w:pPr>
      <w:r>
        <w:rPr>
          <w:rFonts w:ascii="Arial" w:cs="Arial" w:eastAsia="Arial" w:hAnsi="Arial"/>
          <w:sz w:val="12"/>
          <w:szCs w:val="12"/>
          <w:color w:val="222222"/>
        </w:rPr>
        <w:t>Completed enrollment with 580 participants randomized and dosed</w:t>
      </w:r>
    </w:p>
    <w:p>
      <w:pPr>
        <w:spacing w:after="0" w:line="6" w:lineRule="exact"/>
        <w:rPr>
          <w:rFonts w:ascii="Arial" w:cs="Arial" w:eastAsia="Arial" w:hAnsi="Arial"/>
          <w:sz w:val="12"/>
          <w:szCs w:val="12"/>
          <w:color w:val="222222"/>
        </w:rPr>
      </w:pPr>
    </w:p>
    <w:p>
      <w:pPr>
        <w:ind w:left="640" w:hanging="216"/>
        <w:spacing w:after="0"/>
        <w:tabs>
          <w:tab w:leader="none" w:pos="640" w:val="left"/>
        </w:tabs>
        <w:numPr>
          <w:ilvl w:val="0"/>
          <w:numId w:val="2"/>
        </w:numPr>
        <w:rPr>
          <w:rFonts w:ascii="Arial" w:cs="Arial" w:eastAsia="Arial" w:hAnsi="Arial"/>
          <w:sz w:val="12"/>
          <w:szCs w:val="12"/>
          <w:color w:val="222222"/>
        </w:rPr>
      </w:pPr>
      <w:r>
        <w:rPr>
          <w:rFonts w:ascii="Arial" w:cs="Arial" w:eastAsia="Arial" w:hAnsi="Arial"/>
          <w:sz w:val="12"/>
          <w:szCs w:val="12"/>
          <w:color w:val="222222"/>
        </w:rPr>
        <w:t>Completed two interim analyses of the Phase 2 data which have been reviewed by the Data and Safety Monitoring Board (DSMB) with recommendation to proceed with no changes to protocol</w:t>
      </w:r>
    </w:p>
    <w:p>
      <w:pPr>
        <w:spacing w:after="0" w:line="6" w:lineRule="exact"/>
        <w:rPr>
          <w:rFonts w:ascii="Arial" w:cs="Arial" w:eastAsia="Arial" w:hAnsi="Arial"/>
          <w:sz w:val="12"/>
          <w:szCs w:val="12"/>
          <w:color w:val="222222"/>
        </w:rPr>
      </w:pPr>
    </w:p>
    <w:p>
      <w:pPr>
        <w:ind w:left="640" w:hanging="216"/>
        <w:spacing w:after="0"/>
        <w:tabs>
          <w:tab w:leader="none" w:pos="640" w:val="left"/>
        </w:tabs>
        <w:numPr>
          <w:ilvl w:val="0"/>
          <w:numId w:val="2"/>
        </w:numPr>
        <w:rPr>
          <w:rFonts w:ascii="Arial" w:cs="Arial" w:eastAsia="Arial" w:hAnsi="Arial"/>
          <w:sz w:val="12"/>
          <w:szCs w:val="12"/>
          <w:color w:val="222222"/>
        </w:rPr>
      </w:pPr>
      <w:r>
        <w:rPr>
          <w:rFonts w:ascii="Arial" w:cs="Arial" w:eastAsia="Arial" w:hAnsi="Arial"/>
          <w:sz w:val="12"/>
          <w:szCs w:val="12"/>
          <w:color w:val="222222"/>
        </w:rPr>
        <w:t>Data support initiation of Phase 3 study evaluating a single shot regimen of 5 microgram (µg)</w:t>
      </w:r>
    </w:p>
    <w:p>
      <w:pPr>
        <w:spacing w:after="0" w:line="6" w:lineRule="exact"/>
        <w:rPr>
          <w:rFonts w:ascii="Arial" w:cs="Arial" w:eastAsia="Arial" w:hAnsi="Arial"/>
          <w:sz w:val="12"/>
          <w:szCs w:val="12"/>
          <w:color w:val="222222"/>
        </w:rPr>
      </w:pPr>
    </w:p>
    <w:p>
      <w:pPr>
        <w:ind w:left="640" w:hanging="216"/>
        <w:spacing w:after="0"/>
        <w:tabs>
          <w:tab w:leader="none" w:pos="640" w:val="left"/>
        </w:tabs>
        <w:numPr>
          <w:ilvl w:val="0"/>
          <w:numId w:val="2"/>
        </w:numPr>
        <w:rPr>
          <w:rFonts w:ascii="Arial" w:cs="Arial" w:eastAsia="Arial" w:hAnsi="Arial"/>
          <w:sz w:val="12"/>
          <w:szCs w:val="12"/>
          <w:color w:val="222222"/>
        </w:rPr>
      </w:pPr>
      <w:r>
        <w:rPr>
          <w:rFonts w:ascii="Arial" w:cs="Arial" w:eastAsia="Arial" w:hAnsi="Arial"/>
          <w:sz w:val="12"/>
          <w:szCs w:val="12"/>
          <w:color w:val="222222"/>
        </w:rPr>
        <w:t>Interim immunogenicity data confirm high seroconversion rate (&gt; 90%) at day 28 for IgG antibodies binding the full-length spike protein following a single 5 µg dose</w:t>
      </w:r>
    </w:p>
    <w:p>
      <w:pPr>
        <w:spacing w:after="0" w:line="6" w:lineRule="exact"/>
        <w:rPr>
          <w:rFonts w:ascii="Arial" w:cs="Arial" w:eastAsia="Arial" w:hAnsi="Arial"/>
          <w:sz w:val="12"/>
          <w:szCs w:val="12"/>
          <w:color w:val="222222"/>
        </w:rPr>
      </w:pPr>
    </w:p>
    <w:p>
      <w:pPr>
        <w:ind w:left="640" w:hanging="216"/>
        <w:spacing w:after="0"/>
        <w:tabs>
          <w:tab w:leader="none" w:pos="640" w:val="left"/>
        </w:tabs>
        <w:numPr>
          <w:ilvl w:val="0"/>
          <w:numId w:val="2"/>
        </w:numPr>
        <w:rPr>
          <w:rFonts w:ascii="Arial" w:cs="Arial" w:eastAsia="Arial" w:hAnsi="Arial"/>
          <w:sz w:val="12"/>
          <w:szCs w:val="12"/>
          <w:color w:val="222222"/>
        </w:rPr>
      </w:pPr>
      <w:r>
        <w:rPr>
          <w:rFonts w:ascii="Arial" w:cs="Arial" w:eastAsia="Arial" w:hAnsi="Arial"/>
          <w:sz w:val="12"/>
          <w:szCs w:val="12"/>
          <w:color w:val="222222"/>
        </w:rPr>
        <w:t>Phase 2 study is ongoing and the Company remains blinded to full trial data; data from additional endpoints are expected, including neutralizing antibody and T-cell data, during H2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243840</wp:posOffset>
            </wp:positionV>
            <wp:extent cx="717804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89" w:right="299" w:bottom="1440" w:gutter="0" w:footer="0" w:header="0"/>
        </w:sectPr>
      </w:pPr>
    </w:p>
    <w:bookmarkStart w:id="4" w:name="page5"/>
    <w:bookmarkEnd w:id="4"/>
    <w:p>
      <w:pPr>
        <w:ind w:left="420"/>
        <w:spacing w:after="0"/>
        <w:rPr>
          <w:sz w:val="20"/>
          <w:szCs w:val="20"/>
          <w:color w:val="auto"/>
        </w:rPr>
      </w:pPr>
      <w:r>
        <w:rPr>
          <w:rFonts w:ascii="Arial" w:cs="Arial" w:eastAsia="Arial" w:hAnsi="Arial"/>
          <w:sz w:val="12"/>
          <w:szCs w:val="12"/>
          <w:i w:val="1"/>
          <w:iCs w:val="1"/>
          <w:color w:val="auto"/>
        </w:rPr>
        <w:t>Phase 3 study:</w:t>
      </w:r>
    </w:p>
    <w:p>
      <w:pPr>
        <w:spacing w:after="0" w:line="15" w:lineRule="exact"/>
        <w:rPr>
          <w:sz w:val="20"/>
          <w:szCs w:val="20"/>
          <w:color w:val="auto"/>
        </w:rPr>
      </w:pPr>
    </w:p>
    <w:p>
      <w:pPr>
        <w:ind w:left="640" w:hanging="216"/>
        <w:spacing w:after="0"/>
        <w:tabs>
          <w:tab w:leader="none" w:pos="640" w:val="left"/>
        </w:tabs>
        <w:numPr>
          <w:ilvl w:val="0"/>
          <w:numId w:val="3"/>
        </w:numPr>
        <w:rPr>
          <w:rFonts w:ascii="Arial" w:cs="Arial" w:eastAsia="Arial" w:hAnsi="Arial"/>
          <w:sz w:val="12"/>
          <w:szCs w:val="12"/>
          <w:color w:val="222222"/>
        </w:rPr>
      </w:pPr>
      <w:r>
        <w:rPr>
          <w:rFonts w:ascii="Arial" w:cs="Arial" w:eastAsia="Arial" w:hAnsi="Arial"/>
          <w:sz w:val="12"/>
          <w:szCs w:val="12"/>
          <w:color w:val="222222"/>
        </w:rPr>
        <w:t>Single dose of 5 μg selected as the regimen for evaluation in Phase 3</w:t>
      </w:r>
    </w:p>
    <w:p>
      <w:pPr>
        <w:spacing w:after="0" w:line="6" w:lineRule="exact"/>
        <w:rPr>
          <w:rFonts w:ascii="Arial" w:cs="Arial" w:eastAsia="Arial" w:hAnsi="Arial"/>
          <w:sz w:val="12"/>
          <w:szCs w:val="12"/>
          <w:color w:val="222222"/>
        </w:rPr>
      </w:pPr>
    </w:p>
    <w:p>
      <w:pPr>
        <w:ind w:left="640" w:hanging="216"/>
        <w:spacing w:after="0"/>
        <w:tabs>
          <w:tab w:leader="none" w:pos="640" w:val="left"/>
        </w:tabs>
        <w:numPr>
          <w:ilvl w:val="0"/>
          <w:numId w:val="3"/>
        </w:numPr>
        <w:rPr>
          <w:rFonts w:ascii="Arial" w:cs="Arial" w:eastAsia="Arial" w:hAnsi="Arial"/>
          <w:sz w:val="12"/>
          <w:szCs w:val="12"/>
          <w:color w:val="222222"/>
        </w:rPr>
      </w:pPr>
      <w:r>
        <w:rPr>
          <w:rFonts w:ascii="Arial" w:cs="Arial" w:eastAsia="Arial" w:hAnsi="Arial"/>
          <w:sz w:val="12"/>
          <w:szCs w:val="12"/>
          <w:color w:val="222222"/>
        </w:rPr>
        <w:t>In negotiations with multiple regulatory authorities regarding Phase 3 study</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Manufacturing:</w:t>
      </w:r>
    </w:p>
    <w:p>
      <w:pPr>
        <w:spacing w:after="0" w:line="15" w:lineRule="exact"/>
        <w:rPr>
          <w:sz w:val="20"/>
          <w:szCs w:val="20"/>
          <w:color w:val="auto"/>
        </w:rPr>
      </w:pPr>
    </w:p>
    <w:p>
      <w:pPr>
        <w:ind w:left="640" w:hanging="216"/>
        <w:spacing w:after="0"/>
        <w:tabs>
          <w:tab w:leader="none" w:pos="640" w:val="left"/>
        </w:tabs>
        <w:numPr>
          <w:ilvl w:val="0"/>
          <w:numId w:val="4"/>
        </w:numPr>
        <w:rPr>
          <w:rFonts w:ascii="Arial" w:cs="Arial" w:eastAsia="Arial" w:hAnsi="Arial"/>
          <w:sz w:val="12"/>
          <w:szCs w:val="12"/>
          <w:color w:val="222222"/>
        </w:rPr>
      </w:pPr>
      <w:r>
        <w:rPr>
          <w:rFonts w:ascii="Arial" w:cs="Arial" w:eastAsia="Arial" w:hAnsi="Arial"/>
          <w:sz w:val="12"/>
          <w:szCs w:val="12"/>
          <w:color w:val="222222"/>
        </w:rPr>
        <w:t>Completed GMP manufacturing and release of lyophilized ARCT-021 to support Phase 3</w:t>
      </w:r>
    </w:p>
    <w:p>
      <w:pPr>
        <w:spacing w:after="0" w:line="6" w:lineRule="exact"/>
        <w:rPr>
          <w:rFonts w:ascii="Arial" w:cs="Arial" w:eastAsia="Arial" w:hAnsi="Arial"/>
          <w:sz w:val="12"/>
          <w:szCs w:val="12"/>
          <w:color w:val="222222"/>
        </w:rPr>
      </w:pPr>
    </w:p>
    <w:p>
      <w:pPr>
        <w:ind w:left="640" w:hanging="216"/>
        <w:spacing w:after="0"/>
        <w:tabs>
          <w:tab w:leader="none" w:pos="640" w:val="left"/>
        </w:tabs>
        <w:numPr>
          <w:ilvl w:val="0"/>
          <w:numId w:val="4"/>
        </w:numPr>
        <w:rPr>
          <w:rFonts w:ascii="Arial" w:cs="Arial" w:eastAsia="Arial" w:hAnsi="Arial"/>
          <w:sz w:val="12"/>
          <w:szCs w:val="12"/>
          <w:color w:val="222222"/>
        </w:rPr>
      </w:pPr>
      <w:r>
        <w:rPr>
          <w:rFonts w:ascii="Arial" w:cs="Arial" w:eastAsia="Arial" w:hAnsi="Arial"/>
          <w:sz w:val="12"/>
          <w:szCs w:val="12"/>
          <w:color w:val="222222"/>
        </w:rPr>
        <w:t>Completed stockpiling of greater than 10 million doses of lyophilized ARCT-021</w:t>
      </w:r>
    </w:p>
    <w:p>
      <w:pPr>
        <w:spacing w:after="0" w:line="6" w:lineRule="exact"/>
        <w:rPr>
          <w:rFonts w:ascii="Arial" w:cs="Arial" w:eastAsia="Arial" w:hAnsi="Arial"/>
          <w:sz w:val="12"/>
          <w:szCs w:val="12"/>
          <w:color w:val="222222"/>
        </w:rPr>
      </w:pPr>
    </w:p>
    <w:p>
      <w:pPr>
        <w:ind w:left="640" w:hanging="216"/>
        <w:spacing w:after="0"/>
        <w:tabs>
          <w:tab w:leader="none" w:pos="640" w:val="left"/>
        </w:tabs>
        <w:numPr>
          <w:ilvl w:val="0"/>
          <w:numId w:val="4"/>
        </w:numPr>
        <w:rPr>
          <w:rFonts w:ascii="Arial" w:cs="Arial" w:eastAsia="Arial" w:hAnsi="Arial"/>
          <w:sz w:val="12"/>
          <w:szCs w:val="12"/>
          <w:color w:val="222222"/>
        </w:rPr>
      </w:pPr>
      <w:r>
        <w:rPr>
          <w:rFonts w:ascii="Arial" w:cs="Arial" w:eastAsia="Arial" w:hAnsi="Arial"/>
          <w:sz w:val="12"/>
          <w:szCs w:val="12"/>
          <w:color w:val="222222"/>
        </w:rPr>
        <w:t>Manufacturing capacity in place to support vaccine supply requirements under potential Emergency Use Authority (EUA)</w:t>
      </w:r>
    </w:p>
    <w:p>
      <w:pPr>
        <w:spacing w:after="0" w:line="6" w:lineRule="exact"/>
        <w:rPr>
          <w:rFonts w:ascii="Arial" w:cs="Arial" w:eastAsia="Arial" w:hAnsi="Arial"/>
          <w:sz w:val="12"/>
          <w:szCs w:val="12"/>
          <w:color w:val="222222"/>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222222"/>
        </w:rPr>
        <w:t>L</w:t>
      </w:r>
      <w:r>
        <w:rPr>
          <w:rFonts w:ascii="Arial" w:cs="Arial" w:eastAsia="Arial" w:hAnsi="Arial"/>
          <w:sz w:val="12"/>
          <w:szCs w:val="12"/>
          <w:color w:val="000000"/>
        </w:rPr>
        <w:t>yophilized ARCT-021 stability predicted to be longer than 1 year at -20°C; stability studies at -20°C, 2-8°C and room temperature are ongoing</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ARCT-810, mRNA Therapeutic Candidate for Ornithine Transcarbamylase (OTC) Deficiency</w:t>
      </w:r>
    </w:p>
    <w:p>
      <w:pPr>
        <w:spacing w:after="0" w:line="19" w:lineRule="exact"/>
        <w:rPr>
          <w:sz w:val="20"/>
          <w:szCs w:val="20"/>
          <w:color w:val="auto"/>
        </w:rPr>
      </w:pPr>
    </w:p>
    <w:p>
      <w:pPr>
        <w:ind w:left="640" w:hanging="216"/>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Two additional sites in U.S. activated to support ongoing Phase 1b study</w:t>
      </w:r>
    </w:p>
    <w:p>
      <w:pPr>
        <w:spacing w:after="0" w:line="6" w:lineRule="exact"/>
        <w:rPr>
          <w:rFonts w:ascii="Arial" w:cs="Arial" w:eastAsia="Arial" w:hAnsi="Arial"/>
          <w:sz w:val="12"/>
          <w:szCs w:val="12"/>
          <w:color w:val="auto"/>
        </w:rPr>
      </w:pPr>
    </w:p>
    <w:p>
      <w:pPr>
        <w:ind w:left="640" w:hanging="216"/>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9-month (20 doses) chronic toxicology study completed in non-human primates with no adverse histological findings; doses exceeded maximum targeted clinical dose</w:t>
      </w:r>
    </w:p>
    <w:p>
      <w:pPr>
        <w:spacing w:after="0" w:line="6" w:lineRule="exact"/>
        <w:rPr>
          <w:rFonts w:ascii="Arial" w:cs="Arial" w:eastAsia="Arial" w:hAnsi="Arial"/>
          <w:sz w:val="12"/>
          <w:szCs w:val="12"/>
          <w:color w:val="auto"/>
        </w:rPr>
      </w:pPr>
    </w:p>
    <w:p>
      <w:pPr>
        <w:ind w:left="640" w:hanging="216"/>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On track to file CTA this quarter for Phase 2 multiple dose study; ethics committee submission completed</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ARCT-032, mRNA Therapeutic Candidate for Cystic Fibrosis</w:t>
      </w:r>
    </w:p>
    <w:p>
      <w:pPr>
        <w:spacing w:after="0" w:line="19" w:lineRule="exact"/>
        <w:rPr>
          <w:sz w:val="20"/>
          <w:szCs w:val="20"/>
          <w:color w:val="auto"/>
        </w:rPr>
      </w:pPr>
    </w:p>
    <w:p>
      <w:pPr>
        <w:ind w:left="640" w:hanging="216"/>
        <w:spacing w:after="0"/>
        <w:tabs>
          <w:tab w:leader="none" w:pos="640" w:val="left"/>
        </w:tabs>
        <w:numPr>
          <w:ilvl w:val="0"/>
          <w:numId w:val="6"/>
        </w:numPr>
        <w:rPr>
          <w:rFonts w:ascii="Arial" w:cs="Arial" w:eastAsia="Arial" w:hAnsi="Arial"/>
          <w:sz w:val="12"/>
          <w:szCs w:val="12"/>
          <w:color w:val="auto"/>
        </w:rPr>
      </w:pPr>
      <w:r>
        <w:rPr>
          <w:rFonts w:ascii="Arial" w:cs="Arial" w:eastAsia="Arial" w:hAnsi="Arial"/>
          <w:sz w:val="12"/>
          <w:szCs w:val="12"/>
          <w:color w:val="auto"/>
        </w:rPr>
        <w:t>CTA filing on track for Q4</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results for the quarter ended March 31, 2021</w:t>
      </w:r>
    </w:p>
    <w:p>
      <w:pPr>
        <w:spacing w:after="0" w:line="19" w:lineRule="exact"/>
        <w:rPr>
          <w:sz w:val="20"/>
          <w:szCs w:val="20"/>
          <w:color w:val="auto"/>
        </w:rPr>
      </w:pPr>
    </w:p>
    <w:p>
      <w:pPr>
        <w:jc w:val="both"/>
        <w:spacing w:after="0" w:line="306" w:lineRule="auto"/>
        <w:rPr>
          <w:sz w:val="20"/>
          <w:szCs w:val="20"/>
          <w:color w:val="auto"/>
        </w:rPr>
      </w:pPr>
      <w:r>
        <w:rPr>
          <w:rFonts w:ascii="Arial" w:cs="Arial" w:eastAsia="Arial" w:hAnsi="Arial"/>
          <w:sz w:val="11"/>
          <w:szCs w:val="11"/>
          <w:i w:val="1"/>
          <w:iCs w:val="1"/>
          <w:color w:val="auto"/>
        </w:rPr>
        <w:t>Revenues in conjunction with strategic alliances and collaborations</w:t>
      </w:r>
      <w:r>
        <w:rPr>
          <w:rFonts w:ascii="Arial" w:cs="Arial" w:eastAsia="Arial" w:hAnsi="Arial"/>
          <w:sz w:val="11"/>
          <w:szCs w:val="11"/>
          <w:color w:val="auto"/>
        </w:rPr>
        <w:t>: Arcturus’ primary sources of revenues were from license fees and collaborative payments received from research and development arrangements with pharmaceutical</w:t>
      </w:r>
      <w:r>
        <w:rPr>
          <w:rFonts w:ascii="Arial" w:cs="Arial" w:eastAsia="Arial" w:hAnsi="Arial"/>
          <w:sz w:val="11"/>
          <w:szCs w:val="11"/>
          <w:i w:val="1"/>
          <w:iCs w:val="1"/>
          <w:color w:val="auto"/>
        </w:rPr>
        <w:t xml:space="preserve"> </w:t>
      </w:r>
      <w:r>
        <w:rPr>
          <w:rFonts w:ascii="Arial" w:cs="Arial" w:eastAsia="Arial" w:hAnsi="Arial"/>
          <w:sz w:val="11"/>
          <w:szCs w:val="11"/>
          <w:color w:val="auto"/>
        </w:rPr>
        <w:t>and biotechnology partners. For the three months ended March 31, 2021, the Company reported revenue of $2.1 million, compared with $2.6 million in the three months ended March 31, 2020.</w:t>
      </w:r>
    </w:p>
    <w:p>
      <w:pPr>
        <w:spacing w:after="0" w:line="10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i w:val="1"/>
          <w:iCs w:val="1"/>
          <w:color w:val="auto"/>
        </w:rPr>
        <w:t>Operating expenses</w:t>
      </w:r>
      <w:r>
        <w:rPr>
          <w:rFonts w:ascii="Arial" w:cs="Arial" w:eastAsia="Arial" w:hAnsi="Arial"/>
          <w:sz w:val="12"/>
          <w:szCs w:val="12"/>
          <w:color w:val="auto"/>
        </w:rPr>
        <w:t>: Total operating expenses for the three months ended March 31, 2021 were $59.8 million compared with $12.1 million for the three months ended March 31, 2020 and $33.3 million for the three months ended</w:t>
      </w:r>
      <w:r>
        <w:rPr>
          <w:rFonts w:ascii="Arial" w:cs="Arial" w:eastAsia="Arial" w:hAnsi="Arial"/>
          <w:sz w:val="12"/>
          <w:szCs w:val="12"/>
          <w:i w:val="1"/>
          <w:iCs w:val="1"/>
          <w:color w:val="auto"/>
        </w:rPr>
        <w:t xml:space="preserve"> </w:t>
      </w:r>
      <w:r>
        <w:rPr>
          <w:rFonts w:ascii="Arial" w:cs="Arial" w:eastAsia="Arial" w:hAnsi="Arial"/>
          <w:sz w:val="12"/>
          <w:szCs w:val="12"/>
          <w:color w:val="auto"/>
        </w:rPr>
        <w:t>December 31, 2020.</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Research and development expenses increased by approximately $42.1 year over year and $25.8 million sequentially from the fourth quarter of 2020. The primary driver of the sequential increase was driven by higher clinical and manufacturing cost of $17.2 million for our ARCT-021 program. The remaining increase was primarily driven by higher personnel costs and related to the acquisition of an exclusive license from Alexion Pharmaceuticals for certain patent-pending inventions relating to nucleic acid purification technologies for approximately $5.0 million of Arcturus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231775</wp:posOffset>
            </wp:positionV>
            <wp:extent cx="717804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5" w:name="page6"/>
    <w:bookmarkEnd w:id="5"/>
    <w:p>
      <w:pPr>
        <w:ind w:left="8"/>
        <w:spacing w:after="0" w:line="276" w:lineRule="auto"/>
        <w:rPr>
          <w:sz w:val="20"/>
          <w:szCs w:val="20"/>
          <w:color w:val="auto"/>
        </w:rPr>
      </w:pPr>
      <w:r>
        <w:rPr>
          <w:rFonts w:ascii="Arial" w:cs="Arial" w:eastAsia="Arial" w:hAnsi="Arial"/>
          <w:sz w:val="12"/>
          <w:szCs w:val="12"/>
          <w:i w:val="1"/>
          <w:iCs w:val="1"/>
          <w:color w:val="auto"/>
        </w:rPr>
        <w:t>Net loss</w:t>
      </w:r>
      <w:r>
        <w:rPr>
          <w:rFonts w:ascii="Arial" w:cs="Arial" w:eastAsia="Arial" w:hAnsi="Arial"/>
          <w:sz w:val="12"/>
          <w:szCs w:val="12"/>
          <w:color w:val="auto"/>
        </w:rPr>
        <w:t>: For the three months ended March 31, 2021 Arcturus reported a net loss of approximately $56.3 million, or ($2.15) per basic and diluted share, compared with a net loss of $9.8 million, or ($0.67) per basic and diluted share in</w:t>
      </w:r>
      <w:r>
        <w:rPr>
          <w:rFonts w:ascii="Arial" w:cs="Arial" w:eastAsia="Arial" w:hAnsi="Arial"/>
          <w:sz w:val="12"/>
          <w:szCs w:val="12"/>
          <w:i w:val="1"/>
          <w:iCs w:val="1"/>
          <w:color w:val="auto"/>
        </w:rPr>
        <w:t xml:space="preserve"> </w:t>
      </w:r>
      <w:r>
        <w:rPr>
          <w:rFonts w:ascii="Arial" w:cs="Arial" w:eastAsia="Arial" w:hAnsi="Arial"/>
          <w:sz w:val="12"/>
          <w:szCs w:val="12"/>
          <w:color w:val="auto"/>
        </w:rPr>
        <w:t>the three months ended March 31, 2020 and a net loss of $31.1 million, or ($1.25) per basic and diluted share in the three months ended December 31, 2020.</w:t>
      </w:r>
    </w:p>
    <w:p>
      <w:pPr>
        <w:spacing w:after="0" w:line="115"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The Company’s cash balance totaled $466.9 million as of March 31, 2021, compared to cash and cash equivalents of $463.0 million at December 31, 2020. Based on our current plans, the Company’s cash position is expected to be sufficient to support operations for more than two years.</w:t>
      </w:r>
    </w:p>
    <w:p>
      <w:pPr>
        <w:spacing w:after="0" w:line="7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Monday, May 10</w:t>
      </w:r>
      <w:r>
        <w:rPr>
          <w:rFonts w:ascii="Arial" w:cs="Arial" w:eastAsia="Arial" w:hAnsi="Arial"/>
          <w:sz w:val="19"/>
          <w:szCs w:val="19"/>
          <w:b w:val="1"/>
          <w:bCs w:val="1"/>
          <w:color w:val="auto"/>
          <w:vertAlign w:val="superscript"/>
        </w:rPr>
        <w:t>th</w:t>
      </w:r>
      <w:r>
        <w:rPr>
          <w:rFonts w:ascii="Arial" w:cs="Arial" w:eastAsia="Arial" w:hAnsi="Arial"/>
          <w:sz w:val="12"/>
          <w:szCs w:val="12"/>
          <w:b w:val="1"/>
          <w:bCs w:val="1"/>
          <w:color w:val="auto"/>
        </w:rPr>
        <w:t xml:space="preserve"> @ 4:30 p.m. ET</w:t>
      </w:r>
    </w:p>
    <w:p>
      <w:pPr>
        <w:ind w:left="8"/>
        <w:spacing w:after="0"/>
        <w:tabs>
          <w:tab w:leader="none" w:pos="2888" w:val="left"/>
        </w:tabs>
        <w:rPr>
          <w:sz w:val="20"/>
          <w:szCs w:val="20"/>
          <w:color w:val="auto"/>
        </w:rPr>
      </w:pPr>
      <w:r>
        <w:rPr>
          <w:rFonts w:ascii="Arial" w:cs="Arial" w:eastAsia="Arial" w:hAnsi="Arial"/>
          <w:sz w:val="12"/>
          <w:szCs w:val="12"/>
          <w:color w:val="auto"/>
        </w:rPr>
        <w:t>Domestic:</w:t>
      </w:r>
      <w:r>
        <w:rPr>
          <w:sz w:val="20"/>
          <w:szCs w:val="20"/>
          <w:color w:val="auto"/>
        </w:rPr>
        <w:tab/>
      </w:r>
      <w:r>
        <w:rPr>
          <w:rFonts w:ascii="Arial" w:cs="Arial" w:eastAsia="Arial" w:hAnsi="Arial"/>
          <w:sz w:val="12"/>
          <w:szCs w:val="12"/>
          <w:color w:val="auto"/>
        </w:rPr>
        <w:t>877-256-4295</w:t>
      </w:r>
    </w:p>
    <w:p>
      <w:pPr>
        <w:spacing w:after="0" w:line="5" w:lineRule="exact"/>
        <w:rPr>
          <w:sz w:val="20"/>
          <w:szCs w:val="20"/>
          <w:color w:val="auto"/>
        </w:rPr>
      </w:pPr>
    </w:p>
    <w:p>
      <w:pPr>
        <w:ind w:left="8"/>
        <w:spacing w:after="0"/>
        <w:tabs>
          <w:tab w:leader="none" w:pos="2888" w:val="left"/>
        </w:tabs>
        <w:rPr>
          <w:sz w:val="20"/>
          <w:szCs w:val="20"/>
          <w:color w:val="auto"/>
        </w:rPr>
      </w:pPr>
      <w:r>
        <w:rPr>
          <w:rFonts w:ascii="Arial" w:cs="Arial" w:eastAsia="Arial" w:hAnsi="Arial"/>
          <w:sz w:val="12"/>
          <w:szCs w:val="12"/>
          <w:color w:val="auto"/>
        </w:rPr>
        <w:t>International:</w:t>
      </w:r>
      <w:r>
        <w:rPr>
          <w:sz w:val="20"/>
          <w:szCs w:val="20"/>
          <w:color w:val="auto"/>
        </w:rPr>
        <w:tab/>
      </w:r>
      <w:r>
        <w:rPr>
          <w:rFonts w:ascii="Arial" w:cs="Arial" w:eastAsia="Arial" w:hAnsi="Arial"/>
          <w:sz w:val="12"/>
          <w:szCs w:val="12"/>
          <w:color w:val="auto"/>
        </w:rPr>
        <w:t>212-231-2927</w:t>
      </w:r>
    </w:p>
    <w:p>
      <w:pPr>
        <w:spacing w:after="0" w:line="6" w:lineRule="exact"/>
        <w:rPr>
          <w:sz w:val="20"/>
          <w:szCs w:val="20"/>
          <w:color w:val="auto"/>
        </w:rPr>
      </w:pPr>
    </w:p>
    <w:p>
      <w:pPr>
        <w:ind w:left="8"/>
        <w:spacing w:after="0"/>
        <w:tabs>
          <w:tab w:leader="none" w:pos="2888" w:val="left"/>
        </w:tabs>
        <w:rPr>
          <w:sz w:val="20"/>
          <w:szCs w:val="20"/>
          <w:color w:val="auto"/>
        </w:rPr>
      </w:pPr>
      <w:r>
        <w:rPr>
          <w:rFonts w:ascii="Arial" w:cs="Arial" w:eastAsia="Arial" w:hAnsi="Arial"/>
          <w:sz w:val="12"/>
          <w:szCs w:val="12"/>
          <w:color w:val="auto"/>
        </w:rPr>
        <w:t>Conference ID:</w:t>
      </w:r>
      <w:r>
        <w:rPr>
          <w:sz w:val="20"/>
          <w:szCs w:val="20"/>
          <w:color w:val="auto"/>
        </w:rPr>
        <w:tab/>
      </w:r>
      <w:r>
        <w:rPr>
          <w:rFonts w:ascii="Arial" w:cs="Arial" w:eastAsia="Arial" w:hAnsi="Arial"/>
          <w:sz w:val="10"/>
          <w:szCs w:val="10"/>
          <w:color w:val="auto"/>
        </w:rPr>
        <w:t>21993793</w:t>
      </w:r>
    </w:p>
    <w:p>
      <w:pPr>
        <w:spacing w:after="0" w:line="6" w:lineRule="exact"/>
        <w:rPr>
          <w:sz w:val="20"/>
          <w:szCs w:val="20"/>
          <w:color w:val="auto"/>
        </w:rPr>
      </w:pPr>
    </w:p>
    <w:p>
      <w:pPr>
        <w:ind w:left="8"/>
        <w:spacing w:after="0"/>
        <w:tabs>
          <w:tab w:leader="none" w:pos="2888" w:val="left"/>
        </w:tabs>
        <w:rPr>
          <w:sz w:val="20"/>
          <w:szCs w:val="20"/>
          <w:color w:val="auto"/>
        </w:rPr>
      </w:pPr>
      <w:r>
        <w:rPr>
          <w:rFonts w:ascii="Arial" w:cs="Arial" w:eastAsia="Arial" w:hAnsi="Arial"/>
          <w:sz w:val="12"/>
          <w:szCs w:val="12"/>
          <w:color w:val="auto"/>
        </w:rPr>
        <w:t>Webcast:</w:t>
      </w:r>
      <w:r>
        <w:rPr>
          <w:sz w:val="20"/>
          <w:szCs w:val="20"/>
          <w:color w:val="auto"/>
        </w:rPr>
        <w:tab/>
      </w:r>
      <w:r>
        <w:rPr>
          <w:rFonts w:ascii="Arial" w:cs="Arial" w:eastAsia="Arial" w:hAnsi="Arial"/>
          <w:sz w:val="12"/>
          <w:szCs w:val="12"/>
          <w:color w:val="auto"/>
        </w:rPr>
        <w:t>http://public.viavid.com/index.php?id=144682</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About Arcturus Therapeutics</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1"/>
          <w:szCs w:val="11"/>
          <w:color w:val="auto"/>
        </w:rPr>
        <w:t>Founded in 2013 and based in San Diego, California, Arcturus Therapeutics Holdings Inc. (Nasdaq: ARCT) is a clinical-stage mRNA medicines and vaccines company with enabling technologies: (i) LUNAR® lipid-mediated delivery,</w:t>
      </w:r>
    </w:p>
    <w:p>
      <w:pPr>
        <w:spacing w:after="0" w:line="18" w:lineRule="exact"/>
        <w:rPr>
          <w:sz w:val="20"/>
          <w:szCs w:val="20"/>
          <w:color w:val="auto"/>
        </w:rPr>
      </w:pPr>
    </w:p>
    <w:p>
      <w:pPr>
        <w:jc w:val="both"/>
        <w:ind w:left="8" w:hanging="8"/>
        <w:spacing w:after="0" w:line="252" w:lineRule="auto"/>
        <w:tabs>
          <w:tab w:leader="none" w:pos="188" w:val="left"/>
        </w:tabs>
        <w:numPr>
          <w:ilvl w:val="0"/>
          <w:numId w:val="7"/>
        </w:numPr>
        <w:rPr>
          <w:rFonts w:ascii="Arial" w:cs="Arial" w:eastAsia="Arial" w:hAnsi="Arial"/>
          <w:sz w:val="12"/>
          <w:szCs w:val="12"/>
          <w:color w:val="auto"/>
        </w:rPr>
      </w:pPr>
      <w:r>
        <w:rPr>
          <w:rFonts w:ascii="Arial" w:cs="Arial" w:eastAsia="Arial" w:hAnsi="Arial"/>
          <w:sz w:val="12"/>
          <w:szCs w:val="12"/>
          <w:color w:val="auto"/>
        </w:rPr>
        <w:t>STARR™ mRNA Technology and (iii) mRNA drug substance along with drug product manufacturing expertise. Arcturus’ diverse pipeline of RNA therapeutic and vaccine candidates includes mRNA vaccine programs for SARS-CoV-2 (COVID-19) and Influenza, and other programs to potentially treat Ornithine Transcarbamylase (OTC) Deficiency, and Cystic Fibrosis along with partnered programs including Glycogen Storage Disease Type 3, Hepatitis B Virus, and non-alcoholic steatohepatitis (NASH). Arcturus’ versatile RNA therapeutics platforms can be applied toward multiple types of nucleic acid medicines including messenger RNA, small interfering RNA, replicon RNA, antisense RNA, microRNA, DNA, and gene editing therapeutics. Arcturus’ technologies are covered by its extensive patent portfolio (209 patents and patent applications, issued in the U.S., Europe, Japan, China and other countries). Arcturus’ commitment to the development of novel RNA therapeutics has led to collaborations with Janssen Pharmaceuticals, Inc., part of the Janssen Pharmaceutical Companies of Johnson &amp; Johnson, Ultragenyx Pharmaceutical, Inc., Takeda Pharmaceutical Company Limited, CureVac AG, Synthetic Genomics Inc., Duke-NUS Medical School, and the Cystic Fibrosis Foundation. For more information visit www.ArcturusRx.com. In addition, please connect with us on Twitter and LinkedIn.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236220</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275" w:right="299" w:bottom="1440" w:gutter="0" w:footer="0" w:header="0"/>
        </w:sectPr>
      </w:pPr>
    </w:p>
    <w:bookmarkStart w:id="6" w:name="page7"/>
    <w:bookmarkEnd w:id="6"/>
    <w:p>
      <w:pPr>
        <w:ind w:left="8"/>
        <w:spacing w:after="0"/>
        <w:rPr>
          <w:sz w:val="20"/>
          <w:szCs w:val="20"/>
          <w:color w:val="auto"/>
        </w:rPr>
      </w:pPr>
      <w:r>
        <w:rPr>
          <w:rFonts w:ascii="Arial" w:cs="Arial" w:eastAsia="Arial" w:hAnsi="Arial"/>
          <w:sz w:val="12"/>
          <w:szCs w:val="12"/>
          <w:b w:val="1"/>
          <w:bCs w:val="1"/>
          <w:color w:val="auto"/>
        </w:rPr>
        <w:t>Forward Looking Statements</w:t>
      </w:r>
    </w:p>
    <w:p>
      <w:pPr>
        <w:spacing w:after="0" w:line="19" w:lineRule="exact"/>
        <w:rPr>
          <w:sz w:val="20"/>
          <w:szCs w:val="20"/>
          <w:color w:val="auto"/>
        </w:rPr>
      </w:pPr>
    </w:p>
    <w:p>
      <w:pPr>
        <w:jc w:val="both"/>
        <w:ind w:left="8"/>
        <w:spacing w:after="0" w:line="275" w:lineRule="auto"/>
        <w:rPr>
          <w:sz w:val="20"/>
          <w:szCs w:val="20"/>
          <w:color w:val="auto"/>
        </w:rPr>
      </w:pPr>
      <w:r>
        <w:rPr>
          <w:rFonts w:ascii="Arial" w:cs="Arial" w:eastAsia="Arial" w:hAnsi="Arial"/>
          <w:sz w:val="11"/>
          <w:szCs w:val="11"/>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are forward-looking statements, including those regarding strategy, future operations, collaborations, the planned initiation, design or completion of clinical trials, the likelihood that the Company will obtain clearance from regulatory authorities to proceed with planned clinical trials, the likelihood that preclinical or clinical data will be predictive of future clinical results, the likelihood that clinical data will be sufficient for regulatory approval or completed in time to submit an application for regulatory approval within a particular timeframe, the likelihood of success (including safety and efficacy) of the Company’s pipeline, including ARCT-021, ARCT-810 or ARCT-032, the potential administration regimen or dosage, or ability to administer multiple doses of, any of Company’s drug candidates, the ability to enroll subjects in clinical trials, the Company’s efforts to develop a vaccine against COVID-19 and therapeutic potential thereof based on the Company’s mRNA therapeutics, the Company’s manufacturing methods and technologies (including purification and lyophilization, and stability of manufactured product), the ability of the Company to scale up manufacturing of products or substances, the likelihood that a patent will issue from any patent application, its current cash position and expected cash burn and the impact of general business and economic conditions. Actual results and performance could differ materially from those projected in any forward-looking statements as a result of many factors including, without limitation, the ability to enroll subjects in clinical trials as a result of the COVID-19 pandemic, the impact of commercialization of third-party COVID-19 vaccines on the design, and ability to conduct, clinical trials, the availability of manufacturing capacity and raw materials, unexpected clinical results, government regulations impacting the regulatory environment or intellectual property landscape, and general market conditions that may prevent such achievements or performance. Arcturus may not actually achieve the plans, carry out the intentions or meet the expectations or projections disclosed in any forward-looking statements such as the foregoing and you should not place undue reliance on such forward-looking statements. Such statements are based on management’s current expectations and involve risks and uncertainties, including those discussed under the heading "Risk Factors" in Arcturus’ Annual Report on Form 10-K for the fiscal year ended December 31, 2020, and in subsequent filings with, or submissions to, the SEC.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IR and Media Contacts</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color w:val="auto"/>
        </w:rPr>
        <w:t>Arcturus Therapeutics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Neda Safarzadeh</w:t>
      </w:r>
    </w:p>
    <w:p>
      <w:pPr>
        <w:spacing w:after="0" w:line="6" w:lineRule="exact"/>
        <w:rPr>
          <w:sz w:val="20"/>
          <w:szCs w:val="20"/>
          <w:color w:val="auto"/>
        </w:rPr>
      </w:pPr>
    </w:p>
    <w:p>
      <w:pPr>
        <w:ind w:left="288" w:hanging="288"/>
        <w:spacing w:after="0"/>
        <w:tabs>
          <w:tab w:leader="none" w:pos="288" w:val="left"/>
        </w:tabs>
        <w:numPr>
          <w:ilvl w:val="0"/>
          <w:numId w:val="8"/>
        </w:numPr>
        <w:rPr>
          <w:rFonts w:ascii="Arial" w:cs="Arial" w:eastAsia="Arial" w:hAnsi="Arial"/>
          <w:sz w:val="12"/>
          <w:szCs w:val="12"/>
          <w:color w:val="auto"/>
        </w:rPr>
      </w:pPr>
      <w:r>
        <w:rPr>
          <w:rFonts w:ascii="Arial" w:cs="Arial" w:eastAsia="Arial" w:hAnsi="Arial"/>
          <w:sz w:val="12"/>
          <w:szCs w:val="12"/>
          <w:color w:val="auto"/>
        </w:rPr>
        <w:t>900-2682</w:t>
      </w:r>
    </w:p>
    <w:p>
      <w:pPr>
        <w:spacing w:after="0" w:line="6" w:lineRule="exact"/>
        <w:rPr>
          <w:rFonts w:ascii="Arial" w:cs="Arial" w:eastAsia="Arial" w:hAnsi="Arial"/>
          <w:sz w:val="12"/>
          <w:szCs w:val="12"/>
          <w:color w:val="auto"/>
        </w:rPr>
      </w:pPr>
    </w:p>
    <w:p>
      <w:pPr>
        <w:ind w:left="8"/>
        <w:spacing w:after="0"/>
        <w:rPr>
          <w:rFonts w:ascii="Arial" w:cs="Arial" w:eastAsia="Arial" w:hAnsi="Arial"/>
          <w:sz w:val="12"/>
          <w:szCs w:val="12"/>
          <w:color w:val="auto"/>
        </w:rPr>
      </w:pPr>
      <w:r>
        <w:rPr>
          <w:rFonts w:ascii="Arial" w:cs="Arial" w:eastAsia="Arial" w:hAnsi="Arial"/>
          <w:sz w:val="12"/>
          <w:szCs w:val="12"/>
          <w:color w:val="auto"/>
        </w:rPr>
        <w:t>IR@ArcturusRx.com</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Kendall Investor Relations</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Carlo Tanzi, Ph.D.</w:t>
      </w:r>
    </w:p>
    <w:p>
      <w:pPr>
        <w:spacing w:after="0" w:line="6" w:lineRule="exact"/>
        <w:rPr>
          <w:sz w:val="20"/>
          <w:szCs w:val="20"/>
          <w:color w:val="auto"/>
        </w:rPr>
      </w:pPr>
    </w:p>
    <w:p>
      <w:pPr>
        <w:ind w:left="288" w:hanging="288"/>
        <w:spacing w:after="0"/>
        <w:tabs>
          <w:tab w:leader="none" w:pos="288" w:val="left"/>
        </w:tabs>
        <w:numPr>
          <w:ilvl w:val="0"/>
          <w:numId w:val="9"/>
        </w:numPr>
        <w:rPr>
          <w:rFonts w:ascii="Arial" w:cs="Arial" w:eastAsia="Arial" w:hAnsi="Arial"/>
          <w:sz w:val="12"/>
          <w:szCs w:val="12"/>
          <w:color w:val="auto"/>
        </w:rPr>
      </w:pPr>
      <w:r>
        <w:rPr>
          <w:rFonts w:ascii="Arial" w:cs="Arial" w:eastAsia="Arial" w:hAnsi="Arial"/>
          <w:sz w:val="12"/>
          <w:szCs w:val="12"/>
          <w:color w:val="auto"/>
        </w:rPr>
        <w:t>914-0008</w:t>
      </w:r>
    </w:p>
    <w:p>
      <w:pPr>
        <w:spacing w:after="0" w:line="6" w:lineRule="exact"/>
        <w:rPr>
          <w:rFonts w:ascii="Arial" w:cs="Arial" w:eastAsia="Arial" w:hAnsi="Arial"/>
          <w:sz w:val="12"/>
          <w:szCs w:val="12"/>
          <w:color w:val="auto"/>
        </w:rPr>
      </w:pPr>
    </w:p>
    <w:p>
      <w:pPr>
        <w:ind w:left="8"/>
        <w:spacing w:after="0"/>
        <w:rPr>
          <w:rFonts w:ascii="Arial" w:cs="Arial" w:eastAsia="Arial" w:hAnsi="Arial"/>
          <w:sz w:val="12"/>
          <w:szCs w:val="12"/>
          <w:color w:val="auto"/>
        </w:rPr>
      </w:pPr>
      <w:r>
        <w:rPr>
          <w:rFonts w:ascii="Arial" w:cs="Arial" w:eastAsia="Arial" w:hAnsi="Arial"/>
          <w:sz w:val="12"/>
          <w:szCs w:val="12"/>
          <w:color w:val="auto"/>
        </w:rPr>
        <w:t>ctanzi@kendallir.com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243840</wp:posOffset>
            </wp:positionV>
            <wp:extent cx="71780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271" w:right="2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57"/>
        </w:trPr>
        <w:tc>
          <w:tcPr>
            <w:tcW w:w="2940" w:type="dxa"/>
            <w:vAlign w:val="bottom"/>
          </w:tcPr>
          <w:p>
            <w:pPr>
              <w:spacing w:after="0"/>
              <w:rPr>
                <w:sz w:val="13"/>
                <w:szCs w:val="13"/>
                <w:color w:val="auto"/>
              </w:rPr>
            </w:pPr>
          </w:p>
        </w:tc>
        <w:tc>
          <w:tcPr>
            <w:tcW w:w="5640" w:type="dxa"/>
            <w:vAlign w:val="bottom"/>
            <w:gridSpan w:val="2"/>
          </w:tcPr>
          <w:p>
            <w:pPr>
              <w:jc w:val="center"/>
              <w:ind w:right="184"/>
              <w:spacing w:after="0"/>
              <w:rPr>
                <w:sz w:val="20"/>
                <w:szCs w:val="20"/>
                <w:color w:val="auto"/>
              </w:rPr>
            </w:pPr>
            <w:r>
              <w:rPr>
                <w:rFonts w:ascii="Arial" w:cs="Arial" w:eastAsia="Arial" w:hAnsi="Arial"/>
                <w:sz w:val="12"/>
                <w:szCs w:val="12"/>
                <w:b w:val="1"/>
                <w:bCs w:val="1"/>
                <w:color w:val="auto"/>
              </w:rPr>
              <w:t>ARCTURUS THERAPEUTICS HOLDINGS INC. AND ITS SUBSIDIARIES</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288"/>
        </w:trPr>
        <w:tc>
          <w:tcPr>
            <w:tcW w:w="2940" w:type="dxa"/>
            <w:vAlign w:val="bottom"/>
          </w:tcPr>
          <w:p>
            <w:pPr>
              <w:spacing w:after="0"/>
              <w:rPr>
                <w:sz w:val="24"/>
                <w:szCs w:val="24"/>
                <w:color w:val="auto"/>
              </w:rPr>
            </w:pPr>
          </w:p>
        </w:tc>
        <w:tc>
          <w:tcPr>
            <w:tcW w:w="5640" w:type="dxa"/>
            <w:vAlign w:val="bottom"/>
            <w:gridSpan w:val="2"/>
          </w:tcPr>
          <w:p>
            <w:pPr>
              <w:jc w:val="center"/>
              <w:ind w:right="164"/>
              <w:spacing w:after="0"/>
              <w:rPr>
                <w:sz w:val="20"/>
                <w:szCs w:val="20"/>
                <w:color w:val="auto"/>
              </w:rPr>
            </w:pPr>
            <w:r>
              <w:rPr>
                <w:rFonts w:ascii="Arial" w:cs="Arial" w:eastAsia="Arial" w:hAnsi="Arial"/>
                <w:sz w:val="12"/>
                <w:szCs w:val="12"/>
                <w:b w:val="1"/>
                <w:bCs w:val="1"/>
                <w:color w:val="auto"/>
                <w:w w:val="98"/>
              </w:rPr>
              <w:t>CONDENSED CONSOLIDATED BALANCE SHEETS</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88"/>
        </w:trPr>
        <w:tc>
          <w:tcPr>
            <w:tcW w:w="2940" w:type="dxa"/>
            <w:vAlign w:val="bottom"/>
          </w:tcPr>
          <w:p>
            <w:pPr>
              <w:spacing w:after="0"/>
              <w:rPr>
                <w:sz w:val="24"/>
                <w:szCs w:val="24"/>
                <w:color w:val="auto"/>
              </w:rPr>
            </w:pPr>
          </w:p>
        </w:tc>
        <w:tc>
          <w:tcPr>
            <w:tcW w:w="5640" w:type="dxa"/>
            <w:vAlign w:val="bottom"/>
            <w:gridSpan w:val="2"/>
          </w:tcPr>
          <w:p>
            <w:pPr>
              <w:jc w:val="center"/>
              <w:ind w:right="184"/>
              <w:spacing w:after="0"/>
              <w:rPr>
                <w:sz w:val="20"/>
                <w:szCs w:val="20"/>
                <w:color w:val="auto"/>
              </w:rPr>
            </w:pPr>
            <w:r>
              <w:rPr>
                <w:rFonts w:ascii="Arial" w:cs="Arial" w:eastAsia="Arial" w:hAnsi="Arial"/>
                <w:sz w:val="12"/>
                <w:szCs w:val="12"/>
                <w:color w:val="auto"/>
                <w:w w:val="90"/>
              </w:rPr>
              <w:t>(in thousands, except par value information)</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5"/>
        </w:trPr>
        <w:tc>
          <w:tcPr>
            <w:tcW w:w="2940" w:type="dxa"/>
            <w:vAlign w:val="bottom"/>
          </w:tcPr>
          <w:p>
            <w:pPr>
              <w:spacing w:after="0"/>
              <w:rPr>
                <w:sz w:val="23"/>
                <w:szCs w:val="23"/>
                <w:color w:val="auto"/>
              </w:rPr>
            </w:pPr>
          </w:p>
        </w:tc>
        <w:tc>
          <w:tcPr>
            <w:tcW w:w="4400" w:type="dxa"/>
            <w:vAlign w:val="bottom"/>
          </w:tcPr>
          <w:p>
            <w:pPr>
              <w:spacing w:after="0"/>
              <w:rPr>
                <w:sz w:val="23"/>
                <w:szCs w:val="23"/>
                <w:color w:val="auto"/>
              </w:rPr>
            </w:pPr>
          </w:p>
        </w:tc>
        <w:tc>
          <w:tcPr>
            <w:tcW w:w="1240" w:type="dxa"/>
            <w:vAlign w:val="bottom"/>
          </w:tcPr>
          <w:p>
            <w:pPr>
              <w:jc w:val="center"/>
              <w:ind w:left="544"/>
              <w:spacing w:after="0"/>
              <w:rPr>
                <w:sz w:val="20"/>
                <w:szCs w:val="20"/>
                <w:color w:val="auto"/>
              </w:rPr>
            </w:pPr>
            <w:r>
              <w:rPr>
                <w:rFonts w:ascii="Arial" w:cs="Arial" w:eastAsia="Arial" w:hAnsi="Arial"/>
                <w:sz w:val="12"/>
                <w:szCs w:val="12"/>
                <w:b w:val="1"/>
                <w:bCs w:val="1"/>
                <w:color w:val="auto"/>
                <w:w w:val="93"/>
              </w:rPr>
              <w:t>March 31,</w:t>
            </w: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40" w:type="dxa"/>
            <w:vAlign w:val="bottom"/>
          </w:tcPr>
          <w:p>
            <w:pPr>
              <w:jc w:val="right"/>
              <w:ind w:right="520"/>
              <w:spacing w:after="0"/>
              <w:rPr>
                <w:sz w:val="20"/>
                <w:szCs w:val="20"/>
                <w:color w:val="auto"/>
              </w:rPr>
            </w:pPr>
            <w:r>
              <w:rPr>
                <w:rFonts w:ascii="Arial" w:cs="Arial" w:eastAsia="Arial" w:hAnsi="Arial"/>
                <w:sz w:val="12"/>
                <w:szCs w:val="12"/>
                <w:b w:val="1"/>
                <w:bCs w:val="1"/>
                <w:color w:val="auto"/>
              </w:rPr>
              <w:t>December 31,</w:t>
            </w:r>
          </w:p>
        </w:tc>
      </w:tr>
      <w:tr>
        <w:trPr>
          <w:trHeight w:val="157"/>
        </w:trPr>
        <w:tc>
          <w:tcPr>
            <w:tcW w:w="2940" w:type="dxa"/>
            <w:vAlign w:val="bottom"/>
          </w:tcPr>
          <w:p>
            <w:pPr>
              <w:spacing w:after="0"/>
              <w:rPr>
                <w:sz w:val="13"/>
                <w:szCs w:val="13"/>
                <w:color w:val="auto"/>
              </w:rPr>
            </w:pPr>
          </w:p>
        </w:tc>
        <w:tc>
          <w:tcPr>
            <w:tcW w:w="5640" w:type="dxa"/>
            <w:vAlign w:val="bottom"/>
            <w:gridSpan w:val="2"/>
          </w:tcPr>
          <w:p>
            <w:pPr>
              <w:jc w:val="center"/>
              <w:ind w:left="4940"/>
              <w:spacing w:after="0"/>
              <w:rPr>
                <w:sz w:val="20"/>
                <w:szCs w:val="20"/>
                <w:color w:val="auto"/>
              </w:rPr>
            </w:pPr>
            <w:r>
              <w:rPr>
                <w:rFonts w:ascii="Arial" w:cs="Arial" w:eastAsia="Arial" w:hAnsi="Arial"/>
                <w:sz w:val="12"/>
                <w:szCs w:val="12"/>
                <w:b w:val="1"/>
                <w:bCs w:val="1"/>
                <w:color w:val="auto"/>
                <w:w w:val="89"/>
              </w:rPr>
              <w:t>2021</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tcPr>
          <w:p>
            <w:pPr>
              <w:jc w:val="right"/>
              <w:ind w:right="740"/>
              <w:spacing w:after="0"/>
              <w:rPr>
                <w:sz w:val="20"/>
                <w:szCs w:val="20"/>
                <w:color w:val="auto"/>
              </w:rPr>
            </w:pPr>
            <w:r>
              <w:rPr>
                <w:rFonts w:ascii="Arial" w:cs="Arial" w:eastAsia="Arial" w:hAnsi="Arial"/>
                <w:sz w:val="12"/>
                <w:szCs w:val="12"/>
                <w:b w:val="1"/>
                <w:bCs w:val="1"/>
                <w:color w:val="auto"/>
              </w:rPr>
              <w:t>2020</w:t>
            </w:r>
          </w:p>
        </w:tc>
      </w:tr>
      <w:tr>
        <w:trPr>
          <w:trHeight w:val="133"/>
        </w:trPr>
        <w:tc>
          <w:tcPr>
            <w:tcW w:w="294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240" w:type="dxa"/>
            <w:vAlign w:val="bottom"/>
            <w:tcBorders>
              <w:top w:val="single" w:sz="8" w:color="auto"/>
            </w:tcBorders>
          </w:tcPr>
          <w:p>
            <w:pPr>
              <w:jc w:val="center"/>
              <w:ind w:left="544"/>
              <w:spacing w:after="0" w:line="133" w:lineRule="exact"/>
              <w:rPr>
                <w:sz w:val="20"/>
                <w:szCs w:val="20"/>
                <w:color w:val="auto"/>
              </w:rPr>
            </w:pPr>
            <w:r>
              <w:rPr>
                <w:rFonts w:ascii="Arial" w:cs="Arial" w:eastAsia="Arial" w:hAnsi="Arial"/>
                <w:sz w:val="12"/>
                <w:szCs w:val="12"/>
                <w:b w:val="1"/>
                <w:bCs w:val="1"/>
                <w:color w:val="auto"/>
                <w:w w:val="91"/>
              </w:rPr>
              <w:t>(unaudited)</w:t>
            </w:r>
          </w:p>
        </w:tc>
        <w:tc>
          <w:tcPr>
            <w:tcW w:w="6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spacing w:after="0"/>
              <w:rPr>
                <w:sz w:val="11"/>
                <w:szCs w:val="11"/>
                <w:color w:val="auto"/>
              </w:rPr>
            </w:pPr>
          </w:p>
        </w:tc>
      </w:tr>
      <w:tr>
        <w:trPr>
          <w:trHeight w:val="144"/>
        </w:trPr>
        <w:tc>
          <w:tcPr>
            <w:tcW w:w="29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44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r>
      <w:tr>
        <w:trPr>
          <w:trHeight w:val="144"/>
        </w:trPr>
        <w:tc>
          <w:tcPr>
            <w:tcW w:w="2940" w:type="dxa"/>
            <w:vAlign w:val="bottom"/>
          </w:tcPr>
          <w:p>
            <w:pPr>
              <w:spacing w:after="0"/>
              <w:rPr>
                <w:sz w:val="20"/>
                <w:szCs w:val="20"/>
                <w:color w:val="auto"/>
              </w:rPr>
            </w:pPr>
            <w:r>
              <w:rPr>
                <w:rFonts w:ascii="Arial" w:cs="Arial" w:eastAsia="Arial" w:hAnsi="Arial"/>
                <w:sz w:val="12"/>
                <w:szCs w:val="12"/>
                <w:b w:val="1"/>
                <w:bCs w:val="1"/>
                <w:color w:val="auto"/>
              </w:rPr>
              <w:t>Current assets:</w:t>
            </w:r>
          </w:p>
        </w:tc>
        <w:tc>
          <w:tcPr>
            <w:tcW w:w="4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44"/>
        </w:trPr>
        <w:tc>
          <w:tcPr>
            <w:tcW w:w="29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Cash and cash equivalents</w:t>
            </w:r>
          </w:p>
        </w:tc>
        <w:tc>
          <w:tcPr>
            <w:tcW w:w="5640" w:type="dxa"/>
            <w:vAlign w:val="bottom"/>
            <w:gridSpan w:val="2"/>
            <w:shd w:val="clear" w:color="auto" w:fill="CCEEFF"/>
          </w:tcPr>
          <w:p>
            <w:pPr>
              <w:jc w:val="right"/>
              <w:ind w:right="1124"/>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466,839</w:t>
            </w: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5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462,895</w:t>
            </w:r>
          </w:p>
        </w:tc>
      </w:tr>
      <w:tr>
        <w:trPr>
          <w:trHeight w:val="144"/>
        </w:trPr>
        <w:tc>
          <w:tcPr>
            <w:tcW w:w="2940" w:type="dxa"/>
            <w:vAlign w:val="bottom"/>
          </w:tcPr>
          <w:p>
            <w:pPr>
              <w:ind w:left="160"/>
              <w:spacing w:after="0"/>
              <w:rPr>
                <w:sz w:val="20"/>
                <w:szCs w:val="20"/>
                <w:color w:val="auto"/>
              </w:rPr>
            </w:pPr>
            <w:r>
              <w:rPr>
                <w:rFonts w:ascii="Arial" w:cs="Arial" w:eastAsia="Arial" w:hAnsi="Arial"/>
                <w:sz w:val="12"/>
                <w:szCs w:val="12"/>
                <w:color w:val="auto"/>
              </w:rPr>
              <w:t>Accounts receivable</w:t>
            </w:r>
          </w:p>
        </w:tc>
        <w:tc>
          <w:tcPr>
            <w:tcW w:w="4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0" w:type="dxa"/>
            <w:vAlign w:val="bottom"/>
          </w:tcPr>
          <w:p>
            <w:pPr>
              <w:jc w:val="right"/>
              <w:ind w:right="80"/>
              <w:spacing w:after="0"/>
              <w:rPr>
                <w:sz w:val="20"/>
                <w:szCs w:val="20"/>
                <w:color w:val="auto"/>
              </w:rPr>
            </w:pPr>
            <w:r>
              <w:rPr>
                <w:rFonts w:ascii="Arial" w:cs="Arial" w:eastAsia="Arial" w:hAnsi="Arial"/>
                <w:sz w:val="12"/>
                <w:szCs w:val="12"/>
                <w:color w:val="auto"/>
              </w:rPr>
              <w:t>2,007</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tcPr>
          <w:p>
            <w:pPr>
              <w:jc w:val="right"/>
              <w:ind w:right="80"/>
              <w:spacing w:after="0"/>
              <w:rPr>
                <w:sz w:val="20"/>
                <w:szCs w:val="20"/>
                <w:color w:val="auto"/>
              </w:rPr>
            </w:pPr>
            <w:r>
              <w:rPr>
                <w:rFonts w:ascii="Arial" w:cs="Arial" w:eastAsia="Arial" w:hAnsi="Arial"/>
                <w:sz w:val="12"/>
                <w:szCs w:val="12"/>
                <w:color w:val="auto"/>
              </w:rPr>
              <w:t>2,125</w:t>
            </w:r>
          </w:p>
        </w:tc>
      </w:tr>
      <w:tr>
        <w:trPr>
          <w:trHeight w:val="153"/>
        </w:trPr>
        <w:tc>
          <w:tcPr>
            <w:tcW w:w="29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Prepaid expenses and other current assets</w:t>
            </w:r>
          </w:p>
        </w:tc>
        <w:tc>
          <w:tcPr>
            <w:tcW w:w="4400" w:type="dxa"/>
            <w:vAlign w:val="bottom"/>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1,150</w:t>
            </w:r>
          </w:p>
        </w:tc>
        <w:tc>
          <w:tcPr>
            <w:tcW w:w="2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2,769</w:t>
            </w:r>
          </w:p>
        </w:tc>
      </w:tr>
      <w:tr>
        <w:trPr>
          <w:trHeight w:val="133"/>
        </w:trPr>
        <w:tc>
          <w:tcPr>
            <w:tcW w:w="2940" w:type="dxa"/>
            <w:vAlign w:val="bottom"/>
          </w:tcPr>
          <w:p>
            <w:pPr>
              <w:spacing w:after="0" w:line="133" w:lineRule="exact"/>
              <w:rPr>
                <w:sz w:val="20"/>
                <w:szCs w:val="20"/>
                <w:color w:val="auto"/>
              </w:rPr>
            </w:pPr>
            <w:r>
              <w:rPr>
                <w:rFonts w:ascii="Arial" w:cs="Arial" w:eastAsia="Arial" w:hAnsi="Arial"/>
                <w:sz w:val="12"/>
                <w:szCs w:val="12"/>
                <w:b w:val="1"/>
                <w:bCs w:val="1"/>
                <w:color w:val="auto"/>
              </w:rPr>
              <w:t>Total current assets</w:t>
            </w:r>
          </w:p>
        </w:tc>
        <w:tc>
          <w:tcPr>
            <w:tcW w:w="44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0" w:type="dxa"/>
            <w:vAlign w:val="bottom"/>
          </w:tcPr>
          <w:p>
            <w:pPr>
              <w:jc w:val="right"/>
              <w:ind w:right="80"/>
              <w:spacing w:after="0" w:line="133" w:lineRule="exact"/>
              <w:rPr>
                <w:sz w:val="20"/>
                <w:szCs w:val="20"/>
                <w:color w:val="auto"/>
              </w:rPr>
            </w:pPr>
            <w:r>
              <w:rPr>
                <w:rFonts w:ascii="Arial" w:cs="Arial" w:eastAsia="Arial" w:hAnsi="Arial"/>
                <w:sz w:val="12"/>
                <w:szCs w:val="12"/>
                <w:color w:val="auto"/>
              </w:rPr>
              <w:t>469,996</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jc w:val="right"/>
              <w:ind w:right="80"/>
              <w:spacing w:after="0" w:line="133" w:lineRule="exact"/>
              <w:rPr>
                <w:sz w:val="20"/>
                <w:szCs w:val="20"/>
                <w:color w:val="auto"/>
              </w:rPr>
            </w:pPr>
            <w:r>
              <w:rPr>
                <w:rFonts w:ascii="Arial" w:cs="Arial" w:eastAsia="Arial" w:hAnsi="Arial"/>
                <w:sz w:val="12"/>
                <w:szCs w:val="12"/>
                <w:color w:val="auto"/>
              </w:rPr>
              <w:t>467,789</w:t>
            </w:r>
          </w:p>
        </w:tc>
      </w:tr>
      <w:tr>
        <w:trPr>
          <w:trHeight w:val="144"/>
        </w:trPr>
        <w:tc>
          <w:tcPr>
            <w:tcW w:w="29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Property and equipment, net</w:t>
            </w:r>
          </w:p>
        </w:tc>
        <w:tc>
          <w:tcPr>
            <w:tcW w:w="44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3,427</w:t>
            </w: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3,378</w:t>
            </w:r>
          </w:p>
        </w:tc>
      </w:tr>
      <w:tr>
        <w:trPr>
          <w:trHeight w:val="144"/>
        </w:trPr>
        <w:tc>
          <w:tcPr>
            <w:tcW w:w="2940" w:type="dxa"/>
            <w:vAlign w:val="bottom"/>
          </w:tcPr>
          <w:p>
            <w:pPr>
              <w:ind w:left="160"/>
              <w:spacing w:after="0"/>
              <w:rPr>
                <w:sz w:val="20"/>
                <w:szCs w:val="20"/>
                <w:color w:val="auto"/>
              </w:rPr>
            </w:pPr>
            <w:r>
              <w:rPr>
                <w:rFonts w:ascii="Arial" w:cs="Arial" w:eastAsia="Arial" w:hAnsi="Arial"/>
                <w:sz w:val="12"/>
                <w:szCs w:val="12"/>
                <w:color w:val="auto"/>
              </w:rPr>
              <w:t>Operating lease right-of-use asset, net</w:t>
            </w:r>
          </w:p>
        </w:tc>
        <w:tc>
          <w:tcPr>
            <w:tcW w:w="4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0" w:type="dxa"/>
            <w:vAlign w:val="bottom"/>
          </w:tcPr>
          <w:p>
            <w:pPr>
              <w:jc w:val="right"/>
              <w:ind w:right="80"/>
              <w:spacing w:after="0"/>
              <w:rPr>
                <w:sz w:val="20"/>
                <w:szCs w:val="20"/>
                <w:color w:val="auto"/>
              </w:rPr>
            </w:pPr>
            <w:r>
              <w:rPr>
                <w:rFonts w:ascii="Arial" w:cs="Arial" w:eastAsia="Arial" w:hAnsi="Arial"/>
                <w:sz w:val="12"/>
                <w:szCs w:val="12"/>
                <w:color w:val="auto"/>
              </w:rPr>
              <w:t>6,690</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tcPr>
          <w:p>
            <w:pPr>
              <w:jc w:val="right"/>
              <w:ind w:right="80"/>
              <w:spacing w:after="0"/>
              <w:rPr>
                <w:sz w:val="20"/>
                <w:szCs w:val="20"/>
                <w:color w:val="auto"/>
              </w:rPr>
            </w:pPr>
            <w:r>
              <w:rPr>
                <w:rFonts w:ascii="Arial" w:cs="Arial" w:eastAsia="Arial" w:hAnsi="Arial"/>
                <w:sz w:val="12"/>
                <w:szCs w:val="12"/>
                <w:color w:val="auto"/>
              </w:rPr>
              <w:t>5,182</w:t>
            </w:r>
          </w:p>
        </w:tc>
      </w:tr>
      <w:tr>
        <w:trPr>
          <w:trHeight w:val="144"/>
        </w:trPr>
        <w:tc>
          <w:tcPr>
            <w:tcW w:w="29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Equity-method investment</w:t>
            </w:r>
          </w:p>
        </w:tc>
        <w:tc>
          <w:tcPr>
            <w:tcW w:w="44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1,248</w:t>
            </w: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r>
      <w:tr>
        <w:trPr>
          <w:trHeight w:val="153"/>
        </w:trPr>
        <w:tc>
          <w:tcPr>
            <w:tcW w:w="294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Non-current restricted cash</w:t>
            </w:r>
          </w:p>
        </w:tc>
        <w:tc>
          <w:tcPr>
            <w:tcW w:w="440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107</w:t>
            </w:r>
          </w:p>
        </w:tc>
        <w:tc>
          <w:tcPr>
            <w:tcW w:w="2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107</w:t>
            </w:r>
          </w:p>
        </w:tc>
      </w:tr>
      <w:tr>
        <w:trPr>
          <w:trHeight w:val="162"/>
        </w:trPr>
        <w:tc>
          <w:tcPr>
            <w:tcW w:w="2940" w:type="dxa"/>
            <w:vAlign w:val="bottom"/>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Total assets</w:t>
            </w:r>
          </w:p>
        </w:tc>
        <w:tc>
          <w:tcPr>
            <w:tcW w:w="5640" w:type="dxa"/>
            <w:vAlign w:val="bottom"/>
            <w:gridSpan w:val="2"/>
            <w:shd w:val="clear" w:color="auto" w:fill="CCEEFF"/>
          </w:tcPr>
          <w:p>
            <w:pPr>
              <w:jc w:val="right"/>
              <w:ind w:right="1124"/>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481,468</w:t>
            </w: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5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476,456</w:t>
            </w:r>
          </w:p>
        </w:tc>
      </w:tr>
      <w:tr>
        <w:trPr>
          <w:trHeight w:val="131"/>
        </w:trPr>
        <w:tc>
          <w:tcPr>
            <w:tcW w:w="2940" w:type="dxa"/>
            <w:vAlign w:val="bottom"/>
            <w:tcBorders>
              <w:top w:val="single" w:sz="8" w:color="CCEEFF"/>
            </w:tcBorders>
          </w:tcPr>
          <w:p>
            <w:pPr>
              <w:spacing w:after="0" w:line="131" w:lineRule="exact"/>
              <w:rPr>
                <w:sz w:val="20"/>
                <w:szCs w:val="20"/>
                <w:color w:val="auto"/>
              </w:rPr>
            </w:pPr>
            <w:r>
              <w:rPr>
                <w:rFonts w:ascii="Arial" w:cs="Arial" w:eastAsia="Arial" w:hAnsi="Arial"/>
                <w:sz w:val="12"/>
                <w:szCs w:val="12"/>
                <w:b w:val="1"/>
                <w:bCs w:val="1"/>
                <w:color w:val="auto"/>
              </w:rPr>
              <w:t>Liabilities and stockholders’ equity</w:t>
            </w:r>
          </w:p>
        </w:tc>
        <w:tc>
          <w:tcPr>
            <w:tcW w:w="4400" w:type="dxa"/>
            <w:vAlign w:val="bottom"/>
            <w:tcBorders>
              <w:top w:val="single" w:sz="8" w:color="CCEEFF"/>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spacing w:after="0"/>
              <w:rPr>
                <w:sz w:val="11"/>
                <w:szCs w:val="11"/>
                <w:color w:val="auto"/>
              </w:rPr>
            </w:pPr>
          </w:p>
        </w:tc>
      </w:tr>
      <w:tr>
        <w:trPr>
          <w:trHeight w:val="144"/>
        </w:trPr>
        <w:tc>
          <w:tcPr>
            <w:tcW w:w="29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Current liabilities:</w:t>
            </w:r>
          </w:p>
        </w:tc>
        <w:tc>
          <w:tcPr>
            <w:tcW w:w="44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r>
      <w:tr>
        <w:trPr>
          <w:trHeight w:val="144"/>
        </w:trPr>
        <w:tc>
          <w:tcPr>
            <w:tcW w:w="2940" w:type="dxa"/>
            <w:vAlign w:val="bottom"/>
          </w:tcPr>
          <w:p>
            <w:pPr>
              <w:ind w:left="160"/>
              <w:spacing w:after="0"/>
              <w:rPr>
                <w:sz w:val="20"/>
                <w:szCs w:val="20"/>
                <w:color w:val="auto"/>
              </w:rPr>
            </w:pPr>
            <w:r>
              <w:rPr>
                <w:rFonts w:ascii="Arial" w:cs="Arial" w:eastAsia="Arial" w:hAnsi="Arial"/>
                <w:sz w:val="12"/>
                <w:szCs w:val="12"/>
                <w:color w:val="auto"/>
              </w:rPr>
              <w:t>Accounts payable</w:t>
            </w:r>
          </w:p>
        </w:tc>
        <w:tc>
          <w:tcPr>
            <w:tcW w:w="5640" w:type="dxa"/>
            <w:vAlign w:val="bottom"/>
            <w:gridSpan w:val="2"/>
          </w:tcPr>
          <w:p>
            <w:pPr>
              <w:jc w:val="right"/>
              <w:ind w:right="1124"/>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80"/>
              <w:spacing w:after="0"/>
              <w:rPr>
                <w:sz w:val="20"/>
                <w:szCs w:val="20"/>
                <w:color w:val="auto"/>
              </w:rPr>
            </w:pPr>
            <w:r>
              <w:rPr>
                <w:rFonts w:ascii="Arial" w:cs="Arial" w:eastAsia="Arial" w:hAnsi="Arial"/>
                <w:sz w:val="12"/>
                <w:szCs w:val="12"/>
                <w:color w:val="auto"/>
              </w:rPr>
              <w:t>5,597</w:t>
            </w:r>
          </w:p>
        </w:tc>
        <w:tc>
          <w:tcPr>
            <w:tcW w:w="280" w:type="dxa"/>
            <w:vAlign w:val="bottom"/>
          </w:tcPr>
          <w:p>
            <w:pPr>
              <w:spacing w:after="0"/>
              <w:rPr>
                <w:sz w:val="12"/>
                <w:szCs w:val="12"/>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540" w:type="dxa"/>
            <w:vAlign w:val="bottom"/>
          </w:tcPr>
          <w:p>
            <w:pPr>
              <w:jc w:val="right"/>
              <w:ind w:right="80"/>
              <w:spacing w:after="0"/>
              <w:rPr>
                <w:sz w:val="20"/>
                <w:szCs w:val="20"/>
                <w:color w:val="auto"/>
              </w:rPr>
            </w:pPr>
            <w:r>
              <w:rPr>
                <w:rFonts w:ascii="Arial" w:cs="Arial" w:eastAsia="Arial" w:hAnsi="Arial"/>
                <w:sz w:val="12"/>
                <w:szCs w:val="12"/>
                <w:color w:val="auto"/>
              </w:rPr>
              <w:t>10,774</w:t>
            </w:r>
          </w:p>
        </w:tc>
      </w:tr>
      <w:tr>
        <w:trPr>
          <w:trHeight w:val="144"/>
        </w:trPr>
        <w:tc>
          <w:tcPr>
            <w:tcW w:w="29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Accrued liabilities</w:t>
            </w:r>
          </w:p>
        </w:tc>
        <w:tc>
          <w:tcPr>
            <w:tcW w:w="44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29,800</w:t>
            </w: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20,639</w:t>
            </w:r>
          </w:p>
        </w:tc>
      </w:tr>
      <w:tr>
        <w:trPr>
          <w:trHeight w:val="153"/>
        </w:trPr>
        <w:tc>
          <w:tcPr>
            <w:tcW w:w="294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Deferred revenue</w:t>
            </w:r>
          </w:p>
        </w:tc>
        <w:tc>
          <w:tcPr>
            <w:tcW w:w="440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17,936</w:t>
            </w:r>
          </w:p>
        </w:tc>
        <w:tc>
          <w:tcPr>
            <w:tcW w:w="2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18,108</w:t>
            </w:r>
          </w:p>
        </w:tc>
      </w:tr>
      <w:tr>
        <w:trPr>
          <w:trHeight w:val="133"/>
        </w:trPr>
        <w:tc>
          <w:tcPr>
            <w:tcW w:w="294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Total current liabilities</w:t>
            </w:r>
          </w:p>
        </w:tc>
        <w:tc>
          <w:tcPr>
            <w:tcW w:w="44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53,333</w:t>
            </w:r>
          </w:p>
        </w:tc>
        <w:tc>
          <w:tcPr>
            <w:tcW w:w="2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540" w:type="dxa"/>
            <w:vAlign w:val="bottom"/>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49,521</w:t>
            </w:r>
          </w:p>
        </w:tc>
      </w:tr>
      <w:tr>
        <w:trPr>
          <w:trHeight w:val="144"/>
        </w:trPr>
        <w:tc>
          <w:tcPr>
            <w:tcW w:w="2940" w:type="dxa"/>
            <w:vAlign w:val="bottom"/>
          </w:tcPr>
          <w:p>
            <w:pPr>
              <w:spacing w:after="0"/>
              <w:rPr>
                <w:sz w:val="20"/>
                <w:szCs w:val="20"/>
                <w:color w:val="auto"/>
              </w:rPr>
            </w:pPr>
            <w:r>
              <w:rPr>
                <w:rFonts w:ascii="Arial" w:cs="Arial" w:eastAsia="Arial" w:hAnsi="Arial"/>
                <w:sz w:val="12"/>
                <w:szCs w:val="12"/>
                <w:color w:val="auto"/>
              </w:rPr>
              <w:t>Deferred revenue, net of current portion</w:t>
            </w:r>
          </w:p>
        </w:tc>
        <w:tc>
          <w:tcPr>
            <w:tcW w:w="4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0" w:type="dxa"/>
            <w:vAlign w:val="bottom"/>
          </w:tcPr>
          <w:p>
            <w:pPr>
              <w:jc w:val="right"/>
              <w:ind w:right="80"/>
              <w:spacing w:after="0"/>
              <w:rPr>
                <w:sz w:val="20"/>
                <w:szCs w:val="20"/>
                <w:color w:val="auto"/>
              </w:rPr>
            </w:pPr>
            <w:r>
              <w:rPr>
                <w:rFonts w:ascii="Arial" w:cs="Arial" w:eastAsia="Arial" w:hAnsi="Arial"/>
                <w:sz w:val="12"/>
                <w:szCs w:val="12"/>
                <w:color w:val="auto"/>
              </w:rPr>
              <w:t>11,313</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tcPr>
          <w:p>
            <w:pPr>
              <w:jc w:val="right"/>
              <w:ind w:right="80"/>
              <w:spacing w:after="0"/>
              <w:rPr>
                <w:sz w:val="20"/>
                <w:szCs w:val="20"/>
                <w:color w:val="auto"/>
              </w:rPr>
            </w:pPr>
            <w:r>
              <w:rPr>
                <w:rFonts w:ascii="Arial" w:cs="Arial" w:eastAsia="Arial" w:hAnsi="Arial"/>
                <w:sz w:val="12"/>
                <w:szCs w:val="12"/>
                <w:color w:val="auto"/>
              </w:rPr>
              <w:t>12,512</w:t>
            </w:r>
          </w:p>
        </w:tc>
      </w:tr>
      <w:tr>
        <w:trPr>
          <w:trHeight w:val="144"/>
        </w:trPr>
        <w:tc>
          <w:tcPr>
            <w:tcW w:w="2940" w:type="dxa"/>
            <w:vAlign w:val="bottom"/>
            <w:shd w:val="clear" w:color="auto" w:fill="CCEEFF"/>
          </w:tcPr>
          <w:p>
            <w:pPr>
              <w:spacing w:after="0"/>
              <w:rPr>
                <w:sz w:val="20"/>
                <w:szCs w:val="20"/>
                <w:color w:val="auto"/>
              </w:rPr>
            </w:pPr>
            <w:r>
              <w:rPr>
                <w:rFonts w:ascii="Arial" w:cs="Arial" w:eastAsia="Arial" w:hAnsi="Arial"/>
                <w:sz w:val="12"/>
                <w:szCs w:val="12"/>
                <w:color w:val="auto"/>
              </w:rPr>
              <w:t>Long-term debt, net of current portion</w:t>
            </w:r>
          </w:p>
        </w:tc>
        <w:tc>
          <w:tcPr>
            <w:tcW w:w="44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58,147</w:t>
            </w: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13,845</w:t>
            </w:r>
          </w:p>
        </w:tc>
      </w:tr>
      <w:tr>
        <w:trPr>
          <w:trHeight w:val="144"/>
        </w:trPr>
        <w:tc>
          <w:tcPr>
            <w:tcW w:w="2940" w:type="dxa"/>
            <w:vAlign w:val="bottom"/>
          </w:tcPr>
          <w:p>
            <w:pPr>
              <w:spacing w:after="0"/>
              <w:rPr>
                <w:sz w:val="20"/>
                <w:szCs w:val="20"/>
                <w:color w:val="auto"/>
              </w:rPr>
            </w:pPr>
            <w:r>
              <w:rPr>
                <w:rFonts w:ascii="Arial" w:cs="Arial" w:eastAsia="Arial" w:hAnsi="Arial"/>
                <w:sz w:val="12"/>
                <w:szCs w:val="12"/>
                <w:color w:val="auto"/>
              </w:rPr>
              <w:t>Operating lease liability, net of current portion</w:t>
            </w:r>
          </w:p>
        </w:tc>
        <w:tc>
          <w:tcPr>
            <w:tcW w:w="4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0" w:type="dxa"/>
            <w:vAlign w:val="bottom"/>
          </w:tcPr>
          <w:p>
            <w:pPr>
              <w:jc w:val="right"/>
              <w:ind w:right="80"/>
              <w:spacing w:after="0"/>
              <w:rPr>
                <w:sz w:val="20"/>
                <w:szCs w:val="20"/>
                <w:color w:val="auto"/>
              </w:rPr>
            </w:pPr>
            <w:r>
              <w:rPr>
                <w:rFonts w:ascii="Arial" w:cs="Arial" w:eastAsia="Arial" w:hAnsi="Arial"/>
                <w:sz w:val="12"/>
                <w:szCs w:val="12"/>
                <w:color w:val="auto"/>
              </w:rPr>
              <w:t>5,710</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tcPr>
          <w:p>
            <w:pPr>
              <w:jc w:val="right"/>
              <w:ind w:right="80"/>
              <w:spacing w:after="0"/>
              <w:rPr>
                <w:sz w:val="20"/>
                <w:szCs w:val="20"/>
                <w:color w:val="auto"/>
              </w:rPr>
            </w:pPr>
            <w:r>
              <w:rPr>
                <w:rFonts w:ascii="Arial" w:cs="Arial" w:eastAsia="Arial" w:hAnsi="Arial"/>
                <w:sz w:val="12"/>
                <w:szCs w:val="12"/>
                <w:color w:val="auto"/>
              </w:rPr>
              <w:t>4,025</w:t>
            </w:r>
          </w:p>
        </w:tc>
      </w:tr>
      <w:tr>
        <w:trPr>
          <w:trHeight w:val="153"/>
        </w:trPr>
        <w:tc>
          <w:tcPr>
            <w:tcW w:w="2940" w:type="dxa"/>
            <w:vAlign w:val="bottom"/>
            <w:shd w:val="clear" w:color="auto" w:fill="CCEEFF"/>
          </w:tcPr>
          <w:p>
            <w:pPr>
              <w:spacing w:after="0"/>
              <w:rPr>
                <w:sz w:val="20"/>
                <w:szCs w:val="20"/>
                <w:color w:val="auto"/>
              </w:rPr>
            </w:pPr>
            <w:r>
              <w:rPr>
                <w:rFonts w:ascii="Arial" w:cs="Arial" w:eastAsia="Arial" w:hAnsi="Arial"/>
                <w:sz w:val="12"/>
                <w:szCs w:val="12"/>
                <w:color w:val="auto"/>
              </w:rPr>
              <w:t>Other long-term liabilities</w:t>
            </w:r>
          </w:p>
        </w:tc>
        <w:tc>
          <w:tcPr>
            <w:tcW w:w="4400" w:type="dxa"/>
            <w:vAlign w:val="bottom"/>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358</w:t>
            </w:r>
          </w:p>
        </w:tc>
        <w:tc>
          <w:tcPr>
            <w:tcW w:w="2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r>
      <w:tr>
        <w:trPr>
          <w:trHeight w:val="133"/>
        </w:trPr>
        <w:tc>
          <w:tcPr>
            <w:tcW w:w="294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b w:val="1"/>
                <w:bCs w:val="1"/>
                <w:color w:val="auto"/>
              </w:rPr>
              <w:t>Total liabilities</w:t>
            </w:r>
          </w:p>
        </w:tc>
        <w:tc>
          <w:tcPr>
            <w:tcW w:w="4400" w:type="dxa"/>
            <w:vAlign w:val="bottom"/>
            <w:tcBorders>
              <w:bottom w:val="single" w:sz="8" w:color="CCEEFF"/>
            </w:tcBorders>
          </w:tcPr>
          <w:p>
            <w:pPr>
              <w:spacing w:after="0"/>
              <w:rPr>
                <w:sz w:val="11"/>
                <w:szCs w:val="11"/>
                <w:color w:val="auto"/>
              </w:rPr>
            </w:pPr>
          </w:p>
        </w:tc>
        <w:tc>
          <w:tcPr>
            <w:tcW w:w="1240" w:type="dxa"/>
            <w:vAlign w:val="bottom"/>
            <w:tcBorders>
              <w:bottom w:val="single" w:sz="8" w:color="auto"/>
            </w:tcBorders>
          </w:tcPr>
          <w:p>
            <w:pPr>
              <w:jc w:val="right"/>
              <w:ind w:right="1124"/>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ind w:right="80"/>
              <w:spacing w:after="0" w:line="133" w:lineRule="exact"/>
              <w:rPr>
                <w:sz w:val="20"/>
                <w:szCs w:val="20"/>
                <w:color w:val="auto"/>
              </w:rPr>
            </w:pPr>
            <w:r>
              <w:rPr>
                <w:rFonts w:ascii="Arial" w:cs="Arial" w:eastAsia="Arial" w:hAnsi="Arial"/>
                <w:sz w:val="12"/>
                <w:szCs w:val="12"/>
                <w:color w:val="auto"/>
              </w:rPr>
              <w:t>128,861</w:t>
            </w:r>
          </w:p>
        </w:tc>
        <w:tc>
          <w:tcPr>
            <w:tcW w:w="2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tcPr>
          <w:p>
            <w:pPr>
              <w:jc w:val="right"/>
              <w:ind w:right="80"/>
              <w:spacing w:after="0" w:line="133" w:lineRule="exact"/>
              <w:rPr>
                <w:sz w:val="20"/>
                <w:szCs w:val="20"/>
                <w:color w:val="auto"/>
              </w:rPr>
            </w:pPr>
            <w:r>
              <w:rPr>
                <w:rFonts w:ascii="Arial" w:cs="Arial" w:eastAsia="Arial" w:hAnsi="Arial"/>
                <w:sz w:val="12"/>
                <w:szCs w:val="12"/>
                <w:color w:val="auto"/>
              </w:rPr>
              <w:t>79,903</w:t>
            </w:r>
          </w:p>
        </w:tc>
      </w:tr>
      <w:tr>
        <w:trPr>
          <w:trHeight w:val="133"/>
        </w:trPr>
        <w:tc>
          <w:tcPr>
            <w:tcW w:w="294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Stockholders’ equity</w:t>
            </w:r>
          </w:p>
        </w:tc>
        <w:tc>
          <w:tcPr>
            <w:tcW w:w="44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r>
      <w:tr>
        <w:trPr>
          <w:trHeight w:val="135"/>
        </w:trPr>
        <w:tc>
          <w:tcPr>
            <w:tcW w:w="858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Common stock: $0.001 par value; 60,000 shares authorized; 26,319 issued and outstanding at March 31, 2021 and 26,192 issued and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spacing w:after="0"/>
              <w:rPr>
                <w:sz w:val="11"/>
                <w:szCs w:val="11"/>
                <w:color w:val="auto"/>
              </w:rPr>
            </w:pPr>
          </w:p>
        </w:tc>
      </w:tr>
      <w:tr>
        <w:trPr>
          <w:trHeight w:val="153"/>
        </w:trPr>
        <w:tc>
          <w:tcPr>
            <w:tcW w:w="2940" w:type="dxa"/>
            <w:vAlign w:val="bottom"/>
          </w:tcPr>
          <w:p>
            <w:pPr>
              <w:ind w:left="160"/>
              <w:spacing w:after="0"/>
              <w:rPr>
                <w:sz w:val="20"/>
                <w:szCs w:val="20"/>
                <w:color w:val="auto"/>
              </w:rPr>
            </w:pPr>
            <w:r>
              <w:rPr>
                <w:rFonts w:ascii="Arial" w:cs="Arial" w:eastAsia="Arial" w:hAnsi="Arial"/>
                <w:sz w:val="12"/>
                <w:szCs w:val="12"/>
                <w:color w:val="auto"/>
              </w:rPr>
              <w:t>outstanding at December 31, 2020</w:t>
            </w:r>
          </w:p>
        </w:tc>
        <w:tc>
          <w:tcPr>
            <w:tcW w:w="4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0" w:type="dxa"/>
            <w:vAlign w:val="bottom"/>
          </w:tcPr>
          <w:p>
            <w:pPr>
              <w:jc w:val="right"/>
              <w:ind w:right="80"/>
              <w:spacing w:after="0"/>
              <w:rPr>
                <w:sz w:val="20"/>
                <w:szCs w:val="20"/>
                <w:color w:val="auto"/>
              </w:rPr>
            </w:pPr>
            <w:r>
              <w:rPr>
                <w:rFonts w:ascii="Arial" w:cs="Arial" w:eastAsia="Arial" w:hAnsi="Arial"/>
                <w:sz w:val="12"/>
                <w:szCs w:val="12"/>
                <w:color w:val="auto"/>
              </w:rPr>
              <w:t>26</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tcPr>
          <w:p>
            <w:pPr>
              <w:jc w:val="right"/>
              <w:ind w:right="80"/>
              <w:spacing w:after="0"/>
              <w:rPr>
                <w:sz w:val="20"/>
                <w:szCs w:val="20"/>
                <w:color w:val="auto"/>
              </w:rPr>
            </w:pPr>
            <w:r>
              <w:rPr>
                <w:rFonts w:ascii="Arial" w:cs="Arial" w:eastAsia="Arial" w:hAnsi="Arial"/>
                <w:sz w:val="12"/>
                <w:szCs w:val="12"/>
                <w:color w:val="auto"/>
              </w:rPr>
              <w:t>26</w:t>
            </w:r>
          </w:p>
        </w:tc>
      </w:tr>
      <w:tr>
        <w:trPr>
          <w:trHeight w:val="144"/>
        </w:trPr>
        <w:tc>
          <w:tcPr>
            <w:tcW w:w="29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Additional paid-in capital</w:t>
            </w:r>
          </w:p>
        </w:tc>
        <w:tc>
          <w:tcPr>
            <w:tcW w:w="44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552,743</w:t>
            </w: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540,343</w:t>
            </w:r>
          </w:p>
        </w:tc>
      </w:tr>
      <w:tr>
        <w:trPr>
          <w:trHeight w:val="153"/>
        </w:trPr>
        <w:tc>
          <w:tcPr>
            <w:tcW w:w="294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Accumulated deficit</w:t>
            </w:r>
          </w:p>
        </w:tc>
        <w:tc>
          <w:tcPr>
            <w:tcW w:w="440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93"/>
              </w:rPr>
              <w:t>(200,162)</w:t>
            </w:r>
          </w:p>
        </w:tc>
        <w:tc>
          <w:tcPr>
            <w:tcW w:w="2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(143,816)</w:t>
            </w:r>
          </w:p>
        </w:tc>
      </w:tr>
      <w:tr>
        <w:trPr>
          <w:trHeight w:val="133"/>
        </w:trPr>
        <w:tc>
          <w:tcPr>
            <w:tcW w:w="294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Total stockholders’ equity</w:t>
            </w:r>
          </w:p>
        </w:tc>
        <w:tc>
          <w:tcPr>
            <w:tcW w:w="4400" w:type="dxa"/>
            <w:vAlign w:val="bottom"/>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352,607</w:t>
            </w:r>
          </w:p>
        </w:tc>
        <w:tc>
          <w:tcPr>
            <w:tcW w:w="28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1540" w:type="dxa"/>
            <w:vAlign w:val="bottom"/>
            <w:tcBorders>
              <w:bottom w:val="single" w:sz="8" w:color="auto"/>
            </w:tcBorders>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396,553</w:t>
            </w:r>
          </w:p>
        </w:tc>
      </w:tr>
      <w:tr>
        <w:trPr>
          <w:trHeight w:val="149"/>
        </w:trPr>
        <w:tc>
          <w:tcPr>
            <w:tcW w:w="2940" w:type="dxa"/>
            <w:vAlign w:val="bottom"/>
          </w:tcPr>
          <w:p>
            <w:pPr>
              <w:spacing w:after="0" w:line="137" w:lineRule="exact"/>
              <w:rPr>
                <w:sz w:val="20"/>
                <w:szCs w:val="20"/>
                <w:color w:val="auto"/>
              </w:rPr>
            </w:pPr>
            <w:r>
              <w:rPr>
                <w:rFonts w:ascii="Arial" w:cs="Arial" w:eastAsia="Arial" w:hAnsi="Arial"/>
                <w:sz w:val="12"/>
                <w:szCs w:val="12"/>
                <w:b w:val="1"/>
                <w:bCs w:val="1"/>
                <w:color w:val="auto"/>
              </w:rPr>
              <w:t>Total liabilities and stockholders’ equity</w:t>
            </w:r>
          </w:p>
        </w:tc>
        <w:tc>
          <w:tcPr>
            <w:tcW w:w="5640" w:type="dxa"/>
            <w:vAlign w:val="bottom"/>
            <w:gridSpan w:val="2"/>
          </w:tcPr>
          <w:p>
            <w:pPr>
              <w:jc w:val="right"/>
              <w:ind w:right="1124"/>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80"/>
              <w:spacing w:after="0"/>
              <w:rPr>
                <w:sz w:val="20"/>
                <w:szCs w:val="20"/>
                <w:color w:val="auto"/>
              </w:rPr>
            </w:pPr>
            <w:r>
              <w:rPr>
                <w:rFonts w:ascii="Arial" w:cs="Arial" w:eastAsia="Arial" w:hAnsi="Arial"/>
                <w:sz w:val="12"/>
                <w:szCs w:val="12"/>
                <w:color w:val="auto"/>
              </w:rPr>
              <w:t>481,468</w:t>
            </w:r>
          </w:p>
        </w:tc>
        <w:tc>
          <w:tcPr>
            <w:tcW w:w="280" w:type="dxa"/>
            <w:vAlign w:val="bottom"/>
          </w:tcPr>
          <w:p>
            <w:pPr>
              <w:spacing w:after="0"/>
              <w:rPr>
                <w:sz w:val="12"/>
                <w:szCs w:val="12"/>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540" w:type="dxa"/>
            <w:vAlign w:val="bottom"/>
          </w:tcPr>
          <w:p>
            <w:pPr>
              <w:jc w:val="right"/>
              <w:ind w:right="80"/>
              <w:spacing w:after="0"/>
              <w:rPr>
                <w:sz w:val="20"/>
                <w:szCs w:val="20"/>
                <w:color w:val="auto"/>
              </w:rPr>
            </w:pPr>
            <w:r>
              <w:rPr>
                <w:rFonts w:ascii="Arial" w:cs="Arial" w:eastAsia="Arial" w:hAnsi="Arial"/>
                <w:sz w:val="12"/>
                <w:szCs w:val="12"/>
                <w:color w:val="auto"/>
              </w:rPr>
              <w:t>476,456</w:t>
            </w:r>
          </w:p>
        </w:tc>
      </w:tr>
      <w:tr>
        <w:trPr>
          <w:trHeight w:val="378"/>
        </w:trPr>
        <w:tc>
          <w:tcPr>
            <w:tcW w:w="294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54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300"/>
          </w:cols>
          <w:pgMar w:left="300" w:top="271" w:right="29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820" w:type="dxa"/>
            <w:vAlign w:val="bottom"/>
          </w:tcPr>
          <w:p>
            <w:pPr>
              <w:spacing w:after="0"/>
              <w:rPr>
                <w:sz w:val="13"/>
                <w:szCs w:val="13"/>
                <w:color w:val="auto"/>
              </w:rPr>
            </w:pPr>
          </w:p>
        </w:tc>
        <w:tc>
          <w:tcPr>
            <w:tcW w:w="5340" w:type="dxa"/>
            <w:vAlign w:val="bottom"/>
            <w:gridSpan w:val="4"/>
          </w:tcPr>
          <w:p>
            <w:pPr>
              <w:jc w:val="center"/>
              <w:ind w:left="240"/>
              <w:spacing w:after="0"/>
              <w:rPr>
                <w:sz w:val="20"/>
                <w:szCs w:val="20"/>
                <w:color w:val="auto"/>
              </w:rPr>
            </w:pPr>
            <w:r>
              <w:rPr>
                <w:rFonts w:ascii="Arial" w:cs="Arial" w:eastAsia="Arial" w:hAnsi="Arial"/>
                <w:sz w:val="12"/>
                <w:szCs w:val="12"/>
                <w:b w:val="1"/>
                <w:bCs w:val="1"/>
                <w:color w:val="auto"/>
              </w:rPr>
              <w:t>ARCTURUS THERAPEUTICS HOLDINGS INC. AND ITS SUBSIDIARIES</w:t>
            </w: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820" w:type="dxa"/>
            <w:vAlign w:val="bottom"/>
          </w:tcPr>
          <w:p>
            <w:pPr>
              <w:spacing w:after="0"/>
              <w:rPr>
                <w:sz w:val="24"/>
                <w:szCs w:val="24"/>
                <w:color w:val="auto"/>
              </w:rPr>
            </w:pPr>
          </w:p>
        </w:tc>
        <w:tc>
          <w:tcPr>
            <w:tcW w:w="5500" w:type="dxa"/>
            <w:vAlign w:val="bottom"/>
            <w:gridSpan w:val="5"/>
          </w:tcPr>
          <w:p>
            <w:pPr>
              <w:jc w:val="center"/>
              <w:ind w:left="80"/>
              <w:spacing w:after="0"/>
              <w:rPr>
                <w:sz w:val="20"/>
                <w:szCs w:val="20"/>
                <w:color w:val="auto"/>
              </w:rPr>
            </w:pPr>
            <w:r>
              <w:rPr>
                <w:rFonts w:ascii="Arial" w:cs="Arial" w:eastAsia="Arial" w:hAnsi="Arial"/>
                <w:sz w:val="12"/>
                <w:szCs w:val="12"/>
                <w:b w:val="1"/>
                <w:bCs w:val="1"/>
                <w:color w:val="auto"/>
                <w:w w:val="98"/>
              </w:rPr>
              <w:t>CONDENSED CONSOLIDATED STATEMENTS OF OPERATIONS AND COMPREHENSIVE LOSS</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820" w:type="dxa"/>
            <w:vAlign w:val="bottom"/>
          </w:tcPr>
          <w:p>
            <w:pPr>
              <w:spacing w:after="0"/>
              <w:rPr>
                <w:sz w:val="24"/>
                <w:szCs w:val="24"/>
                <w:color w:val="auto"/>
              </w:rPr>
            </w:pPr>
          </w:p>
        </w:tc>
        <w:tc>
          <w:tcPr>
            <w:tcW w:w="3960" w:type="dxa"/>
            <w:vAlign w:val="bottom"/>
            <w:gridSpan w:val="2"/>
          </w:tcPr>
          <w:p>
            <w:pPr>
              <w:jc w:val="center"/>
              <w:ind w:left="1620"/>
              <w:spacing w:after="0"/>
              <w:rPr>
                <w:sz w:val="20"/>
                <w:szCs w:val="20"/>
                <w:color w:val="auto"/>
              </w:rPr>
            </w:pPr>
            <w:r>
              <w:rPr>
                <w:rFonts w:ascii="Arial" w:cs="Arial" w:eastAsia="Arial" w:hAnsi="Arial"/>
                <w:sz w:val="12"/>
                <w:szCs w:val="12"/>
                <w:b w:val="1"/>
                <w:bCs w:val="1"/>
                <w:color w:val="auto"/>
                <w:w w:val="91"/>
              </w:rPr>
              <w:t>(unaudited)</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820" w:type="dxa"/>
            <w:vAlign w:val="bottom"/>
          </w:tcPr>
          <w:p>
            <w:pPr>
              <w:spacing w:after="0"/>
              <w:rPr>
                <w:sz w:val="24"/>
                <w:szCs w:val="24"/>
                <w:color w:val="auto"/>
              </w:rPr>
            </w:pPr>
          </w:p>
        </w:tc>
        <w:tc>
          <w:tcPr>
            <w:tcW w:w="3960" w:type="dxa"/>
            <w:vAlign w:val="bottom"/>
            <w:gridSpan w:val="2"/>
          </w:tcPr>
          <w:p>
            <w:pPr>
              <w:jc w:val="right"/>
              <w:ind w:right="232"/>
              <w:spacing w:after="0"/>
              <w:rPr>
                <w:sz w:val="20"/>
                <w:szCs w:val="20"/>
                <w:color w:val="auto"/>
              </w:rPr>
            </w:pPr>
            <w:r>
              <w:rPr>
                <w:rFonts w:ascii="Arial" w:cs="Arial" w:eastAsia="Arial" w:hAnsi="Arial"/>
                <w:sz w:val="12"/>
                <w:szCs w:val="12"/>
                <w:color w:val="auto"/>
              </w:rPr>
              <w:t>(in thousands except per share data)</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8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March 31,</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Three Months Ended</w:t>
            </w:r>
          </w:p>
        </w:tc>
        <w:tc>
          <w:tcPr>
            <w:tcW w:w="220" w:type="dxa"/>
            <w:vAlign w:val="bottom"/>
          </w:tcPr>
          <w:p>
            <w:pPr>
              <w:spacing w:after="0"/>
              <w:rPr>
                <w:sz w:val="24"/>
                <w:szCs w:val="24"/>
                <w:color w:val="auto"/>
              </w:rPr>
            </w:pPr>
          </w:p>
        </w:tc>
        <w:tc>
          <w:tcPr>
            <w:tcW w:w="1240" w:type="dxa"/>
            <w:vAlign w:val="bottom"/>
            <w:vMerge w:val="restart"/>
          </w:tcPr>
          <w:p>
            <w:pPr>
              <w:jc w:val="right"/>
              <w:ind w:right="320"/>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53"/>
        </w:trPr>
        <w:tc>
          <w:tcPr>
            <w:tcW w:w="28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vMerge w:val="continue"/>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820" w:type="dxa"/>
            <w:vAlign w:val="bottom"/>
            <w:tcBorders>
              <w:bottom w:val="single" w:sz="8" w:color="CCEEFF"/>
            </w:tcBorders>
          </w:tcPr>
          <w:p>
            <w:pPr>
              <w:spacing w:after="0"/>
              <w:rPr>
                <w:sz w:val="12"/>
                <w:szCs w:val="12"/>
                <w:color w:val="auto"/>
              </w:rPr>
            </w:pPr>
          </w:p>
        </w:tc>
        <w:tc>
          <w:tcPr>
            <w:tcW w:w="36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2021</w:t>
            </w: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2020</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33"/>
        </w:trPr>
        <w:tc>
          <w:tcPr>
            <w:tcW w:w="282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Collaboration revenue</w:t>
            </w:r>
          </w:p>
        </w:tc>
        <w:tc>
          <w:tcPr>
            <w:tcW w:w="362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2,127</w:t>
            </w: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2,646</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2,238</w:t>
            </w:r>
          </w:p>
        </w:tc>
        <w:tc>
          <w:tcPr>
            <w:tcW w:w="0" w:type="dxa"/>
            <w:vAlign w:val="bottom"/>
          </w:tcPr>
          <w:p>
            <w:pPr>
              <w:spacing w:after="0"/>
              <w:rPr>
                <w:sz w:val="1"/>
                <w:szCs w:val="1"/>
                <w:color w:val="auto"/>
              </w:rPr>
            </w:pPr>
          </w:p>
        </w:tc>
      </w:tr>
      <w:tr>
        <w:trPr>
          <w:trHeight w:val="144"/>
        </w:trPr>
        <w:tc>
          <w:tcPr>
            <w:tcW w:w="2820" w:type="dxa"/>
            <w:vAlign w:val="bottom"/>
          </w:tcPr>
          <w:p>
            <w:pPr>
              <w:spacing w:after="0"/>
              <w:rPr>
                <w:sz w:val="20"/>
                <w:szCs w:val="20"/>
                <w:color w:val="auto"/>
              </w:rPr>
            </w:pPr>
            <w:r>
              <w:rPr>
                <w:rFonts w:ascii="Arial" w:cs="Arial" w:eastAsia="Arial" w:hAnsi="Arial"/>
                <w:sz w:val="12"/>
                <w:szCs w:val="12"/>
                <w:b w:val="1"/>
                <w:bCs w:val="1"/>
                <w:color w:val="auto"/>
              </w:rPr>
              <w:t>Operating expenses:</w:t>
            </w:r>
          </w:p>
        </w:tc>
        <w:tc>
          <w:tcPr>
            <w:tcW w:w="3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Research and development, net</w:t>
            </w:r>
          </w:p>
        </w:tc>
        <w:tc>
          <w:tcPr>
            <w:tcW w:w="3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50,050</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7,917</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24,286</w:t>
            </w:r>
          </w:p>
        </w:tc>
        <w:tc>
          <w:tcPr>
            <w:tcW w:w="0" w:type="dxa"/>
            <w:vAlign w:val="bottom"/>
          </w:tcPr>
          <w:p>
            <w:pPr>
              <w:spacing w:after="0"/>
              <w:rPr>
                <w:sz w:val="1"/>
                <w:szCs w:val="1"/>
                <w:color w:val="auto"/>
              </w:rPr>
            </w:pPr>
          </w:p>
        </w:tc>
      </w:tr>
      <w:tr>
        <w:trPr>
          <w:trHeight w:val="153"/>
        </w:trPr>
        <w:tc>
          <w:tcPr>
            <w:tcW w:w="282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General and administrative</w:t>
            </w:r>
          </w:p>
        </w:tc>
        <w:tc>
          <w:tcPr>
            <w:tcW w:w="36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9,743</w:t>
            </w:r>
          </w:p>
        </w:tc>
        <w:tc>
          <w:tcPr>
            <w:tcW w:w="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4,191</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9,034</w:t>
            </w:r>
          </w:p>
        </w:tc>
        <w:tc>
          <w:tcPr>
            <w:tcW w:w="0" w:type="dxa"/>
            <w:vAlign w:val="bottom"/>
          </w:tcPr>
          <w:p>
            <w:pPr>
              <w:spacing w:after="0"/>
              <w:rPr>
                <w:sz w:val="1"/>
                <w:szCs w:val="1"/>
                <w:color w:val="auto"/>
              </w:rPr>
            </w:pPr>
          </w:p>
        </w:tc>
      </w:tr>
      <w:tr>
        <w:trPr>
          <w:trHeight w:val="133"/>
        </w:trPr>
        <w:tc>
          <w:tcPr>
            <w:tcW w:w="2820" w:type="dxa"/>
            <w:vAlign w:val="bottom"/>
            <w:shd w:val="clear" w:color="auto" w:fill="CCEEFF"/>
          </w:tcPr>
          <w:p>
            <w:pPr>
              <w:ind w:left="160"/>
              <w:spacing w:after="0" w:line="133" w:lineRule="exact"/>
              <w:rPr>
                <w:sz w:val="20"/>
                <w:szCs w:val="20"/>
                <w:color w:val="auto"/>
              </w:rPr>
            </w:pPr>
            <w:r>
              <w:rPr>
                <w:rFonts w:ascii="Arial" w:cs="Arial" w:eastAsia="Arial" w:hAnsi="Arial"/>
                <w:sz w:val="12"/>
                <w:szCs w:val="12"/>
                <w:color w:val="auto"/>
              </w:rPr>
              <w:t>Total operating expenses</w:t>
            </w:r>
          </w:p>
        </w:tc>
        <w:tc>
          <w:tcPr>
            <w:tcW w:w="362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59,793</w:t>
            </w:r>
          </w:p>
        </w:tc>
        <w:tc>
          <w:tcPr>
            <w:tcW w:w="2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300" w:type="dxa"/>
            <w:vAlign w:val="bottom"/>
            <w:tcBorders>
              <w:bottom w:val="single" w:sz="8" w:color="auto"/>
            </w:tcBorders>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12,108</w:t>
            </w:r>
          </w:p>
        </w:tc>
        <w:tc>
          <w:tcPr>
            <w:tcW w:w="2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33,320</w:t>
            </w:r>
          </w:p>
        </w:tc>
        <w:tc>
          <w:tcPr>
            <w:tcW w:w="0" w:type="dxa"/>
            <w:vAlign w:val="bottom"/>
          </w:tcPr>
          <w:p>
            <w:pPr>
              <w:spacing w:after="0"/>
              <w:rPr>
                <w:sz w:val="1"/>
                <w:szCs w:val="1"/>
                <w:color w:val="auto"/>
              </w:rPr>
            </w:pPr>
          </w:p>
        </w:tc>
      </w:tr>
      <w:tr>
        <w:trPr>
          <w:trHeight w:val="133"/>
        </w:trPr>
        <w:tc>
          <w:tcPr>
            <w:tcW w:w="2820" w:type="dxa"/>
            <w:vAlign w:val="bottom"/>
          </w:tcPr>
          <w:p>
            <w:pPr>
              <w:spacing w:after="0" w:line="133" w:lineRule="exact"/>
              <w:rPr>
                <w:sz w:val="20"/>
                <w:szCs w:val="20"/>
                <w:color w:val="auto"/>
              </w:rPr>
            </w:pPr>
            <w:r>
              <w:rPr>
                <w:rFonts w:ascii="Arial" w:cs="Arial" w:eastAsia="Arial" w:hAnsi="Arial"/>
                <w:sz w:val="12"/>
                <w:szCs w:val="12"/>
                <w:color w:val="auto"/>
              </w:rPr>
              <w:t>Loss from operations</w:t>
            </w:r>
          </w:p>
        </w:tc>
        <w:tc>
          <w:tcPr>
            <w:tcW w:w="3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spacing w:after="0" w:line="133" w:lineRule="exact"/>
              <w:rPr>
                <w:sz w:val="20"/>
                <w:szCs w:val="20"/>
                <w:color w:val="auto"/>
              </w:rPr>
            </w:pPr>
            <w:r>
              <w:rPr>
                <w:rFonts w:ascii="Arial" w:cs="Arial" w:eastAsia="Arial" w:hAnsi="Arial"/>
                <w:sz w:val="12"/>
                <w:szCs w:val="12"/>
                <w:color w:val="auto"/>
              </w:rPr>
              <w:t>(57,666)</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jc w:val="right"/>
              <w:ind w:right="20"/>
              <w:spacing w:after="0" w:line="133" w:lineRule="exact"/>
              <w:rPr>
                <w:sz w:val="20"/>
                <w:szCs w:val="20"/>
                <w:color w:val="auto"/>
              </w:rPr>
            </w:pPr>
            <w:r>
              <w:rPr>
                <w:rFonts w:ascii="Arial" w:cs="Arial" w:eastAsia="Arial" w:hAnsi="Arial"/>
                <w:sz w:val="12"/>
                <w:szCs w:val="12"/>
                <w:color w:val="auto"/>
              </w:rPr>
              <w:t>(9,462)</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ind w:right="20"/>
              <w:spacing w:after="0" w:line="133" w:lineRule="exact"/>
              <w:rPr>
                <w:sz w:val="20"/>
                <w:szCs w:val="20"/>
                <w:color w:val="auto"/>
              </w:rPr>
            </w:pPr>
            <w:r>
              <w:rPr>
                <w:rFonts w:ascii="Arial" w:cs="Arial" w:eastAsia="Arial" w:hAnsi="Arial"/>
                <w:sz w:val="12"/>
                <w:szCs w:val="12"/>
                <w:color w:val="auto"/>
              </w:rPr>
              <w:t>(31,082)</w:t>
            </w:r>
          </w:p>
        </w:tc>
        <w:tc>
          <w:tcPr>
            <w:tcW w:w="0" w:type="dxa"/>
            <w:vAlign w:val="bottom"/>
          </w:tcPr>
          <w:p>
            <w:pPr>
              <w:spacing w:after="0"/>
              <w:rPr>
                <w:sz w:val="1"/>
                <w:szCs w:val="1"/>
                <w:color w:val="auto"/>
              </w:rPr>
            </w:pPr>
          </w:p>
        </w:tc>
      </w:tr>
      <w:tr>
        <w:trPr>
          <w:trHeight w:val="144"/>
        </w:trPr>
        <w:tc>
          <w:tcPr>
            <w:tcW w:w="2820" w:type="dxa"/>
            <w:vAlign w:val="bottom"/>
            <w:shd w:val="clear" w:color="auto" w:fill="CCEEFF"/>
          </w:tcPr>
          <w:p>
            <w:pPr>
              <w:spacing w:after="0"/>
              <w:rPr>
                <w:sz w:val="20"/>
                <w:szCs w:val="20"/>
                <w:color w:val="auto"/>
              </w:rPr>
            </w:pPr>
            <w:r>
              <w:rPr>
                <w:rFonts w:ascii="Arial" w:cs="Arial" w:eastAsia="Arial" w:hAnsi="Arial"/>
                <w:sz w:val="12"/>
                <w:szCs w:val="12"/>
                <w:color w:val="auto"/>
              </w:rPr>
              <w:t>Gain (loss) from equity-method investment</w:t>
            </w:r>
          </w:p>
        </w:tc>
        <w:tc>
          <w:tcPr>
            <w:tcW w:w="3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1,248</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(163)</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820" w:type="dxa"/>
            <w:vAlign w:val="bottom"/>
          </w:tcPr>
          <w:p>
            <w:pPr>
              <w:spacing w:after="0"/>
              <w:rPr>
                <w:sz w:val="20"/>
                <w:szCs w:val="20"/>
                <w:color w:val="auto"/>
              </w:rPr>
            </w:pPr>
            <w:r>
              <w:rPr>
                <w:rFonts w:ascii="Arial" w:cs="Arial" w:eastAsia="Arial" w:hAnsi="Arial"/>
                <w:sz w:val="12"/>
                <w:szCs w:val="12"/>
                <w:color w:val="auto"/>
              </w:rPr>
              <w:t>Gain from foreign currency</w:t>
            </w:r>
          </w:p>
        </w:tc>
        <w:tc>
          <w:tcPr>
            <w:tcW w:w="3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ind w:right="40"/>
              <w:spacing w:after="0"/>
              <w:rPr>
                <w:sz w:val="20"/>
                <w:szCs w:val="20"/>
                <w:color w:val="auto"/>
              </w:rPr>
            </w:pPr>
            <w:r>
              <w:rPr>
                <w:rFonts w:ascii="Arial" w:cs="Arial" w:eastAsia="Arial" w:hAnsi="Arial"/>
                <w:sz w:val="12"/>
                <w:szCs w:val="12"/>
                <w:color w:val="auto"/>
              </w:rPr>
              <w:t>430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153"/>
        </w:trPr>
        <w:tc>
          <w:tcPr>
            <w:tcW w:w="2820" w:type="dxa"/>
            <w:vAlign w:val="bottom"/>
            <w:shd w:val="clear" w:color="auto" w:fill="CCEEFF"/>
          </w:tcPr>
          <w:p>
            <w:pPr>
              <w:spacing w:after="0"/>
              <w:rPr>
                <w:sz w:val="20"/>
                <w:szCs w:val="20"/>
                <w:color w:val="auto"/>
              </w:rPr>
            </w:pPr>
            <w:r>
              <w:rPr>
                <w:rFonts w:ascii="Arial" w:cs="Arial" w:eastAsia="Arial" w:hAnsi="Arial"/>
                <w:sz w:val="12"/>
                <w:szCs w:val="12"/>
                <w:color w:val="auto"/>
              </w:rPr>
              <w:t>Finance expense, net</w:t>
            </w:r>
          </w:p>
        </w:tc>
        <w:tc>
          <w:tcPr>
            <w:tcW w:w="362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(358)</w:t>
            </w:r>
          </w:p>
        </w:tc>
        <w:tc>
          <w:tcPr>
            <w:tcW w:w="2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(152)</w:t>
            </w: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149"/>
        </w:trPr>
        <w:tc>
          <w:tcPr>
            <w:tcW w:w="2820" w:type="dxa"/>
            <w:vAlign w:val="bottom"/>
          </w:tcPr>
          <w:p>
            <w:pPr>
              <w:ind w:left="80"/>
              <w:spacing w:after="0" w:line="133" w:lineRule="exact"/>
              <w:rPr>
                <w:sz w:val="20"/>
                <w:szCs w:val="20"/>
                <w:color w:val="auto"/>
              </w:rPr>
            </w:pPr>
            <w:r>
              <w:rPr>
                <w:rFonts w:ascii="Arial" w:cs="Arial" w:eastAsia="Arial" w:hAnsi="Arial"/>
                <w:sz w:val="12"/>
                <w:szCs w:val="12"/>
                <w:color w:val="auto"/>
              </w:rPr>
              <w:t>Net loss</w:t>
            </w:r>
          </w:p>
        </w:tc>
        <w:tc>
          <w:tcPr>
            <w:tcW w:w="3960" w:type="dxa"/>
            <w:vAlign w:val="bottom"/>
            <w:gridSpan w:val="2"/>
          </w:tcPr>
          <w:p>
            <w:pPr>
              <w:jc w:val="right"/>
              <w:ind w:right="232"/>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(56,346)</w:t>
            </w:r>
          </w:p>
        </w:tc>
        <w:tc>
          <w:tcPr>
            <w:tcW w:w="240" w:type="dxa"/>
            <w:vAlign w:val="bottom"/>
          </w:tcPr>
          <w:p>
            <w:pPr>
              <w:spacing w:after="0"/>
              <w:rPr>
                <w:sz w:val="12"/>
                <w:szCs w:val="12"/>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ind w:right="20"/>
              <w:spacing w:after="0"/>
              <w:rPr>
                <w:sz w:val="20"/>
                <w:szCs w:val="20"/>
                <w:color w:val="auto"/>
              </w:rPr>
            </w:pPr>
            <w:r>
              <w:rPr>
                <w:rFonts w:ascii="Arial" w:cs="Arial" w:eastAsia="Arial" w:hAnsi="Arial"/>
                <w:sz w:val="12"/>
                <w:szCs w:val="12"/>
                <w:color w:val="auto"/>
              </w:rPr>
              <w:t>(9,777)</w:t>
            </w:r>
          </w:p>
        </w:tc>
        <w:tc>
          <w:tcPr>
            <w:tcW w:w="220" w:type="dxa"/>
            <w:vAlign w:val="bottom"/>
          </w:tcPr>
          <w:p>
            <w:pPr>
              <w:spacing w:after="0"/>
              <w:rPr>
                <w:sz w:val="12"/>
                <w:szCs w:val="12"/>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20"/>
              <w:spacing w:after="0"/>
              <w:rPr>
                <w:sz w:val="20"/>
                <w:szCs w:val="20"/>
                <w:color w:val="auto"/>
              </w:rPr>
            </w:pPr>
            <w:r>
              <w:rPr>
                <w:rFonts w:ascii="Arial" w:cs="Arial" w:eastAsia="Arial" w:hAnsi="Arial"/>
                <w:sz w:val="12"/>
                <w:szCs w:val="12"/>
                <w:color w:val="auto"/>
              </w:rPr>
              <w:t>(31,104)</w:t>
            </w:r>
          </w:p>
        </w:tc>
        <w:tc>
          <w:tcPr>
            <w:tcW w:w="0" w:type="dxa"/>
            <w:vAlign w:val="bottom"/>
          </w:tcPr>
          <w:p>
            <w:pPr>
              <w:spacing w:after="0"/>
              <w:rPr>
                <w:sz w:val="1"/>
                <w:szCs w:val="1"/>
                <w:color w:val="auto"/>
              </w:rPr>
            </w:pPr>
          </w:p>
        </w:tc>
      </w:tr>
      <w:tr>
        <w:trPr>
          <w:trHeight w:val="144"/>
        </w:trPr>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loss per share, basic and diluted</w:t>
            </w:r>
          </w:p>
        </w:tc>
        <w:tc>
          <w:tcPr>
            <w:tcW w:w="36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(2.15)</w:t>
            </w: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(0.67)</w:t>
            </w: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(1.25)</w:t>
            </w:r>
          </w:p>
        </w:tc>
        <w:tc>
          <w:tcPr>
            <w:tcW w:w="0" w:type="dxa"/>
            <w:vAlign w:val="bottom"/>
          </w:tcPr>
          <w:p>
            <w:pPr>
              <w:spacing w:after="0"/>
              <w:rPr>
                <w:sz w:val="1"/>
                <w:szCs w:val="1"/>
                <w:color w:val="auto"/>
              </w:rPr>
            </w:pPr>
          </w:p>
        </w:tc>
      </w:tr>
      <w:tr>
        <w:trPr>
          <w:trHeight w:val="144"/>
        </w:trPr>
        <w:tc>
          <w:tcPr>
            <w:tcW w:w="2820" w:type="dxa"/>
            <w:vAlign w:val="bottom"/>
          </w:tcPr>
          <w:p>
            <w:pPr>
              <w:spacing w:after="0"/>
              <w:rPr>
                <w:sz w:val="20"/>
                <w:szCs w:val="20"/>
                <w:color w:val="auto"/>
              </w:rPr>
            </w:pPr>
            <w:r>
              <w:rPr>
                <w:rFonts w:ascii="Arial" w:cs="Arial" w:eastAsia="Arial" w:hAnsi="Arial"/>
                <w:sz w:val="12"/>
                <w:szCs w:val="12"/>
                <w:color w:val="auto"/>
                <w:w w:val="93"/>
              </w:rPr>
              <w:t>Weighted-average shares outstanding, basic and diluted</w:t>
            </w:r>
          </w:p>
        </w:tc>
        <w:tc>
          <w:tcPr>
            <w:tcW w:w="3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ind w:right="40"/>
              <w:spacing w:after="0"/>
              <w:rPr>
                <w:sz w:val="20"/>
                <w:szCs w:val="20"/>
                <w:color w:val="auto"/>
              </w:rPr>
            </w:pPr>
            <w:r>
              <w:rPr>
                <w:rFonts w:ascii="Arial" w:cs="Arial" w:eastAsia="Arial" w:hAnsi="Arial"/>
                <w:sz w:val="12"/>
                <w:szCs w:val="12"/>
                <w:color w:val="auto"/>
              </w:rPr>
              <w:t>26,243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14,521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24,886</w:t>
            </w:r>
          </w:p>
        </w:tc>
        <w:tc>
          <w:tcPr>
            <w:tcW w:w="0" w:type="dxa"/>
            <w:vAlign w:val="bottom"/>
          </w:tcPr>
          <w:p>
            <w:pPr>
              <w:spacing w:after="0"/>
              <w:rPr>
                <w:sz w:val="1"/>
                <w:szCs w:val="1"/>
                <w:color w:val="auto"/>
              </w:rPr>
            </w:pPr>
          </w:p>
        </w:tc>
      </w:tr>
      <w:tr>
        <w:trPr>
          <w:trHeight w:val="144"/>
        </w:trPr>
        <w:tc>
          <w:tcPr>
            <w:tcW w:w="2820" w:type="dxa"/>
            <w:vAlign w:val="bottom"/>
            <w:shd w:val="clear" w:color="auto" w:fill="CCEEFF"/>
          </w:tcPr>
          <w:p>
            <w:pPr>
              <w:spacing w:after="0"/>
              <w:rPr>
                <w:sz w:val="20"/>
                <w:szCs w:val="20"/>
                <w:color w:val="auto"/>
              </w:rPr>
            </w:pPr>
            <w:r>
              <w:rPr>
                <w:rFonts w:ascii="Arial" w:cs="Arial" w:eastAsia="Arial" w:hAnsi="Arial"/>
                <w:sz w:val="12"/>
                <w:szCs w:val="12"/>
                <w:color w:val="auto"/>
              </w:rPr>
              <w:t>Comprehensive loss:</w:t>
            </w:r>
          </w:p>
        </w:tc>
        <w:tc>
          <w:tcPr>
            <w:tcW w:w="3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2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Net loss</w:t>
            </w:r>
          </w:p>
        </w:tc>
        <w:tc>
          <w:tcPr>
            <w:tcW w:w="36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(56,346)</w:t>
            </w:r>
          </w:p>
        </w:tc>
        <w:tc>
          <w:tcPr>
            <w:tcW w:w="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(9,777)</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(31,104)</w:t>
            </w:r>
          </w:p>
        </w:tc>
        <w:tc>
          <w:tcPr>
            <w:tcW w:w="0" w:type="dxa"/>
            <w:vAlign w:val="bottom"/>
          </w:tcPr>
          <w:p>
            <w:pPr>
              <w:spacing w:after="0"/>
              <w:rPr>
                <w:sz w:val="1"/>
                <w:szCs w:val="1"/>
                <w:color w:val="auto"/>
              </w:rPr>
            </w:pPr>
          </w:p>
        </w:tc>
      </w:tr>
      <w:tr>
        <w:trPr>
          <w:trHeight w:val="149"/>
        </w:trPr>
        <w:tc>
          <w:tcPr>
            <w:tcW w:w="2820" w:type="dxa"/>
            <w:vAlign w:val="bottom"/>
            <w:tcBorders>
              <w:bottom w:val="single" w:sz="8" w:color="CCEEFF"/>
            </w:tcBorders>
            <w:shd w:val="clear" w:color="auto" w:fill="CCEEFF"/>
          </w:tcPr>
          <w:p>
            <w:pPr>
              <w:ind w:left="80"/>
              <w:spacing w:after="0" w:line="133" w:lineRule="exact"/>
              <w:rPr>
                <w:sz w:val="20"/>
                <w:szCs w:val="20"/>
                <w:color w:val="auto"/>
              </w:rPr>
            </w:pPr>
            <w:r>
              <w:rPr>
                <w:rFonts w:ascii="Arial" w:cs="Arial" w:eastAsia="Arial" w:hAnsi="Arial"/>
                <w:sz w:val="12"/>
                <w:szCs w:val="12"/>
                <w:color w:val="auto"/>
              </w:rPr>
              <w:t>Comprehensive loss</w:t>
            </w:r>
          </w:p>
        </w:tc>
        <w:tc>
          <w:tcPr>
            <w:tcW w:w="36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(56,346)</w:t>
            </w:r>
          </w:p>
        </w:tc>
        <w:tc>
          <w:tcPr>
            <w:tcW w:w="2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(9,777)</w:t>
            </w:r>
          </w:p>
        </w:tc>
        <w:tc>
          <w:tcPr>
            <w:tcW w:w="2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(31,104)</w:t>
            </w:r>
          </w:p>
        </w:tc>
        <w:tc>
          <w:tcPr>
            <w:tcW w:w="0" w:type="dxa"/>
            <w:vAlign w:val="bottom"/>
          </w:tcPr>
          <w:p>
            <w:pPr>
              <w:spacing w:after="0"/>
              <w:rPr>
                <w:sz w:val="1"/>
                <w:szCs w:val="1"/>
                <w:color w:val="auto"/>
              </w:rPr>
            </w:pPr>
          </w:p>
        </w:tc>
      </w:tr>
    </w:tbl>
    <w:p>
      <w:pPr>
        <w:sectPr>
          <w:pgSz w:w="11900" w:h="16838" w:orient="portrait"/>
          <w:cols w:equalWidth="0" w:num="1">
            <w:col w:w="11300"/>
          </w:cols>
          <w:pgMar w:left="300" w:top="271" w:right="299" w:bottom="1440"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294640</wp:posOffset>
            </wp:positionV>
            <wp:extent cx="7218680" cy="4377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294640</wp:posOffset>
            </wp:positionV>
            <wp:extent cx="7218680" cy="4377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294640</wp:posOffset>
            </wp:positionV>
            <wp:extent cx="7218680" cy="4377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114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lowerRoman"/>
      <w:start w:val="2"/>
    </w:lvl>
  </w:abstractNum>
  <w:abstractNum w:abstractNumId="7">
    <w:nsid w:val="515F007C"/>
    <w:multiLevelType w:val="hybridMultilevel"/>
    <w:lvl w:ilvl="0">
      <w:lvlJc w:val="left"/>
      <w:lvlText w:val="(%1)"/>
      <w:numFmt w:val="decimal"/>
      <w:start w:val="858"/>
    </w:lvl>
  </w:abstractNum>
  <w:abstractNum w:abstractNumId="8">
    <w:nsid w:val="5BD062C2"/>
    <w:multiLevelType w:val="hybridMultilevel"/>
    <w:lvl w:ilvl="0">
      <w:lvlJc w:val="left"/>
      <w:lvlText w:val="(%1)"/>
      <w:numFmt w:val="decimal"/>
      <w:start w:val="6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2021-05-10T15:32:39Z</dcterms:created>
  <dcterms:modified xsi:type="dcterms:W3CDTF">2021-05-10T15:32:39Z</dcterms:modified>
</cp:coreProperties>
</file>