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ARCTURUS THERAPEUTICS HOLDINGS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03969T109</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Karah Parschauer</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Executive Vice President, General Counsel</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Ultragenyx Pharmaceutical Inc.</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60 Leveroni Court</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Novato, CA 94949</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(415) 475-6583</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8, 2020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7" w:lineRule="exact"/>
        <w:rPr>
          <w:sz w:val="24"/>
          <w:szCs w:val="24"/>
          <w:color w:val="auto"/>
        </w:rPr>
      </w:pPr>
    </w:p>
    <w:p>
      <w:pPr>
        <w:ind w:left="4" w:right="16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240.13d-7(b) for 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6"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13D</w:t>
      </w:r>
    </w:p>
    <w:p>
      <w:pPr>
        <w:spacing w:after="0" w:line="266" w:lineRule="exact"/>
        <w:rPr>
          <w:sz w:val="20"/>
          <w:szCs w:val="20"/>
          <w:color w:val="auto"/>
        </w:rPr>
      </w:pPr>
    </w:p>
    <w:p>
      <w:pPr>
        <w:ind w:left="164"/>
        <w:spacing w:after="0"/>
        <w:rPr>
          <w:sz w:val="20"/>
          <w:szCs w:val="20"/>
          <w:color w:val="auto"/>
        </w:rPr>
      </w:pPr>
      <w:r>
        <w:rPr>
          <w:rFonts w:ascii="Arial" w:cs="Arial" w:eastAsia="Arial" w:hAnsi="Arial"/>
          <w:sz w:val="18"/>
          <w:szCs w:val="18"/>
          <w:b w:val="1"/>
          <w:bCs w:val="1"/>
          <w:color w:val="auto"/>
        </w:rPr>
        <w:t xml:space="preserve">CUSIP No. 03969T109 13D Page 2 </w:t>
      </w:r>
      <w:r>
        <w:rPr>
          <w:rFonts w:ascii="Arial" w:cs="Arial" w:eastAsia="Arial" w:hAnsi="Arial"/>
          <w:sz w:val="18"/>
          <w:szCs w:val="18"/>
          <w:color w:val="auto"/>
        </w:rPr>
        <w:t>of</w:t>
      </w:r>
      <w:r>
        <w:rPr>
          <w:rFonts w:ascii="Arial" w:cs="Arial" w:eastAsia="Arial" w:hAnsi="Arial"/>
          <w:sz w:val="18"/>
          <w:szCs w:val="18"/>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217741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77415" cy="154305"/>
                    </a:xfrm>
                    <a:prstGeom prst="rect">
                      <a:avLst/>
                    </a:prstGeom>
                    <a:noFill/>
                  </pic:spPr>
                </pic:pic>
              </a:graphicData>
            </a:graphic>
          </wp:anchor>
        </w:drawing>
      </w:r>
    </w:p>
    <w:p>
      <w:pPr>
        <w:spacing w:after="0" w:line="263" w:lineRule="exact"/>
        <w:rPr>
          <w:sz w:val="20"/>
          <w:szCs w:val="20"/>
          <w:color w:val="auto"/>
        </w:rPr>
      </w:pPr>
    </w:p>
    <w:p>
      <w:pPr>
        <w:ind w:left="704" w:hanging="457"/>
        <w:spacing w:after="0"/>
        <w:tabs>
          <w:tab w:leader="none" w:pos="704"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704"/>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-276225</wp:posOffset>
            </wp:positionV>
            <wp:extent cx="7003415" cy="6780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3415" cy="6780530"/>
                    </a:xfrm>
                    <a:prstGeom prst="rect">
                      <a:avLst/>
                    </a:prstGeom>
                    <a:noFill/>
                  </pic:spPr>
                </pic:pic>
              </a:graphicData>
            </a:graphic>
          </wp:anchor>
        </w:drawing>
      </w:r>
    </w:p>
    <w:p>
      <w:pPr>
        <w:spacing w:after="0" w:line="211" w:lineRule="exact"/>
        <w:rPr>
          <w:sz w:val="20"/>
          <w:szCs w:val="20"/>
          <w:color w:val="auto"/>
        </w:rPr>
      </w:pPr>
    </w:p>
    <w:p>
      <w:pPr>
        <w:ind w:left="704"/>
        <w:spacing w:after="0"/>
        <w:rPr>
          <w:sz w:val="20"/>
          <w:szCs w:val="20"/>
          <w:color w:val="auto"/>
        </w:rPr>
      </w:pPr>
      <w:r>
        <w:rPr>
          <w:rFonts w:ascii="Arial" w:cs="Arial" w:eastAsia="Arial" w:hAnsi="Arial"/>
          <w:sz w:val="22"/>
          <w:szCs w:val="22"/>
          <w:color w:val="auto"/>
        </w:rPr>
        <w:t>Ultragenyx Pharmaceutical Inc.</w:t>
      </w:r>
    </w:p>
    <w:p>
      <w:pPr>
        <w:spacing w:after="0" w:line="8" w:lineRule="exact"/>
        <w:rPr>
          <w:sz w:val="20"/>
          <w:szCs w:val="20"/>
          <w:color w:val="auto"/>
        </w:rPr>
      </w:pPr>
    </w:p>
    <w:p>
      <w:pPr>
        <w:ind w:left="704"/>
        <w:spacing w:after="0"/>
        <w:rPr>
          <w:sz w:val="20"/>
          <w:szCs w:val="20"/>
          <w:color w:val="auto"/>
        </w:rPr>
      </w:pPr>
      <w:r>
        <w:rPr>
          <w:rFonts w:ascii="Arial" w:cs="Arial" w:eastAsia="Arial" w:hAnsi="Arial"/>
          <w:sz w:val="22"/>
          <w:szCs w:val="22"/>
          <w:color w:val="auto"/>
        </w:rPr>
        <w:t>27-2546083</w:t>
      </w:r>
    </w:p>
    <w:p>
      <w:pPr>
        <w:spacing w:after="0" w:line="6" w:lineRule="exact"/>
        <w:rPr>
          <w:sz w:val="20"/>
          <w:szCs w:val="20"/>
          <w:color w:val="auto"/>
        </w:rPr>
      </w:pPr>
    </w:p>
    <w:p>
      <w:pPr>
        <w:ind w:left="704" w:hanging="457"/>
        <w:spacing w:after="0"/>
        <w:tabs>
          <w:tab w:leader="none" w:pos="704"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04"/>
        <w:spacing w:after="0" w:line="207" w:lineRule="exact"/>
        <w:tabs>
          <w:tab w:leader="none" w:pos="148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04" w:hanging="457"/>
        <w:spacing w:after="0"/>
        <w:tabs>
          <w:tab w:leader="none" w:pos="704"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322" w:lineRule="exact"/>
        <w:rPr>
          <w:sz w:val="20"/>
          <w:szCs w:val="20"/>
          <w:color w:val="auto"/>
        </w:rPr>
      </w:pPr>
    </w:p>
    <w:p>
      <w:pPr>
        <w:ind w:left="704" w:hanging="457"/>
        <w:spacing w:after="0"/>
        <w:tabs>
          <w:tab w:leader="none" w:pos="70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w:t>
      </w:r>
    </w:p>
    <w:p>
      <w:pPr>
        <w:spacing w:after="0" w:line="245" w:lineRule="exact"/>
        <w:rPr>
          <w:sz w:val="20"/>
          <w:szCs w:val="20"/>
          <w:color w:val="auto"/>
        </w:rPr>
      </w:pPr>
    </w:p>
    <w:p>
      <w:pPr>
        <w:ind w:left="704"/>
        <w:spacing w:after="0"/>
        <w:rPr>
          <w:sz w:val="20"/>
          <w:szCs w:val="20"/>
          <w:color w:val="auto"/>
        </w:rPr>
      </w:pPr>
      <w:r>
        <w:rPr>
          <w:rFonts w:ascii="Arial" w:cs="Arial" w:eastAsia="Arial" w:hAnsi="Arial"/>
          <w:sz w:val="22"/>
          <w:szCs w:val="22"/>
          <w:color w:val="auto"/>
        </w:rPr>
        <w:t>WC</w:t>
      </w:r>
    </w:p>
    <w:p>
      <w:pPr>
        <w:spacing w:after="0" w:line="24" w:lineRule="exact"/>
        <w:rPr>
          <w:sz w:val="20"/>
          <w:szCs w:val="20"/>
          <w:color w:val="auto"/>
        </w:rPr>
      </w:pPr>
    </w:p>
    <w:p>
      <w:pPr>
        <w:ind w:left="704" w:hanging="457"/>
        <w:spacing w:after="0"/>
        <w:tabs>
          <w:tab w:leader="none" w:pos="704"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CHECK IF DISCLOSURE OF LEGAL PROCEEDINGS IS REQUIRED PURSUANT TO ITEMS 2(D) OR 2(E)</w:t>
      </w:r>
    </w:p>
    <w:p>
      <w:pPr>
        <w:spacing w:after="0" w:line="230" w:lineRule="exact"/>
        <w:rPr>
          <w:sz w:val="20"/>
          <w:szCs w:val="20"/>
          <w:color w:val="auto"/>
        </w:rPr>
      </w:pPr>
    </w:p>
    <w:p>
      <w:pPr>
        <w:ind w:left="70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704" w:hanging="457"/>
        <w:spacing w:after="0"/>
        <w:tabs>
          <w:tab w:leader="none" w:pos="704"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29" w:lineRule="exact"/>
        <w:rPr>
          <w:sz w:val="20"/>
          <w:szCs w:val="20"/>
          <w:color w:val="auto"/>
        </w:rPr>
      </w:pPr>
    </w:p>
    <w:p>
      <w:pPr>
        <w:ind w:left="704"/>
        <w:spacing w:after="0"/>
        <w:rPr>
          <w:sz w:val="20"/>
          <w:szCs w:val="20"/>
          <w:color w:val="auto"/>
        </w:rPr>
      </w:pPr>
      <w:r>
        <w:rPr>
          <w:rFonts w:ascii="Arial" w:cs="Arial" w:eastAsia="Arial" w:hAnsi="Arial"/>
          <w:sz w:val="22"/>
          <w:szCs w:val="22"/>
          <w:color w:val="auto"/>
        </w:rPr>
        <w:t>Delaware</w:t>
      </w:r>
    </w:p>
    <w:p>
      <w:pPr>
        <w:sectPr>
          <w:pgSz w:w="11900" w:h="16838" w:orient="portrait"/>
          <w:cols w:equalWidth="0" w:num="1">
            <w:col w:w="11004"/>
          </w:cols>
          <w:pgMar w:left="436" w:top="270" w:right="45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16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45" w:hanging="255"/>
        <w:spacing w:after="0"/>
        <w:tabs>
          <w:tab w:leader="none" w:pos="345"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45" w:lineRule="exact"/>
        <w:rPr>
          <w:sz w:val="20"/>
          <w:szCs w:val="20"/>
          <w:color w:val="auto"/>
        </w:rPr>
      </w:pPr>
    </w:p>
    <w:p>
      <w:pPr>
        <w:ind w:left="345"/>
        <w:spacing w:after="0"/>
        <w:rPr>
          <w:sz w:val="20"/>
          <w:szCs w:val="20"/>
          <w:color w:val="auto"/>
        </w:rPr>
      </w:pPr>
      <w:r>
        <w:rPr>
          <w:rFonts w:ascii="Arial" w:cs="Arial" w:eastAsia="Arial" w:hAnsi="Arial"/>
          <w:sz w:val="22"/>
          <w:szCs w:val="22"/>
          <w:color w:val="auto"/>
        </w:rPr>
        <w:t>2,200,000</w:t>
      </w:r>
    </w:p>
    <w:p>
      <w:pPr>
        <w:spacing w:after="0" w:line="24" w:lineRule="exact"/>
        <w:rPr>
          <w:sz w:val="20"/>
          <w:szCs w:val="20"/>
          <w:color w:val="auto"/>
        </w:rPr>
      </w:pPr>
    </w:p>
    <w:p>
      <w:pPr>
        <w:ind w:left="345" w:hanging="255"/>
        <w:spacing w:after="0"/>
        <w:tabs>
          <w:tab w:leader="none" w:pos="345"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SHARED VOTING POWER</w:t>
      </w:r>
    </w:p>
    <w:p>
      <w:pPr>
        <w:spacing w:after="0" w:line="245" w:lineRule="exact"/>
        <w:rPr>
          <w:sz w:val="20"/>
          <w:szCs w:val="20"/>
          <w:color w:val="auto"/>
        </w:rPr>
      </w:pPr>
    </w:p>
    <w:p>
      <w:pPr>
        <w:ind w:left="345"/>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345" w:hanging="255"/>
        <w:spacing w:after="0"/>
        <w:tabs>
          <w:tab w:leader="none" w:pos="345"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45" w:lineRule="exact"/>
        <w:rPr>
          <w:sz w:val="20"/>
          <w:szCs w:val="20"/>
          <w:color w:val="auto"/>
        </w:rPr>
      </w:pPr>
    </w:p>
    <w:p>
      <w:pPr>
        <w:ind w:left="345"/>
        <w:spacing w:after="0"/>
        <w:rPr>
          <w:sz w:val="20"/>
          <w:szCs w:val="20"/>
          <w:color w:val="auto"/>
        </w:rPr>
      </w:pPr>
      <w:r>
        <w:rPr>
          <w:rFonts w:ascii="Arial" w:cs="Arial" w:eastAsia="Arial" w:hAnsi="Arial"/>
          <w:sz w:val="22"/>
          <w:szCs w:val="22"/>
          <w:color w:val="auto"/>
        </w:rPr>
        <w:t>2,200,000</w:t>
      </w:r>
    </w:p>
    <w:p>
      <w:pPr>
        <w:spacing w:after="0" w:line="24" w:lineRule="exact"/>
        <w:rPr>
          <w:sz w:val="20"/>
          <w:szCs w:val="20"/>
          <w:color w:val="auto"/>
        </w:rPr>
      </w:pPr>
    </w:p>
    <w:p>
      <w:pPr>
        <w:ind w:left="345" w:hanging="345"/>
        <w:spacing w:after="0"/>
        <w:tabs>
          <w:tab w:leader="none" w:pos="345"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SHARED DISPOSITIVE POWER</w:t>
      </w:r>
    </w:p>
    <w:p>
      <w:pPr>
        <w:spacing w:after="0" w:line="256" w:lineRule="exact"/>
        <w:rPr>
          <w:sz w:val="20"/>
          <w:szCs w:val="20"/>
          <w:color w:val="auto"/>
        </w:rPr>
      </w:pPr>
    </w:p>
    <w:p>
      <w:pPr>
        <w:ind w:left="345"/>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ectPr>
          <w:pgSz w:w="11900" w:h="16838" w:orient="portrait"/>
          <w:cols w:equalWidth="0" w:num="2">
            <w:col w:w="1424" w:space="115"/>
            <w:col w:w="9465"/>
          </w:cols>
          <w:pgMar w:left="436" w:top="270" w:right="459" w:bottom="1440" w:gutter="0" w:footer="0" w:header="0"/>
          <w:type w:val="continuous"/>
        </w:sectPr>
      </w:pPr>
    </w:p>
    <w:p>
      <w:pPr>
        <w:ind w:left="704" w:hanging="547"/>
        <w:spacing w:after="0"/>
        <w:tabs>
          <w:tab w:leader="none" w:pos="704"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45" w:lineRule="exact"/>
        <w:rPr>
          <w:sz w:val="20"/>
          <w:szCs w:val="20"/>
          <w:color w:val="auto"/>
        </w:rPr>
      </w:pPr>
    </w:p>
    <w:p>
      <w:pPr>
        <w:ind w:left="704"/>
        <w:spacing w:after="0"/>
        <w:rPr>
          <w:sz w:val="20"/>
          <w:szCs w:val="20"/>
          <w:color w:val="auto"/>
        </w:rPr>
      </w:pPr>
      <w:r>
        <w:rPr>
          <w:rFonts w:ascii="Arial" w:cs="Arial" w:eastAsia="Arial" w:hAnsi="Arial"/>
          <w:sz w:val="22"/>
          <w:szCs w:val="22"/>
          <w:color w:val="auto"/>
        </w:rPr>
        <w:t>2,200,000</w:t>
      </w:r>
    </w:p>
    <w:p>
      <w:pPr>
        <w:spacing w:after="0" w:line="24" w:lineRule="exact"/>
        <w:rPr>
          <w:sz w:val="20"/>
          <w:szCs w:val="20"/>
          <w:color w:val="auto"/>
        </w:rPr>
      </w:pPr>
    </w:p>
    <w:p>
      <w:pPr>
        <w:ind w:left="704" w:hanging="547"/>
        <w:spacing w:after="0"/>
        <w:tabs>
          <w:tab w:leader="none" w:pos="704"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CHECK BOX IF THE AGGREGATE AMOUNT IN ROW (11) EXCLUDES CERTAIN SHARES (See Instructions)</w:t>
      </w:r>
    </w:p>
    <w:p>
      <w:pPr>
        <w:spacing w:after="0" w:line="218" w:lineRule="exact"/>
        <w:rPr>
          <w:sz w:val="20"/>
          <w:szCs w:val="20"/>
          <w:color w:val="auto"/>
        </w:rPr>
      </w:pPr>
    </w:p>
    <w:p>
      <w:pPr>
        <w:ind w:left="704"/>
        <w:spacing w:after="0" w:line="221" w:lineRule="exact"/>
        <w:rPr>
          <w:sz w:val="20"/>
          <w:szCs w:val="20"/>
          <w:color w:val="auto"/>
        </w:rPr>
      </w:pPr>
      <w:r>
        <w:rPr>
          <w:rFonts w:ascii="MS PGothic" w:cs="MS PGothic" w:eastAsia="MS PGothic" w:hAnsi="MS PGothic"/>
          <w:sz w:val="22"/>
          <w:szCs w:val="22"/>
          <w:color w:val="auto"/>
        </w:rPr>
        <w:t>☐</w:t>
      </w:r>
    </w:p>
    <w:p>
      <w:pPr>
        <w:spacing w:after="0" w:line="113" w:lineRule="exact"/>
        <w:rPr>
          <w:sz w:val="20"/>
          <w:szCs w:val="20"/>
          <w:color w:val="auto"/>
        </w:rPr>
      </w:pPr>
    </w:p>
    <w:p>
      <w:pPr>
        <w:ind w:left="704" w:hanging="547"/>
        <w:spacing w:after="0"/>
        <w:tabs>
          <w:tab w:leader="none" w:pos="704"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29" w:lineRule="exact"/>
        <w:rPr>
          <w:sz w:val="20"/>
          <w:szCs w:val="20"/>
          <w:color w:val="auto"/>
        </w:rPr>
      </w:pPr>
    </w:p>
    <w:p>
      <w:pPr>
        <w:ind w:left="704"/>
        <w:spacing w:after="0"/>
        <w:rPr>
          <w:sz w:val="20"/>
          <w:szCs w:val="20"/>
          <w:color w:val="auto"/>
        </w:rPr>
      </w:pPr>
      <w:r>
        <w:rPr>
          <w:rFonts w:ascii="Arial" w:cs="Arial" w:eastAsia="Arial" w:hAnsi="Arial"/>
          <w:sz w:val="22"/>
          <w:szCs w:val="22"/>
          <w:color w:val="auto"/>
        </w:rPr>
        <w:t>9.0%*</w:t>
      </w:r>
    </w:p>
    <w:p>
      <w:pPr>
        <w:spacing w:after="0" w:line="24" w:lineRule="exact"/>
        <w:rPr>
          <w:sz w:val="20"/>
          <w:szCs w:val="20"/>
          <w:color w:val="auto"/>
        </w:rPr>
      </w:pPr>
    </w:p>
    <w:p>
      <w:pPr>
        <w:ind w:left="704" w:hanging="547"/>
        <w:spacing w:after="0"/>
        <w:tabs>
          <w:tab w:leader="none" w:pos="704"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704"/>
        <w:spacing w:after="0"/>
        <w:rPr>
          <w:sz w:val="20"/>
          <w:szCs w:val="20"/>
          <w:color w:val="auto"/>
        </w:rPr>
      </w:pPr>
      <w:r>
        <w:rPr>
          <w:rFonts w:ascii="Arial" w:cs="Arial" w:eastAsia="Arial" w:hAnsi="Arial"/>
          <w:sz w:val="22"/>
          <w:szCs w:val="22"/>
          <w:color w:val="auto"/>
        </w:rPr>
        <w:t>CO</w:t>
      </w:r>
    </w:p>
    <w:p>
      <w:pPr>
        <w:spacing w:after="0" w:line="267" w:lineRule="exact"/>
        <w:rPr>
          <w:sz w:val="20"/>
          <w:szCs w:val="20"/>
          <w:color w:val="auto"/>
        </w:rPr>
      </w:pPr>
    </w:p>
    <w:p>
      <w:pPr>
        <w:ind w:left="424" w:hanging="424"/>
        <w:spacing w:after="0" w:line="263" w:lineRule="auto"/>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percentage is calculated based upon 24,493,084 outstanding shares of common stock, par value $0.001 per share, of the Issuer (the “</w:t>
      </w:r>
      <w:r>
        <w:rPr>
          <w:rFonts w:ascii="Arial" w:cs="Arial" w:eastAsia="Arial" w:hAnsi="Arial"/>
          <w:sz w:val="18"/>
          <w:szCs w:val="18"/>
          <w:b w:val="1"/>
          <w:bCs w:val="1"/>
          <w:i w:val="1"/>
          <w:i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as of November 2, 2020 disclosed by the Issuer in its Quarterly Report on Form 10-Q for the quarter ended September 30, 2020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Form 10-Q</w:t>
      </w:r>
      <w:r>
        <w:rPr>
          <w:rFonts w:ascii="Arial" w:cs="Arial" w:eastAsia="Arial" w:hAnsi="Arial"/>
          <w:sz w:val="18"/>
          <w:szCs w:val="18"/>
          <w:color w:val="auto"/>
        </w:rPr>
        <w:t>”) filed with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November 9, 2020.</w:t>
      </w:r>
    </w:p>
    <w:p>
      <w:pPr>
        <w:sectPr>
          <w:pgSz w:w="11900" w:h="16838" w:orient="portrait"/>
          <w:cols w:equalWidth="0" w:num="1">
            <w:col w:w="11004"/>
          </w:cols>
          <w:pgMar w:left="436" w:top="270" w:right="459" w:bottom="1440" w:gutter="0" w:footer="0" w:header="0"/>
          <w:type w:val="continuous"/>
        </w:sectPr>
      </w:pPr>
    </w:p>
    <w:bookmarkStart w:id="2" w:name="page3"/>
    <w:bookmarkEnd w:id="2"/>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117"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This Amendment No. 2 (“</w:t>
      </w:r>
      <w:r>
        <w:rPr>
          <w:rFonts w:ascii="Arial" w:cs="Arial" w:eastAsia="Arial" w:hAnsi="Arial"/>
          <w:sz w:val="18"/>
          <w:szCs w:val="18"/>
          <w:b w:val="1"/>
          <w:bCs w:val="1"/>
          <w:i w:val="1"/>
          <w:iCs w:val="1"/>
          <w:color w:val="auto"/>
        </w:rPr>
        <w:t>Amendment No. 2</w:t>
      </w:r>
      <w:r>
        <w:rPr>
          <w:rFonts w:ascii="Arial" w:cs="Arial" w:eastAsia="Arial" w:hAnsi="Arial"/>
          <w:sz w:val="18"/>
          <w:szCs w:val="18"/>
          <w:color w:val="auto"/>
        </w:rPr>
        <w:t>”) to Schedule 13D supplements and amends the statement on Schedule 13D of Ultragenyx Pharmaceutical Inc., a Delaware corporation (the “</w:t>
      </w:r>
      <w:r>
        <w:rPr>
          <w:rFonts w:ascii="Arial" w:cs="Arial" w:eastAsia="Arial" w:hAnsi="Arial"/>
          <w:sz w:val="18"/>
          <w:szCs w:val="18"/>
          <w:b w:val="1"/>
          <w:bCs w:val="1"/>
          <w:i w:val="1"/>
          <w:iCs w:val="1"/>
          <w:color w:val="auto"/>
        </w:rPr>
        <w:t>Reporting Person</w:t>
      </w:r>
      <w:r>
        <w:rPr>
          <w:rFonts w:ascii="Arial" w:cs="Arial" w:eastAsia="Arial" w:hAnsi="Arial"/>
          <w:sz w:val="18"/>
          <w:szCs w:val="18"/>
          <w:color w:val="auto"/>
        </w:rPr>
        <w:t>”) originally filed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on June 26, 2019, as amended by Amendment No. 1 to Schedule 13D filed with the SEC on May 22, 2020 (as amended, the “</w:t>
      </w:r>
      <w:r>
        <w:rPr>
          <w:rFonts w:ascii="Arial" w:cs="Arial" w:eastAsia="Arial" w:hAnsi="Arial"/>
          <w:sz w:val="18"/>
          <w:szCs w:val="18"/>
          <w:b w:val="1"/>
          <w:bCs w:val="1"/>
          <w:i w:val="1"/>
          <w:iCs w:val="1"/>
          <w:color w:val="auto"/>
        </w:rPr>
        <w:t>Schedule 13D</w:t>
      </w:r>
      <w:r>
        <w:rPr>
          <w:rFonts w:ascii="Arial" w:cs="Arial" w:eastAsia="Arial" w:hAnsi="Arial"/>
          <w:sz w:val="18"/>
          <w:szCs w:val="18"/>
          <w:color w:val="auto"/>
        </w:rPr>
        <w:t>”). Except as otherwise specified in this Amendment No. 2, all items in the Schedule 13D remain unchanged. All capitalized terms used herein and not otherwise defined have the meanings ascribed to such terms in the Schedule 13D.</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Reporting Person is filing this Amendment No. 2 to report the sale by the Reporting Person of 800,000 shares of Common Stock.</w:t>
      </w:r>
    </w:p>
    <w:p>
      <w:pPr>
        <w:spacing w:after="0" w:line="370"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121"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On December 8, 2020 and December 9, 2020, the Reporting Person sold an aggregate of 800,000 shares of Common Stock of the Issuer at a weighted average sale price of $100.81 per share.</w:t>
      </w:r>
    </w:p>
    <w:p>
      <w:pPr>
        <w:spacing w:after="0" w:line="315"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5 of the Schedule 13D is hereby amended and restated in its entirety to read:</w:t>
      </w:r>
    </w:p>
    <w:p>
      <w:pPr>
        <w:spacing w:after="0" w:line="225" w:lineRule="exact"/>
        <w:rPr>
          <w:sz w:val="20"/>
          <w:szCs w:val="20"/>
          <w:color w:val="auto"/>
        </w:rPr>
      </w:pPr>
    </w:p>
    <w:p>
      <w:pPr>
        <w:ind w:left="4" w:right="240"/>
        <w:spacing w:after="0" w:line="308" w:lineRule="auto"/>
        <w:rPr>
          <w:sz w:val="20"/>
          <w:szCs w:val="20"/>
          <w:color w:val="auto"/>
        </w:rPr>
      </w:pPr>
      <w:r>
        <w:rPr>
          <w:rFonts w:ascii="Arial" w:cs="Arial" w:eastAsia="Arial" w:hAnsi="Arial"/>
          <w:sz w:val="17"/>
          <w:szCs w:val="17"/>
          <w:color w:val="auto"/>
        </w:rPr>
        <w:t>With respect to the ownership described herein, the beneficial ownership and percentages are calculated based upon 24,493,084 outstanding shares of Common Stock as of November 2, 2020 disclosed by the Issuer in the Form 10-Q filed with the SEC on November 9, 2020.</w:t>
      </w:r>
    </w:p>
    <w:p>
      <w:pPr>
        <w:spacing w:after="0" w:line="52" w:lineRule="exact"/>
        <w:rPr>
          <w:sz w:val="20"/>
          <w:szCs w:val="20"/>
          <w:color w:val="auto"/>
        </w:rPr>
      </w:pPr>
    </w:p>
    <w:p>
      <w:pPr>
        <w:ind w:left="424" w:hanging="424"/>
        <w:spacing w:after="0" w:line="285" w:lineRule="auto"/>
        <w:tabs>
          <w:tab w:leader="none" w:pos="4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of the date hereof, the Reporting Person beneficially owns an aggregate of 2,200,000 shares of Common Stock, which represents 9.0% of the outstanding Common Stock as of November 2, 2020 based on the information disclosed by the Issuer in the Form 10-Q filed with the SEC on November 9, 2020. As of the date hereof, in accordance with the Issuer’s director compensation policy, the Issuer has granted to Karah Parschauer, the Executive Vice President and General Counsel of the Reporting Person and a director of the Issuer, options to purchase 50,000 shares of Common Stock, of which 41,250 are exercisable within 60 days of the date hereof, for her service as a director of the Issuer. As long as</w:t>
      </w:r>
    </w:p>
    <w:p>
      <w:pPr>
        <w:spacing w:after="0" w:line="1" w:lineRule="exact"/>
        <w:rPr>
          <w:rFonts w:ascii="Arial" w:cs="Arial" w:eastAsia="Arial" w:hAnsi="Arial"/>
          <w:sz w:val="16"/>
          <w:szCs w:val="16"/>
          <w:color w:val="auto"/>
        </w:rPr>
      </w:pPr>
    </w:p>
    <w:p>
      <w:pPr>
        <w:ind w:left="424" w:right="10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Ms. Parschauer remains a director of the Issuer, it is anticipated that she will continue to receive equity grants in accordance with the Issuer’s director compensation policy. Except as described in this Item 5, neither the Reporting Person nor, to the knowledge of the Reporting Person, any of the other persons listed on </w:t>
      </w:r>
      <w:r>
        <w:rPr>
          <w:rFonts w:ascii="Arial" w:cs="Arial" w:eastAsia="Arial" w:hAnsi="Arial"/>
          <w:sz w:val="18"/>
          <w:szCs w:val="18"/>
          <w:b w:val="1"/>
          <w:bCs w:val="1"/>
          <w:color w:val="auto"/>
        </w:rPr>
        <w:t>Schedule I</w:t>
      </w:r>
      <w:r>
        <w:rPr>
          <w:rFonts w:ascii="Arial" w:cs="Arial" w:eastAsia="Arial" w:hAnsi="Arial"/>
          <w:sz w:val="18"/>
          <w:szCs w:val="18"/>
          <w:color w:val="auto"/>
        </w:rPr>
        <w:t xml:space="preserve"> hereto beneficially owns any other securities of the Issuer.</w:t>
      </w:r>
    </w:p>
    <w:p>
      <w:pPr>
        <w:spacing w:after="0" w:line="95" w:lineRule="exact"/>
        <w:rPr>
          <w:rFonts w:ascii="Arial" w:cs="Arial" w:eastAsia="Arial" w:hAnsi="Arial"/>
          <w:sz w:val="16"/>
          <w:szCs w:val="16"/>
          <w:color w:val="auto"/>
        </w:rPr>
      </w:pPr>
    </w:p>
    <w:p>
      <w:pPr>
        <w:ind w:left="424" w:right="240" w:hanging="424"/>
        <w:spacing w:after="0" w:line="277"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the date hereof, the Reporting Person has the sole power to vote or direct the vote and sole power to dispose or to direct the disposition of 2,200,000 shares of Common Stock.</w:t>
      </w:r>
    </w:p>
    <w:p>
      <w:pPr>
        <w:spacing w:after="0" w:line="75" w:lineRule="exact"/>
        <w:rPr>
          <w:rFonts w:ascii="Arial" w:cs="Arial" w:eastAsia="Arial" w:hAnsi="Arial"/>
          <w:sz w:val="18"/>
          <w:szCs w:val="18"/>
          <w:color w:val="auto"/>
        </w:rPr>
      </w:pPr>
    </w:p>
    <w:p>
      <w:pPr>
        <w:ind w:left="424" w:right="40" w:hanging="424"/>
        <w:spacing w:after="0" w:line="342" w:lineRule="auto"/>
        <w:tabs>
          <w:tab w:leader="none" w:pos="4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Reference is Item 4 above. Except as set forth herein, neither the Reporting Person nor, to the knowledge of the Reporting Person, any of the other persons listed on </w:t>
      </w:r>
      <w:r>
        <w:rPr>
          <w:rFonts w:ascii="Arial" w:cs="Arial" w:eastAsia="Arial" w:hAnsi="Arial"/>
          <w:sz w:val="16"/>
          <w:szCs w:val="16"/>
          <w:b w:val="1"/>
          <w:bCs w:val="1"/>
          <w:color w:val="auto"/>
        </w:rPr>
        <w:t>Schedule I</w:t>
      </w:r>
      <w:r>
        <w:rPr>
          <w:rFonts w:ascii="Arial" w:cs="Arial" w:eastAsia="Arial" w:hAnsi="Arial"/>
          <w:sz w:val="16"/>
          <w:szCs w:val="16"/>
          <w:color w:val="auto"/>
        </w:rPr>
        <w:t xml:space="preserve"> hereto has effected any transactions in shares of the Issuer’s Common Stock during the last 60 days.</w:t>
      </w:r>
    </w:p>
    <w:p>
      <w:pPr>
        <w:spacing w:after="0" w:line="29" w:lineRule="exact"/>
        <w:rPr>
          <w:rFonts w:ascii="Arial" w:cs="Arial" w:eastAsia="Arial" w:hAnsi="Arial"/>
          <w:sz w:val="16"/>
          <w:szCs w:val="16"/>
          <w:color w:val="auto"/>
        </w:rPr>
      </w:pPr>
    </w:p>
    <w:p>
      <w:pPr>
        <w:ind w:left="424" w:right="80" w:hanging="424"/>
        <w:spacing w:after="0" w:line="277"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other person is known to the Reporting Person to have the right to receive or the power to direct the receipt of dividends from, or the proceeds from the sale of, the Common Stock covered by this Schedule 13D.</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004"/>
          </w:cols>
          <w:pgMar w:left="436" w:top="274" w:right="459" w:bottom="1440" w:gutter="0" w:footer="0" w:header="0"/>
        </w:sectPr>
      </w:pPr>
    </w:p>
    <w:bookmarkStart w:id="3" w:name="page4"/>
    <w:bookmarkEnd w:id="3"/>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229"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10,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ULTRAGENYX PHARMACEUTICAL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Karah Parschauer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Karah Parschauer</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Executive Vice President and General Counsel</w:t>
      </w:r>
    </w:p>
    <w:p>
      <w:pPr>
        <w:sectPr>
          <w:pgSz w:w="11900" w:h="16838" w:orient="portrait"/>
          <w:cols w:equalWidth="0" w:num="1">
            <w:col w:w="10560"/>
          </w:cols>
          <w:pgMar w:left="440" w:top="270" w:right="8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 THE REPORTING PERSON</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name, present principal occupation, principal business address and citizenship of each executive officer and director of the Reporting Person is set forth below. The business address of each executive officer and director of the Reporting Person is c/o Ultragenyx Pharmaceutical Inc., 60 Leveroni Court, Novato, CA 94949.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5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Principal Occupation</w:t>
            </w:r>
          </w:p>
        </w:tc>
        <w:tc>
          <w:tcPr>
            <w:tcW w:w="2200" w:type="dxa"/>
            <w:vAlign w:val="bottom"/>
            <w:gridSpan w:val="2"/>
          </w:tcPr>
          <w:p>
            <w:pPr>
              <w:ind w:left="100"/>
              <w:spacing w:after="0"/>
              <w:rPr>
                <w:sz w:val="20"/>
                <w:szCs w:val="20"/>
                <w:color w:val="auto"/>
              </w:rPr>
            </w:pPr>
            <w:r>
              <w:rPr>
                <w:rFonts w:ascii="Arial" w:cs="Arial" w:eastAsia="Arial" w:hAnsi="Arial"/>
                <w:sz w:val="14"/>
                <w:szCs w:val="14"/>
                <w:b w:val="1"/>
                <w:bCs w:val="1"/>
                <w:color w:val="auto"/>
              </w:rPr>
              <w:t>Citizenship</w:t>
            </w:r>
          </w:p>
        </w:tc>
      </w:tr>
      <w:tr>
        <w:trPr>
          <w:trHeight w:val="195"/>
        </w:trPr>
        <w:tc>
          <w:tcPr>
            <w:tcW w:w="2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i w:val="1"/>
                <w:iCs w:val="1"/>
                <w:color w:val="auto"/>
              </w:rPr>
              <w:t>Executive Officers</w:t>
            </w:r>
          </w:p>
        </w:tc>
        <w:tc>
          <w:tcPr>
            <w:tcW w:w="100" w:type="dxa"/>
            <w:vAlign w:val="bottom"/>
          </w:tcPr>
          <w:p>
            <w:pPr>
              <w:spacing w:after="0"/>
              <w:rPr>
                <w:sz w:val="16"/>
                <w:szCs w:val="16"/>
                <w:color w:val="auto"/>
              </w:rPr>
            </w:pPr>
          </w:p>
        </w:tc>
        <w:tc>
          <w:tcPr>
            <w:tcW w:w="5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Emil D. Kakkis, M.D., Ph.D.</w:t>
            </w: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w w:val="97"/>
              </w:rPr>
              <w:t>President and Chief Executive Officer and Director of the Reporting Person</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Camille L. Bedrosian, M.D.</w:t>
            </w: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w w:val="96"/>
              </w:rPr>
              <w:t>Chief Medical Officer and Executive Vice President of the Reporting Person</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Erik Harris</w:t>
            </w: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w w:val="91"/>
              </w:rPr>
              <w:t>Chief Commercial Officer and Executive Vice President of the Reporting Person</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Dennis Huang</w:t>
            </w: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rPr>
              <w:t>Chief Technical Operations Officer and Executive Vice President of the</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r>
        <w:trPr>
          <w:trHeight w:val="216"/>
        </w:trPr>
        <w:tc>
          <w:tcPr>
            <w:tcW w:w="2880" w:type="dxa"/>
            <w:vAlign w:val="bottom"/>
          </w:tcPr>
          <w:p>
            <w:pPr>
              <w:spacing w:after="0"/>
              <w:rPr>
                <w:sz w:val="18"/>
                <w:szCs w:val="18"/>
                <w:color w:val="auto"/>
              </w:rPr>
            </w:pP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rPr>
              <w:t>Reporting Person</w:t>
            </w: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Thomas Kassberg</w:t>
            </w: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w w:val="95"/>
              </w:rPr>
              <w:t>Chief Business Officer and Executive Vice President of the Reporting Person</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Karah Parschauer</w:t>
            </w: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rPr>
              <w:t>General Counsel and Executive Vice President of the Reporting Person</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John R. Pinion II</w:t>
            </w: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w w:val="92"/>
              </w:rPr>
              <w:t>Chief Quality Officer and Executive Vice President of Translational Sciences of</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r>
        <w:trPr>
          <w:trHeight w:val="216"/>
        </w:trPr>
        <w:tc>
          <w:tcPr>
            <w:tcW w:w="2880" w:type="dxa"/>
            <w:vAlign w:val="bottom"/>
          </w:tcPr>
          <w:p>
            <w:pPr>
              <w:spacing w:after="0"/>
              <w:rPr>
                <w:sz w:val="18"/>
                <w:szCs w:val="18"/>
                <w:color w:val="auto"/>
              </w:rPr>
            </w:pP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rPr>
              <w:t>the Reporting Person</w:t>
            </w: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Mardi C. Dier</w:t>
            </w: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w w:val="95"/>
              </w:rPr>
              <w:t>Chief Financial Officer and Executive Vice President of the Reporting Person</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r>
        <w:trPr>
          <w:trHeight w:val="216"/>
        </w:trPr>
        <w:tc>
          <w:tcPr>
            <w:tcW w:w="2880" w:type="dxa"/>
            <w:vAlign w:val="bottom"/>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William Aliski</w:t>
            </w: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rPr>
              <w:t>Biotechnology Executive</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Deborah Dunsire, M.D.</w:t>
            </w: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rPr>
              <w:t>President and Chief Executive Officer of H. Lundbeck A/S</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Lars Ekman, M.D., Ph.D.</w:t>
            </w: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rPr>
              <w:t>Executive Partner, Sofinnova Investments</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Matthew K. Fust</w:t>
            </w: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rPr>
              <w:t>Former Executive Vice President &amp; Chief Financial Officer, Onyx</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r>
        <w:trPr>
          <w:trHeight w:val="216"/>
        </w:trPr>
        <w:tc>
          <w:tcPr>
            <w:tcW w:w="2880" w:type="dxa"/>
            <w:vAlign w:val="bottom"/>
          </w:tcPr>
          <w:p>
            <w:pPr>
              <w:spacing w:after="0"/>
              <w:rPr>
                <w:sz w:val="18"/>
                <w:szCs w:val="18"/>
                <w:color w:val="auto"/>
              </w:rPr>
            </w:pP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rPr>
              <w:t>Pharmaceutical, Inc.</w:t>
            </w: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Michael Narachi</w:t>
            </w: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rPr>
              <w:t>President and Chief Executive Officer, CODA Biotherapeutics, Inc.</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Clay B. Siegall, Ph.D.</w:t>
            </w: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w w:val="99"/>
              </w:rPr>
              <w:t>President and Chief Executive Officer and Chairman of the Board, Seattle</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r>
        <w:trPr>
          <w:trHeight w:val="216"/>
        </w:trPr>
        <w:tc>
          <w:tcPr>
            <w:tcW w:w="2880" w:type="dxa"/>
            <w:vAlign w:val="bottom"/>
          </w:tcPr>
          <w:p>
            <w:pPr>
              <w:spacing w:after="0"/>
              <w:rPr>
                <w:sz w:val="18"/>
                <w:szCs w:val="18"/>
                <w:color w:val="auto"/>
              </w:rPr>
            </w:pP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rPr>
              <w:t>Genetics, Inc.</w:t>
            </w: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Shehnaaz Suliman, M.D., M.Phil.,</w:t>
            </w: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rPr>
              <w:t>President and Chief Operating Officer of Alector, Inc.</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M.B.A.</w:t>
            </w:r>
          </w:p>
        </w:tc>
        <w:tc>
          <w:tcPr>
            <w:tcW w:w="10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Daniel G. Welch</w:t>
            </w:r>
          </w:p>
        </w:tc>
        <w:tc>
          <w:tcPr>
            <w:tcW w:w="5940" w:type="dxa"/>
            <w:vAlign w:val="bottom"/>
            <w:gridSpan w:val="2"/>
          </w:tcPr>
          <w:p>
            <w:pPr>
              <w:ind w:left="100"/>
              <w:spacing w:after="0"/>
              <w:rPr>
                <w:sz w:val="20"/>
                <w:szCs w:val="20"/>
                <w:color w:val="auto"/>
              </w:rPr>
            </w:pPr>
            <w:r>
              <w:rPr>
                <w:rFonts w:ascii="Arial" w:cs="Arial" w:eastAsia="Arial" w:hAnsi="Arial"/>
                <w:sz w:val="18"/>
                <w:szCs w:val="18"/>
                <w:color w:val="auto"/>
              </w:rPr>
              <w:t>Chairman of the Board of Directors of the Reporting Person</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United States of America</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4"/>
      <w:numFmt w:val="bullet"/>
      <w:start w:val="1"/>
    </w:lvl>
  </w:abstractNum>
  <w:abstractNum w:abstractNumId="5">
    <w:nsid w:val="1190CDE7"/>
    <w:multiLevelType w:val="hybridMultilevel"/>
    <w:lvl w:ilvl="0">
      <w:lvlJc w:val="left"/>
      <w:lvlText w:val="5"/>
      <w:numFmt w:val="bullet"/>
      <w:start w:val="1"/>
    </w:lvl>
  </w:abstractNum>
  <w:abstractNum w:abstractNumId="6">
    <w:nsid w:val="66EF438D"/>
    <w:multiLevelType w:val="hybridMultilevel"/>
    <w:lvl w:ilvl="0">
      <w:lvlJc w:val="left"/>
      <w:lvlText w:val="6"/>
      <w:numFmt w:val="bullet"/>
      <w:start w:val="1"/>
    </w:lvl>
  </w:abstractNum>
  <w:abstractNum w:abstractNumId="7">
    <w:nsid w:val="140E0F76"/>
    <w:multiLevelType w:val="hybridMultilevel"/>
    <w:lvl w:ilvl="0">
      <w:lvlJc w:val="left"/>
      <w:lvlText w:val="7"/>
      <w:numFmt w:val="bullet"/>
      <w:start w:val="1"/>
    </w:lvl>
  </w:abstractNum>
  <w:abstractNum w:abstractNumId="8">
    <w:nsid w:val="3352255A"/>
    <w:multiLevelType w:val="hybridMultilevel"/>
    <w:lvl w:ilvl="0">
      <w:lvlJc w:val="left"/>
      <w:lvlText w:val="8"/>
      <w:numFmt w:val="bullet"/>
      <w:start w:val="1"/>
    </w:lvl>
  </w:abstractNum>
  <w:abstractNum w:abstractNumId="9">
    <w:nsid w:val="109CF92E"/>
    <w:multiLevelType w:val="hybridMultilevel"/>
    <w:lvl w:ilvl="0">
      <w:lvlJc w:val="left"/>
      <w:lvlText w:val="9"/>
      <w:numFmt w:val="bullet"/>
      <w:start w:val="1"/>
    </w:lvl>
  </w:abstractNum>
  <w:abstractNum w:abstractNumId="10">
    <w:nsid w:val="DED7263"/>
    <w:multiLevelType w:val="hybridMultilevel"/>
    <w:lvl w:ilvl="0">
      <w:lvlJc w:val="left"/>
      <w:lvlText w:val="%1"/>
      <w:numFmt w:val="decimal"/>
      <w:start w:val="10"/>
    </w:lvl>
  </w:abstractNum>
  <w:abstractNum w:abstractNumId="11">
    <w:nsid w:val="7FDCC233"/>
    <w:multiLevelType w:val="hybridMultilevel"/>
    <w:lvl w:ilvl="0">
      <w:lvlJc w:val="left"/>
      <w:lvlText w:val="%1"/>
      <w:numFmt w:val="decimal"/>
      <w:start w:val="11"/>
    </w:lvl>
  </w:abstractNum>
  <w:abstractNum w:abstractNumId="12">
    <w:nsid w:val="1BEFD79F"/>
    <w:multiLevelType w:val="hybridMultilevel"/>
    <w:lvl w:ilvl="0">
      <w:lvlJc w:val="left"/>
      <w:lvlText w:val="%1"/>
      <w:numFmt w:val="decimal"/>
      <w:start w:val="12"/>
    </w:lvl>
  </w:abstractNum>
  <w:abstractNum w:abstractNumId="13">
    <w:nsid w:val="41A7C4C9"/>
    <w:multiLevelType w:val="hybridMultilevel"/>
    <w:lvl w:ilvl="0">
      <w:lvlJc w:val="left"/>
      <w:lvlText w:val="%1"/>
      <w:numFmt w:val="decimal"/>
      <w:start w:val="13"/>
    </w:lvl>
  </w:abstractNum>
  <w:abstractNum w:abstractNumId="14">
    <w:nsid w:val="6B68079A"/>
    <w:multiLevelType w:val="hybridMultilevel"/>
    <w:lvl w:ilvl="0">
      <w:lvlJc w:val="left"/>
      <w:lvlText w:val="%1"/>
      <w:numFmt w:val="decimal"/>
      <w:start w:val="14"/>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2020-12-10T15:52:58Z</dcterms:created>
  <dcterms:modified xsi:type="dcterms:W3CDTF">2020-12-10T15:52:58Z</dcterms:modified>
</cp:coreProperties>
</file>