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ARCTURUS THERAPEUTICS HOLDINGS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03969T109</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Karah Parschauer</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Executive Vice President, General Counsel</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Ultragenyx Pharmaceutical Inc.</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60 Leveroni Court</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Novato, CA 94949</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(415) 475-6583</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October 21,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4"/>
          <w:szCs w:val="24"/>
          <w:color w:val="auto"/>
        </w:rPr>
      </w:pPr>
    </w:p>
    <w:p>
      <w:pPr>
        <w:ind w:left="4" w:right="14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240.13d-7(b)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0"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No. 03969T109 13D Page 2 of 5</w:t>
      </w:r>
    </w:p>
    <w:p>
      <w:pPr>
        <w:spacing w:after="0" w:line="270" w:lineRule="exact"/>
        <w:rPr>
          <w:sz w:val="20"/>
          <w:szCs w:val="20"/>
          <w:color w:val="auto"/>
        </w:rPr>
      </w:pPr>
    </w:p>
    <w:p>
      <w:pPr>
        <w:ind w:left="640" w:hanging="39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858000" cy="6386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00" cy="6386195"/>
                    </a:xfrm>
                    <a:prstGeom prst="rect">
                      <a:avLst/>
                    </a:prstGeom>
                    <a:noFill/>
                  </pic:spPr>
                </pic:pic>
              </a:graphicData>
            </a:graphic>
          </wp:anchor>
        </w:drawing>
      </w:r>
    </w:p>
    <w:p>
      <w:pPr>
        <w:spacing w:after="0" w:line="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I.R.S. IDENTIFICATION NOS. OF ABOVE PERSONS (ENTITIES ONLY)</w:t>
      </w:r>
    </w:p>
    <w:p>
      <w:pPr>
        <w:spacing w:after="0" w:line="2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Ultragenyx Pharmaceutical Inc.</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27-2546083</w:t>
      </w:r>
    </w:p>
    <w:p>
      <w:pPr>
        <w:spacing w:after="0" w:line="22" w:lineRule="exact"/>
        <w:rPr>
          <w:sz w:val="20"/>
          <w:szCs w:val="20"/>
          <w:color w:val="auto"/>
        </w:rPr>
      </w:pPr>
    </w:p>
    <w:p>
      <w:pPr>
        <w:ind w:left="600" w:hanging="357"/>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0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00" w:hanging="357"/>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00" w:hanging="357"/>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00" w:hanging="357"/>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0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00" w:hanging="357"/>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4"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Borders>
              <w:bottom w:val="single" w:sz="8" w:color="auto"/>
            </w:tcBorders>
          </w:tcPr>
          <w:p>
            <w:pPr>
              <w:spacing w:after="0"/>
              <w:rPr>
                <w:sz w:val="21"/>
                <w:szCs w:val="21"/>
                <w:color w:val="auto"/>
              </w:rPr>
            </w:pPr>
          </w:p>
        </w:tc>
        <w:tc>
          <w:tcPr>
            <w:tcW w:w="88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1,200,000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884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tcPr>
          <w:p>
            <w:pPr>
              <w:spacing w:after="0"/>
              <w:rPr>
                <w:sz w:val="18"/>
                <w:szCs w:val="18"/>
                <w:color w:val="auto"/>
              </w:rPr>
            </w:pPr>
          </w:p>
        </w:tc>
        <w:tc>
          <w:tcPr>
            <w:tcW w:w="88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60" w:type="dxa"/>
            <w:vAlign w:val="bottom"/>
          </w:tcPr>
          <w:p>
            <w:pPr>
              <w:jc w:val="right"/>
              <w:ind w:right="70"/>
              <w:spacing w:after="0" w:line="182" w:lineRule="exact"/>
              <w:rPr>
                <w:sz w:val="20"/>
                <w:szCs w:val="20"/>
                <w:color w:val="auto"/>
              </w:rPr>
            </w:pPr>
            <w:r>
              <w:rPr>
                <w:rFonts w:ascii="Arial" w:cs="Arial" w:eastAsia="Arial" w:hAnsi="Arial"/>
                <w:sz w:val="18"/>
                <w:szCs w:val="18"/>
                <w:color w:val="auto"/>
              </w:rPr>
              <w:t>9</w:t>
            </w:r>
          </w:p>
        </w:tc>
        <w:tc>
          <w:tcPr>
            <w:tcW w:w="884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840" w:type="dxa"/>
            <w:vAlign w:val="bottom"/>
          </w:tcPr>
          <w:p>
            <w:pPr>
              <w:ind w:left="160"/>
              <w:spacing w:after="0"/>
              <w:rPr>
                <w:sz w:val="20"/>
                <w:szCs w:val="20"/>
                <w:color w:val="auto"/>
              </w:rPr>
            </w:pPr>
            <w:r>
              <w:rPr>
                <w:rFonts w:ascii="Arial" w:cs="Arial" w:eastAsia="Arial" w:hAnsi="Arial"/>
                <w:sz w:val="18"/>
                <w:szCs w:val="18"/>
                <w:color w:val="auto"/>
              </w:rPr>
              <w:t>1,200,000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5"/>
                <w:szCs w:val="5"/>
                <w:color w:val="auto"/>
              </w:rPr>
            </w:pPr>
          </w:p>
        </w:tc>
        <w:tc>
          <w:tcPr>
            <w:tcW w:w="8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10</w:t>
            </w:r>
          </w:p>
        </w:tc>
        <w:tc>
          <w:tcPr>
            <w:tcW w:w="88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00" w:right="3860" w:hanging="447"/>
        <w:spacing w:after="0" w:line="406" w:lineRule="auto"/>
        <w:tabs>
          <w:tab w:leader="none" w:pos="590"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1,200,000</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00" w:hanging="447"/>
        <w:spacing w:after="0"/>
        <w:tabs>
          <w:tab w:leader="none" w:pos="6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4.6%*</w:t>
      </w:r>
    </w:p>
    <w:p>
      <w:pPr>
        <w:spacing w:after="0" w:line="36" w:lineRule="exact"/>
        <w:rPr>
          <w:rFonts w:ascii="Arial" w:cs="Arial" w:eastAsia="Arial" w:hAnsi="Arial"/>
          <w:sz w:val="18"/>
          <w:szCs w:val="18"/>
          <w:color w:val="auto"/>
        </w:rPr>
      </w:pPr>
    </w:p>
    <w:p>
      <w:pPr>
        <w:ind w:left="600" w:hanging="447"/>
        <w:spacing w:after="0"/>
        <w:tabs>
          <w:tab w:leader="none" w:pos="6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79" w:lineRule="exact"/>
        <w:rPr>
          <w:rFonts w:ascii="Arial" w:cs="Arial" w:eastAsia="Arial" w:hAnsi="Arial"/>
          <w:sz w:val="18"/>
          <w:szCs w:val="18"/>
          <w:color w:val="auto"/>
        </w:rPr>
      </w:pPr>
    </w:p>
    <w:p>
      <w:pPr>
        <w:ind w:left="420" w:hanging="432"/>
        <w:spacing w:after="0" w:line="263" w:lineRule="auto"/>
        <w:rPr>
          <w:rFonts w:ascii="Arial" w:cs="Arial" w:eastAsia="Arial" w:hAnsi="Arial"/>
          <w:sz w:val="18"/>
          <w:szCs w:val="18"/>
          <w:color w:val="auto"/>
        </w:rPr>
      </w:pPr>
      <w:r>
        <w:rPr>
          <w:rFonts w:ascii="Arial" w:cs="Arial" w:eastAsia="Arial" w:hAnsi="Arial"/>
          <w:sz w:val="18"/>
          <w:szCs w:val="18"/>
          <w:color w:val="auto"/>
        </w:rPr>
        <w:t>*This percentage is calculated based upon 26,327,077 outstanding shares of common stock, par value $0.001 per share, of the Issuer (the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as of August 5, 2021 disclosed by the Issuer in its Quarterly Report on Form 10-Q for the quarter ended June 30, 2021 (the “</w:t>
      </w:r>
      <w:r>
        <w:rPr>
          <w:rFonts w:ascii="Arial" w:cs="Arial" w:eastAsia="Arial" w:hAnsi="Arial"/>
          <w:sz w:val="18"/>
          <w:szCs w:val="18"/>
          <w:b w:val="1"/>
          <w:bCs w:val="1"/>
          <w:i w:val="1"/>
          <w:iCs w:val="1"/>
          <w:color w:val="auto"/>
        </w:rPr>
        <w:t>Form 10-Q</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filed with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August 10, 2021.</w:t>
      </w:r>
    </w:p>
    <w:p>
      <w:pPr>
        <w:sectPr>
          <w:pgSz w:w="11900" w:h="16838" w:orient="portrait"/>
          <w:cols w:equalWidth="0" w:num="1">
            <w:col w:w="11000"/>
          </w:cols>
          <w:pgMar w:left="440" w:top="270"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117"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This Amendment No. 4 (“</w:t>
      </w:r>
      <w:r>
        <w:rPr>
          <w:rFonts w:ascii="Arial" w:cs="Arial" w:eastAsia="Arial" w:hAnsi="Arial"/>
          <w:sz w:val="18"/>
          <w:szCs w:val="18"/>
          <w:b w:val="1"/>
          <w:bCs w:val="1"/>
          <w:i w:val="1"/>
          <w:iCs w:val="1"/>
          <w:color w:val="auto"/>
        </w:rPr>
        <w:t>Amendment No. 4</w:t>
      </w:r>
      <w:r>
        <w:rPr>
          <w:rFonts w:ascii="Arial" w:cs="Arial" w:eastAsia="Arial" w:hAnsi="Arial"/>
          <w:sz w:val="18"/>
          <w:szCs w:val="18"/>
          <w:color w:val="auto"/>
        </w:rPr>
        <w:t>”) to Schedule 13D supplements and amends the statement on Schedule 13D of Ultragenyx Pharmaceutical Inc., a Delaware corporation (the “</w:t>
      </w:r>
      <w:r>
        <w:rPr>
          <w:rFonts w:ascii="Arial" w:cs="Arial" w:eastAsia="Arial" w:hAnsi="Arial"/>
          <w:sz w:val="18"/>
          <w:szCs w:val="18"/>
          <w:b w:val="1"/>
          <w:bCs w:val="1"/>
          <w:i w:val="1"/>
          <w:iCs w:val="1"/>
          <w:color w:val="auto"/>
        </w:rPr>
        <w:t>Reporting Person</w:t>
      </w:r>
      <w:r>
        <w:rPr>
          <w:rFonts w:ascii="Arial" w:cs="Arial" w:eastAsia="Arial" w:hAnsi="Arial"/>
          <w:sz w:val="18"/>
          <w:szCs w:val="18"/>
          <w:color w:val="auto"/>
        </w:rPr>
        <w:t>”), originally filed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June 26, 2019, as amended by Amendment No. 1 to Schedule 13D filed with the SEC on May 22, 2020, Amendment No. 2 to Schedule 13D filed with the SEC on December 10, 2020 and Amendment No. 3 to Schedule 13D filed with the SEC on August 12, 2021 (as amended, the “</w:t>
      </w:r>
      <w:r>
        <w:rPr>
          <w:rFonts w:ascii="Arial" w:cs="Arial" w:eastAsia="Arial" w:hAnsi="Arial"/>
          <w:sz w:val="18"/>
          <w:szCs w:val="18"/>
          <w:b w:val="1"/>
          <w:bCs w:val="1"/>
          <w:i w:val="1"/>
          <w:iCs w:val="1"/>
          <w:color w:val="auto"/>
        </w:rPr>
        <w:t>Schedule 13D</w:t>
      </w:r>
      <w:r>
        <w:rPr>
          <w:rFonts w:ascii="Arial" w:cs="Arial" w:eastAsia="Arial" w:hAnsi="Arial"/>
          <w:sz w:val="18"/>
          <w:szCs w:val="18"/>
          <w:color w:val="auto"/>
        </w:rPr>
        <w:t>”). Except as otherwise specified in this Amendment No. 3, all items in the Schedule 13D remain unchanged. All capitalized terms used herein and not otherwise defined have the meanings ascribed to such terms in the Schedule 13D.</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Reporting Person is filing this Amendment No. 4 to report the sale by the Reporting Person of 200,000 shares of Common Stock.</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From October 19, 2021 through October 25, 2021 the Reporting Person sold an aggregate of 200,000 shares of Common Stock of the Issuer at a weighted average sale price of $44.52 per share.</w:t>
      </w:r>
    </w:p>
    <w:p>
      <w:pPr>
        <w:spacing w:after="0" w:line="31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5 of the Schedule 13D is hereby amended and restated in its entirety to read:</w:t>
      </w:r>
    </w:p>
    <w:p>
      <w:pPr>
        <w:spacing w:after="0" w:line="225" w:lineRule="exact"/>
        <w:rPr>
          <w:sz w:val="20"/>
          <w:szCs w:val="20"/>
          <w:color w:val="auto"/>
        </w:rPr>
      </w:pPr>
    </w:p>
    <w:p>
      <w:pPr>
        <w:ind w:left="4" w:right="200"/>
        <w:spacing w:after="0" w:line="308" w:lineRule="auto"/>
        <w:rPr>
          <w:sz w:val="20"/>
          <w:szCs w:val="20"/>
          <w:color w:val="auto"/>
        </w:rPr>
      </w:pPr>
      <w:r>
        <w:rPr>
          <w:rFonts w:ascii="Arial" w:cs="Arial" w:eastAsia="Arial" w:hAnsi="Arial"/>
          <w:sz w:val="17"/>
          <w:szCs w:val="17"/>
          <w:color w:val="auto"/>
        </w:rPr>
        <w:t>With respect to the ownership described herein, the beneficial ownership and percentages are calculated based upon 26,327,077 outstanding shares of Common Stock as of August 5, 2021 disclosed by the Issuer in the Form 10-Q filed with the SEC on August 10, 2021.</w:t>
      </w:r>
    </w:p>
    <w:p>
      <w:pPr>
        <w:spacing w:after="0" w:line="52" w:lineRule="exact"/>
        <w:rPr>
          <w:sz w:val="20"/>
          <w:szCs w:val="20"/>
          <w:color w:val="auto"/>
        </w:rPr>
      </w:pPr>
    </w:p>
    <w:p>
      <w:pPr>
        <w:ind w:left="424" w:hanging="424"/>
        <w:spacing w:after="0" w:line="291"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As of the date hereof, the Reporting Person beneficially owns an aggregate of 1,200,000 shares of Common Stock, which represents 4.6% of the outstanding Common Stock as of August 5, 2021 based on the information disclosed by the Issuer in the Form 10-Q filed with the SEC on August 10, 2021. As of the date hereof, in accordance with the Issuer’s director compensation policy, the Issuer previously granted to Karah Parschauer, the Executive Vice President and General Counsel of the Reporting Person and former director of the Issuer, options to purchase 65,000 shares of Common Stock, of which 45,833 are exercisable within 60 days of the date hereof, for her service as a director of the Issuer. Ms. Parschauer resigned as a director of the Issuer on August 25, 2021. Except as described in this Item 5, neither the Reporting Person nor, to the knowledge of the Reporting Person, any of the other persons listed on </w:t>
      </w:r>
      <w:r>
        <w:rPr>
          <w:rFonts w:ascii="Arial" w:cs="Arial" w:eastAsia="Arial" w:hAnsi="Arial"/>
          <w:sz w:val="16"/>
          <w:szCs w:val="16"/>
          <w:b w:val="1"/>
          <w:bCs w:val="1"/>
          <w:color w:val="auto"/>
        </w:rPr>
        <w:t>Schedule I</w:t>
      </w:r>
      <w:r>
        <w:rPr>
          <w:rFonts w:ascii="Arial" w:cs="Arial" w:eastAsia="Arial" w:hAnsi="Arial"/>
          <w:sz w:val="16"/>
          <w:szCs w:val="16"/>
          <w:color w:val="auto"/>
        </w:rPr>
        <w:t xml:space="preserve"> hereto beneficially owns any other securities of the Issuer.</w:t>
      </w:r>
    </w:p>
    <w:p>
      <w:pPr>
        <w:spacing w:after="0" w:line="71" w:lineRule="exact"/>
        <w:rPr>
          <w:rFonts w:ascii="Arial" w:cs="Arial" w:eastAsia="Arial" w:hAnsi="Arial"/>
          <w:sz w:val="16"/>
          <w:szCs w:val="16"/>
          <w:color w:val="auto"/>
        </w:rPr>
      </w:pPr>
    </w:p>
    <w:p>
      <w:pPr>
        <w:ind w:left="424" w:right="20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the date hereof, the Reporting Person has the sole power to vote or direct the vote and sole power to dispose or to direct the disposition of the 1,200,000 shares of Common Stock.</w:t>
      </w:r>
    </w:p>
    <w:p>
      <w:pPr>
        <w:spacing w:after="0" w:line="75" w:lineRule="exact"/>
        <w:rPr>
          <w:rFonts w:ascii="Arial" w:cs="Arial" w:eastAsia="Arial" w:hAnsi="Arial"/>
          <w:sz w:val="18"/>
          <w:szCs w:val="18"/>
          <w:color w:val="auto"/>
        </w:rPr>
      </w:pPr>
    </w:p>
    <w:p>
      <w:pPr>
        <w:ind w:left="424" w:hanging="424"/>
        <w:spacing w:after="0" w:line="342"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Reference is Item 4 above. Except as set forth herein, neither the Reporting Person nor, to the knowledge of the Reporting Person, any of the other persons listed on </w:t>
      </w:r>
      <w:r>
        <w:rPr>
          <w:rFonts w:ascii="Arial" w:cs="Arial" w:eastAsia="Arial" w:hAnsi="Arial"/>
          <w:sz w:val="16"/>
          <w:szCs w:val="16"/>
          <w:b w:val="1"/>
          <w:bCs w:val="1"/>
          <w:color w:val="auto"/>
        </w:rPr>
        <w:t>Schedule I</w:t>
      </w:r>
      <w:r>
        <w:rPr>
          <w:rFonts w:ascii="Arial" w:cs="Arial" w:eastAsia="Arial" w:hAnsi="Arial"/>
          <w:sz w:val="16"/>
          <w:szCs w:val="16"/>
          <w:color w:val="auto"/>
        </w:rPr>
        <w:t xml:space="preserve"> hereto has effected any transactions in shares of the Issuer’s Common Stock during the last 60 days.</w:t>
      </w:r>
    </w:p>
    <w:p>
      <w:pPr>
        <w:spacing w:after="0" w:line="29" w:lineRule="exact"/>
        <w:rPr>
          <w:rFonts w:ascii="Arial" w:cs="Arial" w:eastAsia="Arial" w:hAnsi="Arial"/>
          <w:sz w:val="16"/>
          <w:szCs w:val="16"/>
          <w:color w:val="auto"/>
        </w:rPr>
      </w:pPr>
    </w:p>
    <w:p>
      <w:pPr>
        <w:ind w:left="424" w:right="4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other person is known to the Reporting Person to have the right to receive or the power to direct the receipt of dividends from, or the proceeds from the sale of, the Common Stock covered by this Schedule 13D.</w:t>
      </w:r>
    </w:p>
    <w:p>
      <w:pPr>
        <w:spacing w:after="0" w:line="75" w:lineRule="exact"/>
        <w:rPr>
          <w:rFonts w:ascii="Arial" w:cs="Arial" w:eastAsia="Arial" w:hAnsi="Arial"/>
          <w:sz w:val="18"/>
          <w:szCs w:val="18"/>
          <w:color w:val="auto"/>
        </w:rPr>
      </w:pPr>
    </w:p>
    <w:p>
      <w:pPr>
        <w:jc w:val="both"/>
        <w:ind w:left="424" w:right="18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October 21, 2021, the Reporting Person ceased to be ceased to be a beneficial owner of more than 5% of the outstanding shares of Common Stock of the Issuer (based upon 26,327,077 outstanding shares of Common Stock as of August 5, 2021 disclosed by the Issuer in its Form 10-Q filed with the SEC on August 10, 2021).</w:t>
      </w:r>
    </w:p>
    <w:p>
      <w:pPr>
        <w:sectPr>
          <w:pgSz w:w="11900" w:h="16838" w:orient="portrait"/>
          <w:cols w:equalWidth="0" w:num="1">
            <w:col w:w="10964"/>
          </w:cols>
          <w:pgMar w:left="436" w:top="274" w:right="499" w:bottom="1440" w:gutter="0" w:footer="0" w:header="0"/>
        </w:sectPr>
      </w:pPr>
    </w:p>
    <w:bookmarkStart w:id="3" w:name="page4"/>
    <w:bookmarkEnd w:id="3"/>
    <w:p>
      <w:pPr>
        <w:jc w:val="center"/>
        <w:ind w:right="-5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ULTRAGENYX PHARMACEUTICAL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Mardi C. Dier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Executive Vice President and Chief</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0440"/>
          </w:cols>
          <w:pgMar w:left="440" w:top="270" w:right="10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THE REPORTING PERSON</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name, present principal occupation, principal business address and citizenship of each executive officer and director of the Reporting Person is set forth below. The business address of each executive officer and director of the Reporting Person is c/o Ultragenyx Pharmaceutical Inc., 60 Leveroni Court, Novato, CA 94949.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180" w:type="dxa"/>
            <w:vAlign w:val="bottom"/>
          </w:tcPr>
          <w:p>
            <w:pPr>
              <w:spacing w:after="0"/>
              <w:rPr>
                <w:sz w:val="16"/>
                <w:szCs w:val="16"/>
                <w:color w:val="auto"/>
              </w:rPr>
            </w:pPr>
          </w:p>
        </w:tc>
        <w:tc>
          <w:tcPr>
            <w:tcW w:w="494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Principal Occupation</w:t>
            </w:r>
          </w:p>
        </w:tc>
        <w:tc>
          <w:tcPr>
            <w:tcW w:w="120" w:type="dxa"/>
            <w:vAlign w:val="bottom"/>
          </w:tcPr>
          <w:p>
            <w:pPr>
              <w:spacing w:after="0"/>
              <w:rPr>
                <w:sz w:val="16"/>
                <w:szCs w:val="16"/>
                <w:color w:val="auto"/>
              </w:rPr>
            </w:pPr>
          </w:p>
        </w:tc>
        <w:tc>
          <w:tcPr>
            <w:tcW w:w="24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Citizenship</w:t>
            </w:r>
          </w:p>
        </w:tc>
      </w:tr>
      <w:tr>
        <w:trPr>
          <w:trHeight w:val="204"/>
        </w:trPr>
        <w:tc>
          <w:tcPr>
            <w:tcW w:w="3540" w:type="dxa"/>
            <w:vAlign w:val="bottom"/>
            <w:gridSpan w:val="2"/>
          </w:tcPr>
          <w:p>
            <w:pPr>
              <w:spacing w:after="0" w:line="204" w:lineRule="exact"/>
              <w:rPr>
                <w:sz w:val="20"/>
                <w:szCs w:val="20"/>
                <w:color w:val="auto"/>
              </w:rPr>
            </w:pPr>
            <w:r>
              <w:rPr>
                <w:rFonts w:ascii="Arial" w:cs="Arial" w:eastAsia="Arial" w:hAnsi="Arial"/>
                <w:sz w:val="18"/>
                <w:szCs w:val="18"/>
                <w:b w:val="1"/>
                <w:bCs w:val="1"/>
                <w:i w:val="1"/>
                <w:iCs w:val="1"/>
                <w:color w:val="auto"/>
              </w:rPr>
              <w:t>Executive Officers</w:t>
            </w:r>
          </w:p>
        </w:tc>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95"/>
        </w:trPr>
        <w:tc>
          <w:tcPr>
            <w:tcW w:w="3540" w:type="dxa"/>
            <w:vAlign w:val="bottom"/>
            <w:gridSpan w:val="2"/>
          </w:tcPr>
          <w:p>
            <w:pPr>
              <w:spacing w:after="0"/>
              <w:rPr>
                <w:sz w:val="20"/>
                <w:szCs w:val="20"/>
                <w:color w:val="auto"/>
              </w:rPr>
            </w:pPr>
            <w:r>
              <w:rPr>
                <w:rFonts w:ascii="Arial" w:cs="Arial" w:eastAsia="Arial" w:hAnsi="Arial"/>
                <w:sz w:val="18"/>
                <w:szCs w:val="18"/>
                <w:color w:val="auto"/>
              </w:rPr>
              <w:t>Emil D. Kakkis, M.D., Ph.D.</w:t>
            </w:r>
          </w:p>
        </w:tc>
        <w:tc>
          <w:tcPr>
            <w:tcW w:w="4940" w:type="dxa"/>
            <w:vAlign w:val="bottom"/>
          </w:tcPr>
          <w:p>
            <w:pPr>
              <w:spacing w:after="0"/>
              <w:rPr>
                <w:sz w:val="20"/>
                <w:szCs w:val="20"/>
                <w:color w:val="auto"/>
              </w:rPr>
            </w:pPr>
            <w:r>
              <w:rPr>
                <w:rFonts w:ascii="Arial" w:cs="Arial" w:eastAsia="Arial" w:hAnsi="Arial"/>
                <w:sz w:val="18"/>
                <w:szCs w:val="18"/>
                <w:color w:val="auto"/>
                <w:w w:val="91"/>
              </w:rPr>
              <w:t>President and Chief Executive Officer and Director of the Reporting</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30"/>
        </w:trPr>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Person</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10"/>
        </w:trPr>
        <w:tc>
          <w:tcPr>
            <w:tcW w:w="3540" w:type="dxa"/>
            <w:vAlign w:val="bottom"/>
            <w:gridSpan w:val="2"/>
          </w:tcPr>
          <w:p>
            <w:pPr>
              <w:spacing w:after="0"/>
              <w:rPr>
                <w:sz w:val="20"/>
                <w:szCs w:val="20"/>
                <w:color w:val="auto"/>
              </w:rPr>
            </w:pPr>
            <w:r>
              <w:rPr>
                <w:rFonts w:ascii="Arial" w:cs="Arial" w:eastAsia="Arial" w:hAnsi="Arial"/>
                <w:sz w:val="18"/>
                <w:szCs w:val="18"/>
                <w:color w:val="auto"/>
              </w:rPr>
              <w:t>Camille L. Bedrosian, M.D.</w:t>
            </w:r>
          </w:p>
        </w:tc>
        <w:tc>
          <w:tcPr>
            <w:tcW w:w="4940" w:type="dxa"/>
            <w:vAlign w:val="bottom"/>
          </w:tcPr>
          <w:p>
            <w:pPr>
              <w:spacing w:after="0"/>
              <w:rPr>
                <w:sz w:val="20"/>
                <w:szCs w:val="20"/>
                <w:color w:val="auto"/>
              </w:rPr>
            </w:pPr>
            <w:r>
              <w:rPr>
                <w:rFonts w:ascii="Arial" w:cs="Arial" w:eastAsia="Arial" w:hAnsi="Arial"/>
                <w:sz w:val="18"/>
                <w:szCs w:val="18"/>
                <w:color w:val="auto"/>
              </w:rPr>
              <w:t>Chief Medical Officer and Executive Vice President of the</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30"/>
        </w:trPr>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Reporting Person</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10"/>
        </w:trPr>
        <w:tc>
          <w:tcPr>
            <w:tcW w:w="3540" w:type="dxa"/>
            <w:vAlign w:val="bottom"/>
            <w:gridSpan w:val="2"/>
          </w:tcPr>
          <w:p>
            <w:pPr>
              <w:spacing w:after="0"/>
              <w:rPr>
                <w:sz w:val="20"/>
                <w:szCs w:val="20"/>
                <w:color w:val="auto"/>
              </w:rPr>
            </w:pPr>
            <w:r>
              <w:rPr>
                <w:rFonts w:ascii="Arial" w:cs="Arial" w:eastAsia="Arial" w:hAnsi="Arial"/>
                <w:sz w:val="18"/>
                <w:szCs w:val="18"/>
                <w:color w:val="auto"/>
              </w:rPr>
              <w:t>Mardi C. Dier</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 and Executive Vice President of the</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30"/>
        </w:trPr>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Reporting Person</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10"/>
        </w:trPr>
        <w:tc>
          <w:tcPr>
            <w:tcW w:w="3540" w:type="dxa"/>
            <w:vAlign w:val="bottom"/>
            <w:gridSpan w:val="2"/>
          </w:tcPr>
          <w:p>
            <w:pPr>
              <w:spacing w:after="0"/>
              <w:rPr>
                <w:sz w:val="20"/>
                <w:szCs w:val="20"/>
                <w:color w:val="auto"/>
              </w:rPr>
            </w:pPr>
            <w:r>
              <w:rPr>
                <w:rFonts w:ascii="Arial" w:cs="Arial" w:eastAsia="Arial" w:hAnsi="Arial"/>
                <w:sz w:val="18"/>
                <w:szCs w:val="18"/>
                <w:color w:val="auto"/>
              </w:rPr>
              <w:t>Erik Harris</w:t>
            </w:r>
          </w:p>
        </w:tc>
        <w:tc>
          <w:tcPr>
            <w:tcW w:w="4940" w:type="dxa"/>
            <w:vAlign w:val="bottom"/>
          </w:tcPr>
          <w:p>
            <w:pPr>
              <w:spacing w:after="0"/>
              <w:rPr>
                <w:sz w:val="20"/>
                <w:szCs w:val="20"/>
                <w:color w:val="auto"/>
              </w:rPr>
            </w:pPr>
            <w:r>
              <w:rPr>
                <w:rFonts w:ascii="Arial" w:cs="Arial" w:eastAsia="Arial" w:hAnsi="Arial"/>
                <w:sz w:val="18"/>
                <w:szCs w:val="18"/>
                <w:color w:val="auto"/>
              </w:rPr>
              <w:t>Chief Commercial Officer and Executive Vice President of the</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30"/>
        </w:trPr>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Reporting Person</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10"/>
        </w:trPr>
        <w:tc>
          <w:tcPr>
            <w:tcW w:w="3540" w:type="dxa"/>
            <w:vAlign w:val="bottom"/>
            <w:gridSpan w:val="2"/>
          </w:tcPr>
          <w:p>
            <w:pPr>
              <w:spacing w:after="0"/>
              <w:rPr>
                <w:sz w:val="20"/>
                <w:szCs w:val="20"/>
                <w:color w:val="auto"/>
              </w:rPr>
            </w:pPr>
            <w:r>
              <w:rPr>
                <w:rFonts w:ascii="Arial" w:cs="Arial" w:eastAsia="Arial" w:hAnsi="Arial"/>
                <w:sz w:val="18"/>
                <w:szCs w:val="18"/>
                <w:color w:val="auto"/>
              </w:rPr>
              <w:t>Dennis Huang</w:t>
            </w:r>
          </w:p>
        </w:tc>
        <w:tc>
          <w:tcPr>
            <w:tcW w:w="4940" w:type="dxa"/>
            <w:vAlign w:val="bottom"/>
          </w:tcPr>
          <w:p>
            <w:pPr>
              <w:spacing w:after="0"/>
              <w:rPr>
                <w:sz w:val="20"/>
                <w:szCs w:val="20"/>
                <w:color w:val="auto"/>
              </w:rPr>
            </w:pPr>
            <w:r>
              <w:rPr>
                <w:rFonts w:ascii="Arial" w:cs="Arial" w:eastAsia="Arial" w:hAnsi="Arial"/>
                <w:sz w:val="18"/>
                <w:szCs w:val="18"/>
                <w:color w:val="auto"/>
                <w:w w:val="92"/>
              </w:rPr>
              <w:t>Chief Technical Operations Officer and Executive Vice President of</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30"/>
        </w:trPr>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the Reporting Person</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10"/>
        </w:trPr>
        <w:tc>
          <w:tcPr>
            <w:tcW w:w="3540" w:type="dxa"/>
            <w:vAlign w:val="bottom"/>
            <w:gridSpan w:val="2"/>
          </w:tcPr>
          <w:p>
            <w:pPr>
              <w:spacing w:after="0"/>
              <w:rPr>
                <w:sz w:val="20"/>
                <w:szCs w:val="20"/>
                <w:color w:val="auto"/>
              </w:rPr>
            </w:pPr>
            <w:r>
              <w:rPr>
                <w:rFonts w:ascii="Arial" w:cs="Arial" w:eastAsia="Arial" w:hAnsi="Arial"/>
                <w:sz w:val="18"/>
                <w:szCs w:val="18"/>
                <w:color w:val="auto"/>
              </w:rPr>
              <w:t>Thomas Kassberg</w:t>
            </w:r>
          </w:p>
        </w:tc>
        <w:tc>
          <w:tcPr>
            <w:tcW w:w="4940" w:type="dxa"/>
            <w:vAlign w:val="bottom"/>
          </w:tcPr>
          <w:p>
            <w:pPr>
              <w:spacing w:after="0"/>
              <w:rPr>
                <w:sz w:val="20"/>
                <w:szCs w:val="20"/>
                <w:color w:val="auto"/>
              </w:rPr>
            </w:pPr>
            <w:r>
              <w:rPr>
                <w:rFonts w:ascii="Arial" w:cs="Arial" w:eastAsia="Arial" w:hAnsi="Arial"/>
                <w:sz w:val="18"/>
                <w:szCs w:val="18"/>
                <w:color w:val="auto"/>
              </w:rPr>
              <w:t>Chief Business Officer and Executive Vice President of the</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30"/>
        </w:trPr>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Reporting Person</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10"/>
        </w:trPr>
        <w:tc>
          <w:tcPr>
            <w:tcW w:w="3540" w:type="dxa"/>
            <w:vAlign w:val="bottom"/>
            <w:gridSpan w:val="2"/>
          </w:tcPr>
          <w:p>
            <w:pPr>
              <w:spacing w:after="0"/>
              <w:rPr>
                <w:sz w:val="20"/>
                <w:szCs w:val="20"/>
                <w:color w:val="auto"/>
              </w:rPr>
            </w:pPr>
            <w:r>
              <w:rPr>
                <w:rFonts w:ascii="Arial" w:cs="Arial" w:eastAsia="Arial" w:hAnsi="Arial"/>
                <w:sz w:val="18"/>
                <w:szCs w:val="18"/>
                <w:color w:val="auto"/>
              </w:rPr>
              <w:t>Karah Parschauer</w:t>
            </w:r>
          </w:p>
        </w:tc>
        <w:tc>
          <w:tcPr>
            <w:tcW w:w="4940" w:type="dxa"/>
            <w:vAlign w:val="bottom"/>
          </w:tcPr>
          <w:p>
            <w:pPr>
              <w:spacing w:after="0"/>
              <w:rPr>
                <w:sz w:val="20"/>
                <w:szCs w:val="20"/>
                <w:color w:val="auto"/>
              </w:rPr>
            </w:pPr>
            <w:r>
              <w:rPr>
                <w:rFonts w:ascii="Arial" w:cs="Arial" w:eastAsia="Arial" w:hAnsi="Arial"/>
                <w:sz w:val="18"/>
                <w:szCs w:val="18"/>
                <w:color w:val="auto"/>
                <w:w w:val="96"/>
              </w:rPr>
              <w:t>General Counsel and Executive Vice President of the Reporting</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30"/>
        </w:trPr>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Person</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10"/>
        </w:trPr>
        <w:tc>
          <w:tcPr>
            <w:tcW w:w="3540" w:type="dxa"/>
            <w:vAlign w:val="bottom"/>
            <w:gridSpan w:val="2"/>
          </w:tcPr>
          <w:p>
            <w:pPr>
              <w:spacing w:after="0"/>
              <w:rPr>
                <w:sz w:val="20"/>
                <w:szCs w:val="20"/>
                <w:color w:val="auto"/>
              </w:rPr>
            </w:pPr>
            <w:r>
              <w:rPr>
                <w:rFonts w:ascii="Arial" w:cs="Arial" w:eastAsia="Arial" w:hAnsi="Arial"/>
                <w:sz w:val="18"/>
                <w:szCs w:val="18"/>
                <w:color w:val="auto"/>
              </w:rPr>
              <w:t>John R. Pinion II</w:t>
            </w:r>
          </w:p>
        </w:tc>
        <w:tc>
          <w:tcPr>
            <w:tcW w:w="4940" w:type="dxa"/>
            <w:vAlign w:val="bottom"/>
          </w:tcPr>
          <w:p>
            <w:pPr>
              <w:spacing w:after="0"/>
              <w:rPr>
                <w:sz w:val="20"/>
                <w:szCs w:val="20"/>
                <w:color w:val="auto"/>
              </w:rPr>
            </w:pPr>
            <w:r>
              <w:rPr>
                <w:rFonts w:ascii="Arial" w:cs="Arial" w:eastAsia="Arial" w:hAnsi="Arial"/>
                <w:sz w:val="18"/>
                <w:szCs w:val="18"/>
                <w:color w:val="auto"/>
                <w:w w:val="93"/>
              </w:rPr>
              <w:t>Chief Quality Officer and Executive Vice President of Translational</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30"/>
        </w:trPr>
        <w:tc>
          <w:tcPr>
            <w:tcW w:w="3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Sciences of the Reporting Person</w:t>
            </w: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William Aliski</w:t>
            </w:r>
          </w:p>
        </w:tc>
        <w:tc>
          <w:tcPr>
            <w:tcW w:w="4940" w:type="dxa"/>
            <w:vAlign w:val="bottom"/>
          </w:tcPr>
          <w:p>
            <w:pPr>
              <w:spacing w:after="0"/>
              <w:rPr>
                <w:sz w:val="20"/>
                <w:szCs w:val="20"/>
                <w:color w:val="auto"/>
              </w:rPr>
            </w:pPr>
            <w:r>
              <w:rPr>
                <w:rFonts w:ascii="Arial" w:cs="Arial" w:eastAsia="Arial" w:hAnsi="Arial"/>
                <w:sz w:val="18"/>
                <w:szCs w:val="18"/>
                <w:color w:val="auto"/>
              </w:rPr>
              <w:t>Biotechnology Executive</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Deborah Dunsire, M.D.</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 of H. Lundbeck A/S</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Lars Ekman, M.D., Ph.D.</w:t>
            </w:r>
          </w:p>
        </w:tc>
        <w:tc>
          <w:tcPr>
            <w:tcW w:w="4940" w:type="dxa"/>
            <w:vAlign w:val="bottom"/>
          </w:tcPr>
          <w:p>
            <w:pPr>
              <w:spacing w:after="0"/>
              <w:rPr>
                <w:sz w:val="20"/>
                <w:szCs w:val="20"/>
                <w:color w:val="auto"/>
              </w:rPr>
            </w:pPr>
            <w:r>
              <w:rPr>
                <w:rFonts w:ascii="Arial" w:cs="Arial" w:eastAsia="Arial" w:hAnsi="Arial"/>
                <w:sz w:val="18"/>
                <w:szCs w:val="18"/>
                <w:color w:val="auto"/>
              </w:rPr>
              <w:t>Executive Partner, Sofinnova Investments</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Matthew K. Fust</w:t>
            </w:r>
          </w:p>
        </w:tc>
        <w:tc>
          <w:tcPr>
            <w:tcW w:w="4940" w:type="dxa"/>
            <w:vAlign w:val="bottom"/>
          </w:tcPr>
          <w:p>
            <w:pPr>
              <w:spacing w:after="0"/>
              <w:rPr>
                <w:sz w:val="20"/>
                <w:szCs w:val="20"/>
                <w:color w:val="auto"/>
              </w:rPr>
            </w:pPr>
            <w:r>
              <w:rPr>
                <w:rFonts w:ascii="Arial" w:cs="Arial" w:eastAsia="Arial" w:hAnsi="Arial"/>
                <w:sz w:val="18"/>
                <w:szCs w:val="18"/>
                <w:color w:val="auto"/>
              </w:rPr>
              <w:t>Biotechnology Executive</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Michael Narachi</w:t>
            </w:r>
          </w:p>
        </w:tc>
        <w:tc>
          <w:tcPr>
            <w:tcW w:w="4940" w:type="dxa"/>
            <w:vAlign w:val="bottom"/>
          </w:tcPr>
          <w:p>
            <w:pPr>
              <w:spacing w:after="0"/>
              <w:rPr>
                <w:sz w:val="20"/>
                <w:szCs w:val="20"/>
                <w:color w:val="auto"/>
              </w:rPr>
            </w:pPr>
            <w:r>
              <w:rPr>
                <w:rFonts w:ascii="Arial" w:cs="Arial" w:eastAsia="Arial" w:hAnsi="Arial"/>
                <w:sz w:val="18"/>
                <w:szCs w:val="18"/>
                <w:color w:val="auto"/>
                <w:w w:val="92"/>
              </w:rPr>
              <w:t>President and Chief Executive Officer, CODA Biotherapeutics, Inc.</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Corsee D. Sanders, Ph.D.</w:t>
            </w:r>
          </w:p>
        </w:tc>
        <w:tc>
          <w:tcPr>
            <w:tcW w:w="4940" w:type="dxa"/>
            <w:vAlign w:val="bottom"/>
          </w:tcPr>
          <w:p>
            <w:pPr>
              <w:spacing w:after="0"/>
              <w:rPr>
                <w:sz w:val="20"/>
                <w:szCs w:val="20"/>
                <w:color w:val="auto"/>
              </w:rPr>
            </w:pPr>
            <w:r>
              <w:rPr>
                <w:rFonts w:ascii="Arial" w:cs="Arial" w:eastAsia="Arial" w:hAnsi="Arial"/>
                <w:sz w:val="18"/>
                <w:szCs w:val="18"/>
                <w:color w:val="auto"/>
              </w:rPr>
              <w:t>Biotechnology Executive</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Shehnaaz Suliman, M.D., M.Phil., M.B.A.</w:t>
            </w:r>
          </w:p>
        </w:tc>
        <w:tc>
          <w:tcPr>
            <w:tcW w:w="4940" w:type="dxa"/>
            <w:vAlign w:val="bottom"/>
          </w:tcPr>
          <w:p>
            <w:pPr>
              <w:spacing w:after="0"/>
              <w:rPr>
                <w:sz w:val="20"/>
                <w:szCs w:val="20"/>
                <w:color w:val="auto"/>
              </w:rPr>
            </w:pPr>
            <w:r>
              <w:rPr>
                <w:rFonts w:ascii="Arial" w:cs="Arial" w:eastAsia="Arial" w:hAnsi="Arial"/>
                <w:sz w:val="18"/>
                <w:szCs w:val="18"/>
                <w:color w:val="auto"/>
              </w:rPr>
              <w:t>Former President and Chief Operating Officer of Alector, Inc.</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324"/>
        </w:trPr>
        <w:tc>
          <w:tcPr>
            <w:tcW w:w="3540" w:type="dxa"/>
            <w:vAlign w:val="bottom"/>
            <w:gridSpan w:val="2"/>
          </w:tcPr>
          <w:p>
            <w:pPr>
              <w:spacing w:after="0"/>
              <w:rPr>
                <w:sz w:val="20"/>
                <w:szCs w:val="20"/>
                <w:color w:val="auto"/>
              </w:rPr>
            </w:pPr>
            <w:r>
              <w:rPr>
                <w:rFonts w:ascii="Arial" w:cs="Arial" w:eastAsia="Arial" w:hAnsi="Arial"/>
                <w:sz w:val="18"/>
                <w:szCs w:val="18"/>
                <w:color w:val="auto"/>
              </w:rPr>
              <w:t>Daniel G. Welch</w:t>
            </w:r>
          </w:p>
        </w:tc>
        <w:tc>
          <w:tcPr>
            <w:tcW w:w="4940" w:type="dxa"/>
            <w:vAlign w:val="bottom"/>
          </w:tcPr>
          <w:p>
            <w:pPr>
              <w:spacing w:after="0"/>
              <w:rPr>
                <w:sz w:val="20"/>
                <w:szCs w:val="20"/>
                <w:color w:val="auto"/>
              </w:rPr>
            </w:pPr>
            <w:r>
              <w:rPr>
                <w:rFonts w:ascii="Arial" w:cs="Arial" w:eastAsia="Arial" w:hAnsi="Arial"/>
                <w:sz w:val="18"/>
                <w:szCs w:val="18"/>
                <w:color w:val="auto"/>
              </w:rPr>
              <w:t>Chairman of the Board of Directors of the Reporting Person</w:t>
            </w:r>
          </w:p>
        </w:tc>
        <w:tc>
          <w:tcPr>
            <w:tcW w:w="254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6"/>
      <w:numFmt w:val="bullet"/>
      <w:start w:val="1"/>
    </w:lvl>
  </w:abstractNum>
  <w:abstractNum w:abstractNumId="7">
    <w:nsid w:val="515F007C"/>
    <w:multiLevelType w:val="hybridMultilevel"/>
    <w:lvl w:ilvl="0">
      <w:lvlJc w:val="left"/>
      <w:lvlText w:val="*"/>
      <w:numFmt w:val="bullet"/>
      <w:start w:val="1"/>
    </w:lvl>
    <w:lvl w:ilvl="1">
      <w:lvlJc w:val="left"/>
      <w:lvlText w:val="%2"/>
      <w:numFmt w:val="decimal"/>
      <w:start w:val="1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2021-10-26T15:46:17Z</dcterms:created>
  <dcterms:modified xsi:type="dcterms:W3CDTF">2021-10-26T15:46:17Z</dcterms:modified>
</cp:coreProperties>
</file>