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333-238139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142875</wp:posOffset>
            </wp:positionV>
            <wp:extent cx="2005965"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596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3,264,151 Shares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We are offering an aggregate of 3,264,151 shares of our common stock pursuant to this prospectus supplement and accompanying prospectus.</w:t>
      </w:r>
    </w:p>
    <w:p>
      <w:pPr>
        <w:spacing w:after="0" w:line="237"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“ARCT.” The last reported sale price of our common stock on the Nasdaq Global Market on July 27, 2020 was $63.19 per share.</w:t>
      </w:r>
    </w:p>
    <w:p>
      <w:pPr>
        <w:spacing w:after="0" w:line="166" w:lineRule="exact"/>
        <w:rPr>
          <w:sz w:val="24"/>
          <w:szCs w:val="24"/>
          <w:color w:val="auto"/>
        </w:rPr>
      </w:pPr>
    </w:p>
    <w:p>
      <w:pPr>
        <w:ind w:right="240"/>
        <w:spacing w:after="0" w:line="282" w:lineRule="auto"/>
        <w:rPr>
          <w:sz w:val="20"/>
          <w:szCs w:val="20"/>
          <w:color w:val="auto"/>
        </w:rPr>
      </w:pPr>
      <w:r>
        <w:rPr>
          <w:rFonts w:ascii="Arial" w:cs="Arial" w:eastAsia="Arial" w:hAnsi="Arial"/>
          <w:sz w:val="18"/>
          <w:szCs w:val="18"/>
          <w:b w:val="1"/>
          <w:bCs w:val="1"/>
          <w:color w:val="auto"/>
        </w:rPr>
        <w:t>An investment in our common stock involves a high degree of risk. Please read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on page S-8 of this prospectus supplement and in the documents incorporated by reference into this prospectus supplement before investing in our securities.</w:t>
      </w:r>
    </w:p>
    <w:p>
      <w:pPr>
        <w:spacing w:after="0" w:line="166"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Any representation to the contrary is a criminal offense.</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Per</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8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53.00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173,000,003.00</w:t>
            </w:r>
          </w:p>
        </w:tc>
      </w:tr>
      <w:tr>
        <w:trPr>
          <w:trHeight w:val="256"/>
        </w:trPr>
        <w:tc>
          <w:tcPr>
            <w:tcW w:w="810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10,380,000.18</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49.82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162,620,002.82</w:t>
            </w:r>
          </w:p>
        </w:tc>
      </w:tr>
      <w:tr>
        <w:trPr>
          <w:trHeight w:val="245"/>
        </w:trPr>
        <w:tc>
          <w:tcPr>
            <w:tcW w:w="8100" w:type="dxa"/>
            <w:vAlign w:val="bottom"/>
          </w:tcPr>
          <w:p>
            <w:pPr>
              <w:spacing w:after="0" w:line="245" w:lineRule="exact"/>
              <w:rPr>
                <w:sz w:val="20"/>
                <w:szCs w:val="20"/>
                <w:color w:val="auto"/>
              </w:rPr>
            </w:pPr>
            <w:r>
              <w:rPr>
                <w:rFonts w:ascii="Arial" w:cs="Arial" w:eastAsia="Arial" w:hAnsi="Arial"/>
                <w:sz w:val="22"/>
                <w:szCs w:val="22"/>
                <w:color w:val="auto"/>
              </w:rPr>
              <w:t>___________________</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refer you to “Underwriting” beginning on page S-22 of this prospectus supplement for information regarding underwriting compensation.</w:t>
      </w:r>
    </w:p>
    <w:p>
      <w:pPr>
        <w:spacing w:after="0" w:line="22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We have granted the underwriters an option to purchase up to an additional 489,622 shares of our common stock from us at the public offering price, less the underwriting discounts and commissions, within 30 days from the date of this prospectus supplement.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underwriters expect to deliver the shares against payment on or about July 31, 2020.</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5340" w:type="dxa"/>
            <w:vAlign w:val="bottom"/>
          </w:tcPr>
          <w:p>
            <w:pPr>
              <w:jc w:val="center"/>
              <w:ind w:left="265"/>
              <w:spacing w:after="0"/>
              <w:rPr>
                <w:sz w:val="20"/>
                <w:szCs w:val="20"/>
                <w:color w:val="auto"/>
              </w:rPr>
            </w:pPr>
            <w:r>
              <w:rPr>
                <w:rFonts w:ascii="Arial" w:cs="Arial" w:eastAsia="Arial" w:hAnsi="Arial"/>
                <w:sz w:val="18"/>
                <w:szCs w:val="18"/>
                <w:i w:val="1"/>
                <w:iCs w:val="1"/>
                <w:color w:val="auto"/>
                <w:w w:val="91"/>
              </w:rPr>
              <w:t>Joint Book-Running Managers</w:t>
            </w:r>
          </w:p>
        </w:tc>
        <w:tc>
          <w:tcPr>
            <w:tcW w:w="3120" w:type="dxa"/>
            <w:vAlign w:val="bottom"/>
          </w:tcPr>
          <w:p>
            <w:pPr>
              <w:spacing w:after="0"/>
              <w:rPr>
                <w:sz w:val="20"/>
                <w:szCs w:val="20"/>
                <w:color w:val="auto"/>
              </w:rPr>
            </w:pPr>
          </w:p>
        </w:tc>
      </w:tr>
      <w:tr>
        <w:trPr>
          <w:trHeight w:val="521"/>
        </w:trPr>
        <w:tc>
          <w:tcPr>
            <w:tcW w:w="2780" w:type="dxa"/>
            <w:vAlign w:val="bottom"/>
          </w:tcPr>
          <w:p>
            <w:pPr>
              <w:spacing w:after="0"/>
              <w:rPr>
                <w:sz w:val="20"/>
                <w:szCs w:val="20"/>
                <w:color w:val="auto"/>
              </w:rPr>
            </w:pPr>
            <w:r>
              <w:rPr>
                <w:rFonts w:ascii="Arial" w:cs="Arial" w:eastAsia="Arial" w:hAnsi="Arial"/>
                <w:sz w:val="25"/>
                <w:szCs w:val="25"/>
                <w:b w:val="1"/>
                <w:bCs w:val="1"/>
                <w:color w:val="auto"/>
              </w:rPr>
              <w:t>Citigroup</w:t>
            </w:r>
          </w:p>
        </w:tc>
        <w:tc>
          <w:tcPr>
            <w:tcW w:w="5340" w:type="dxa"/>
            <w:vAlign w:val="bottom"/>
          </w:tcPr>
          <w:p>
            <w:pPr>
              <w:jc w:val="center"/>
              <w:ind w:left="265"/>
              <w:spacing w:after="0"/>
              <w:rPr>
                <w:sz w:val="20"/>
                <w:szCs w:val="20"/>
                <w:color w:val="auto"/>
              </w:rPr>
            </w:pPr>
            <w:r>
              <w:rPr>
                <w:rFonts w:ascii="Arial" w:cs="Arial" w:eastAsia="Arial" w:hAnsi="Arial"/>
                <w:sz w:val="25"/>
                <w:szCs w:val="25"/>
                <w:b w:val="1"/>
                <w:bCs w:val="1"/>
                <w:color w:val="auto"/>
                <w:w w:val="89"/>
              </w:rPr>
              <w:t>Guggenheim Securities</w:t>
            </w:r>
          </w:p>
        </w:tc>
        <w:tc>
          <w:tcPr>
            <w:tcW w:w="3120" w:type="dxa"/>
            <w:vAlign w:val="bottom"/>
          </w:tcPr>
          <w:p>
            <w:pPr>
              <w:ind w:left="2180"/>
              <w:spacing w:after="0"/>
              <w:rPr>
                <w:sz w:val="20"/>
                <w:szCs w:val="20"/>
                <w:color w:val="auto"/>
              </w:rPr>
            </w:pPr>
            <w:r>
              <w:rPr>
                <w:rFonts w:ascii="Arial" w:cs="Arial" w:eastAsia="Arial" w:hAnsi="Arial"/>
                <w:sz w:val="25"/>
                <w:szCs w:val="25"/>
                <w:b w:val="1"/>
                <w:bCs w:val="1"/>
                <w:color w:val="auto"/>
                <w:w w:val="88"/>
              </w:rPr>
              <w:t>Barclays</w:t>
            </w:r>
          </w:p>
        </w:tc>
      </w:tr>
      <w:tr>
        <w:trPr>
          <w:trHeight w:val="424"/>
        </w:trPr>
        <w:tc>
          <w:tcPr>
            <w:tcW w:w="2780" w:type="dxa"/>
            <w:vAlign w:val="bottom"/>
          </w:tcPr>
          <w:p>
            <w:pPr>
              <w:spacing w:after="0"/>
              <w:rPr>
                <w:sz w:val="24"/>
                <w:szCs w:val="24"/>
                <w:color w:val="auto"/>
              </w:rPr>
            </w:pPr>
          </w:p>
        </w:tc>
        <w:tc>
          <w:tcPr>
            <w:tcW w:w="5340" w:type="dxa"/>
            <w:vAlign w:val="bottom"/>
          </w:tcPr>
          <w:p>
            <w:pPr>
              <w:jc w:val="center"/>
              <w:ind w:left="265"/>
              <w:spacing w:after="0"/>
              <w:rPr>
                <w:sz w:val="20"/>
                <w:szCs w:val="20"/>
                <w:color w:val="auto"/>
              </w:rPr>
            </w:pPr>
            <w:r>
              <w:rPr>
                <w:rFonts w:ascii="Arial" w:cs="Arial" w:eastAsia="Arial" w:hAnsi="Arial"/>
                <w:sz w:val="18"/>
                <w:szCs w:val="18"/>
                <w:i w:val="1"/>
                <w:iCs w:val="1"/>
                <w:color w:val="auto"/>
                <w:w w:val="92"/>
              </w:rPr>
              <w:t>Co-Lead Managers</w:t>
            </w:r>
          </w:p>
        </w:tc>
        <w:tc>
          <w:tcPr>
            <w:tcW w:w="3120" w:type="dxa"/>
            <w:vAlign w:val="bottom"/>
          </w:tcPr>
          <w:p>
            <w:pPr>
              <w:spacing w:after="0"/>
              <w:rPr>
                <w:sz w:val="24"/>
                <w:szCs w:val="24"/>
                <w:color w:val="auto"/>
              </w:rPr>
            </w:pPr>
          </w:p>
        </w:tc>
      </w:tr>
      <w:tr>
        <w:trPr>
          <w:trHeight w:val="432"/>
        </w:trPr>
        <w:tc>
          <w:tcPr>
            <w:tcW w:w="2780" w:type="dxa"/>
            <w:vAlign w:val="bottom"/>
          </w:tcPr>
          <w:p>
            <w:pPr>
              <w:ind w:left="1640"/>
              <w:spacing w:after="0"/>
              <w:rPr>
                <w:sz w:val="20"/>
                <w:szCs w:val="20"/>
                <w:color w:val="auto"/>
              </w:rPr>
            </w:pPr>
            <w:r>
              <w:rPr>
                <w:rFonts w:ascii="Arial" w:cs="Arial" w:eastAsia="Arial" w:hAnsi="Arial"/>
                <w:sz w:val="18"/>
                <w:szCs w:val="18"/>
                <w:b w:val="1"/>
                <w:bCs w:val="1"/>
                <w:color w:val="auto"/>
              </w:rPr>
              <w:t>Baird</w:t>
            </w:r>
          </w:p>
        </w:tc>
        <w:tc>
          <w:tcPr>
            <w:tcW w:w="5340" w:type="dxa"/>
            <w:vAlign w:val="bottom"/>
          </w:tcPr>
          <w:p>
            <w:pPr>
              <w:jc w:val="center"/>
              <w:ind w:left="265"/>
              <w:spacing w:after="0"/>
              <w:rPr>
                <w:sz w:val="20"/>
                <w:szCs w:val="20"/>
                <w:color w:val="auto"/>
              </w:rPr>
            </w:pPr>
            <w:r>
              <w:rPr>
                <w:rFonts w:ascii="Arial" w:cs="Arial" w:eastAsia="Arial" w:hAnsi="Arial"/>
                <w:sz w:val="18"/>
                <w:szCs w:val="18"/>
                <w:b w:val="1"/>
                <w:bCs w:val="1"/>
                <w:color w:val="auto"/>
                <w:w w:val="94"/>
              </w:rPr>
              <w:t>B. Riley FBR</w:t>
            </w:r>
          </w:p>
        </w:tc>
        <w:tc>
          <w:tcPr>
            <w:tcW w:w="3120" w:type="dxa"/>
            <w:vAlign w:val="bottom"/>
          </w:tcPr>
          <w:p>
            <w:pPr>
              <w:ind w:left="360"/>
              <w:spacing w:after="0"/>
              <w:rPr>
                <w:sz w:val="20"/>
                <w:szCs w:val="20"/>
                <w:color w:val="auto"/>
              </w:rPr>
            </w:pPr>
            <w:r>
              <w:rPr>
                <w:rFonts w:ascii="Arial" w:cs="Arial" w:eastAsia="Arial" w:hAnsi="Arial"/>
                <w:sz w:val="18"/>
                <w:szCs w:val="18"/>
                <w:b w:val="1"/>
                <w:bCs w:val="1"/>
                <w:color w:val="auto"/>
              </w:rPr>
              <w:t>H.C. Wainwright &amp; Co.</w:t>
            </w:r>
          </w:p>
        </w:tc>
      </w:tr>
      <w:tr>
        <w:trPr>
          <w:trHeight w:val="432"/>
        </w:trPr>
        <w:tc>
          <w:tcPr>
            <w:tcW w:w="2780" w:type="dxa"/>
            <w:vAlign w:val="bottom"/>
          </w:tcPr>
          <w:p>
            <w:pPr>
              <w:spacing w:after="0"/>
              <w:rPr>
                <w:sz w:val="24"/>
                <w:szCs w:val="24"/>
                <w:color w:val="auto"/>
              </w:rPr>
            </w:pPr>
          </w:p>
        </w:tc>
        <w:tc>
          <w:tcPr>
            <w:tcW w:w="5340" w:type="dxa"/>
            <w:vAlign w:val="bottom"/>
          </w:tcPr>
          <w:p>
            <w:pPr>
              <w:jc w:val="center"/>
              <w:ind w:left="265"/>
              <w:spacing w:after="0"/>
              <w:rPr>
                <w:sz w:val="20"/>
                <w:szCs w:val="20"/>
                <w:color w:val="auto"/>
              </w:rPr>
            </w:pPr>
            <w:r>
              <w:rPr>
                <w:rFonts w:ascii="Arial" w:cs="Arial" w:eastAsia="Arial" w:hAnsi="Arial"/>
                <w:sz w:val="18"/>
                <w:szCs w:val="18"/>
                <w:i w:val="1"/>
                <w:iCs w:val="1"/>
                <w:color w:val="auto"/>
                <w:w w:val="93"/>
              </w:rPr>
              <w:t>Co-Manager</w:t>
            </w:r>
          </w:p>
        </w:tc>
        <w:tc>
          <w:tcPr>
            <w:tcW w:w="3120" w:type="dxa"/>
            <w:vAlign w:val="bottom"/>
          </w:tcPr>
          <w:p>
            <w:pPr>
              <w:spacing w:after="0"/>
              <w:rPr>
                <w:sz w:val="24"/>
                <w:szCs w:val="24"/>
                <w:color w:val="auto"/>
              </w:rPr>
            </w:pPr>
          </w:p>
        </w:tc>
      </w:tr>
      <w:tr>
        <w:trPr>
          <w:trHeight w:val="432"/>
        </w:trPr>
        <w:tc>
          <w:tcPr>
            <w:tcW w:w="2780" w:type="dxa"/>
            <w:vAlign w:val="bottom"/>
          </w:tcPr>
          <w:p>
            <w:pPr>
              <w:spacing w:after="0"/>
              <w:rPr>
                <w:sz w:val="24"/>
                <w:szCs w:val="24"/>
                <w:color w:val="auto"/>
              </w:rPr>
            </w:pPr>
          </w:p>
        </w:tc>
        <w:tc>
          <w:tcPr>
            <w:tcW w:w="5340" w:type="dxa"/>
            <w:vAlign w:val="bottom"/>
          </w:tcPr>
          <w:p>
            <w:pPr>
              <w:jc w:val="center"/>
              <w:ind w:left="265"/>
              <w:spacing w:after="0"/>
              <w:rPr>
                <w:sz w:val="20"/>
                <w:szCs w:val="20"/>
                <w:color w:val="auto"/>
              </w:rPr>
            </w:pPr>
            <w:r>
              <w:rPr>
                <w:rFonts w:ascii="Arial" w:cs="Arial" w:eastAsia="Arial" w:hAnsi="Arial"/>
                <w:sz w:val="18"/>
                <w:szCs w:val="18"/>
                <w:b w:val="1"/>
                <w:bCs w:val="1"/>
                <w:color w:val="auto"/>
                <w:w w:val="92"/>
              </w:rPr>
              <w:t>Ladenburg Thalmann</w:t>
            </w:r>
          </w:p>
        </w:tc>
        <w:tc>
          <w:tcPr>
            <w:tcW w:w="3120" w:type="dxa"/>
            <w:vAlign w:val="bottom"/>
          </w:tcPr>
          <w:p>
            <w:pPr>
              <w:spacing w:after="0"/>
              <w:rPr>
                <w:sz w:val="24"/>
                <w:szCs w:val="24"/>
                <w:color w:val="auto"/>
              </w:rPr>
            </w:pPr>
          </w:p>
        </w:tc>
      </w:tr>
      <w:tr>
        <w:trPr>
          <w:trHeight w:val="432"/>
        </w:trPr>
        <w:tc>
          <w:tcPr>
            <w:tcW w:w="2780" w:type="dxa"/>
            <w:vAlign w:val="bottom"/>
          </w:tcPr>
          <w:p>
            <w:pPr>
              <w:spacing w:after="0"/>
              <w:rPr>
                <w:sz w:val="24"/>
                <w:szCs w:val="24"/>
                <w:color w:val="auto"/>
              </w:rPr>
            </w:pPr>
          </w:p>
        </w:tc>
        <w:tc>
          <w:tcPr>
            <w:tcW w:w="5340" w:type="dxa"/>
            <w:vAlign w:val="bottom"/>
          </w:tcPr>
          <w:p>
            <w:pPr>
              <w:jc w:val="center"/>
              <w:ind w:left="265"/>
              <w:spacing w:after="0"/>
              <w:rPr>
                <w:sz w:val="20"/>
                <w:szCs w:val="20"/>
                <w:color w:val="auto"/>
              </w:rPr>
            </w:pPr>
            <w:r>
              <w:rPr>
                <w:rFonts w:ascii="Arial" w:cs="Arial" w:eastAsia="Arial" w:hAnsi="Arial"/>
                <w:sz w:val="18"/>
                <w:szCs w:val="18"/>
                <w:b w:val="1"/>
                <w:bCs w:val="1"/>
                <w:color w:val="auto"/>
                <w:w w:val="88"/>
              </w:rPr>
              <w:t>The date of this prospectus supplement is July 28, 2020.</w:t>
            </w:r>
          </w:p>
        </w:tc>
        <w:tc>
          <w:tcPr>
            <w:tcW w:w="3120" w:type="dxa"/>
            <w:vAlign w:val="bottom"/>
          </w:tcPr>
          <w:p>
            <w:pPr>
              <w:spacing w:after="0"/>
              <w:rPr>
                <w:sz w:val="24"/>
                <w:szCs w:val="24"/>
                <w:color w:val="auto"/>
              </w:rPr>
            </w:pPr>
          </w:p>
        </w:tc>
      </w:tr>
      <w:tr>
        <w:trPr>
          <w:trHeight w:val="574"/>
        </w:trPr>
        <w:tc>
          <w:tcPr>
            <w:tcW w:w="27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jc w:val="center"/>
              <w:ind w:left="2250"/>
              <w:spacing w:after="0"/>
              <w:rPr>
                <w:sz w:val="20"/>
                <w:szCs w:val="20"/>
                <w:color w:val="auto"/>
              </w:rPr>
            </w:pPr>
            <w:r>
              <w:rPr>
                <w:rFonts w:ascii="Arial" w:cs="Arial" w:eastAsia="Arial" w:hAnsi="Arial"/>
                <w:sz w:val="18"/>
                <w:szCs w:val="18"/>
                <w:b w:val="1"/>
                <w:bCs w:val="1"/>
                <w:color w:val="auto"/>
                <w:w w:val="98"/>
              </w:rPr>
              <w:t>TABLE OF CONTENTS</w:t>
            </w: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00" w:type="dxa"/>
            <w:vAlign w:val="bottom"/>
          </w:tcPr>
          <w:p>
            <w:pPr>
              <w:jc w:val="center"/>
              <w:ind w:left="2250"/>
              <w:spacing w:after="0"/>
              <w:rPr>
                <w:sz w:val="20"/>
                <w:szCs w:val="20"/>
                <w:color w:val="auto"/>
              </w:rPr>
            </w:pPr>
            <w:r>
              <w:rPr>
                <w:rFonts w:ascii="Arial" w:cs="Arial" w:eastAsia="Arial" w:hAnsi="Arial"/>
                <w:sz w:val="18"/>
                <w:szCs w:val="18"/>
                <w:b w:val="1"/>
                <w:bCs w:val="1"/>
                <w:color w:val="auto"/>
                <w:w w:val="87"/>
              </w:rPr>
              <w:t>Prospectus Supplement</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4"/>
                <w:szCs w:val="24"/>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 Supplement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Prospectus Supplement Summary</w:t>
            </w:r>
          </w:p>
        </w:tc>
        <w:tc>
          <w:tcPr>
            <w:tcW w:w="2340" w:type="dxa"/>
            <w:vAlign w:val="bottom"/>
          </w:tcPr>
          <w:p>
            <w:pPr>
              <w:jc w:val="right"/>
              <w:spacing w:after="0"/>
              <w:rPr>
                <w:sz w:val="20"/>
                <w:szCs w:val="20"/>
                <w:color w:val="auto"/>
              </w:rPr>
            </w:pPr>
            <w:r>
              <w:rPr>
                <w:rFonts w:ascii="Arial" w:cs="Arial" w:eastAsia="Arial" w:hAnsi="Arial"/>
                <w:sz w:val="18"/>
                <w:szCs w:val="18"/>
                <w:color w:val="auto"/>
              </w:rPr>
              <w:t>S-2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The Offering</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Risk Factors</w:t>
            </w:r>
          </w:p>
        </w:tc>
        <w:tc>
          <w:tcPr>
            <w:tcW w:w="2340" w:type="dxa"/>
            <w:vAlign w:val="bottom"/>
          </w:tcPr>
          <w:p>
            <w:pPr>
              <w:jc w:val="right"/>
              <w:spacing w:after="0"/>
              <w:rPr>
                <w:sz w:val="20"/>
                <w:szCs w:val="20"/>
                <w:color w:val="auto"/>
              </w:rPr>
            </w:pPr>
            <w:r>
              <w:rPr>
                <w:rFonts w:ascii="Arial" w:cs="Arial" w:eastAsia="Arial" w:hAnsi="Arial"/>
                <w:sz w:val="18"/>
                <w:szCs w:val="18"/>
                <w:color w:val="auto"/>
              </w:rPr>
              <w:t>S-8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Use Of Proceeds</w:t>
            </w:r>
          </w:p>
        </w:tc>
        <w:tc>
          <w:tcPr>
            <w:tcW w:w="2340" w:type="dxa"/>
            <w:vAlign w:val="bottom"/>
          </w:tcPr>
          <w:p>
            <w:pPr>
              <w:jc w:val="right"/>
              <w:spacing w:after="0"/>
              <w:rPr>
                <w:sz w:val="20"/>
                <w:szCs w:val="20"/>
                <w:color w:val="auto"/>
              </w:rPr>
            </w:pPr>
            <w:r>
              <w:rPr>
                <w:rFonts w:ascii="Arial" w:cs="Arial" w:eastAsia="Arial" w:hAnsi="Arial"/>
                <w:sz w:val="18"/>
                <w:szCs w:val="18"/>
                <w:color w:val="auto"/>
              </w:rPr>
              <w:t>S-16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Dilution</w:t>
            </w:r>
          </w:p>
        </w:tc>
        <w:tc>
          <w:tcPr>
            <w:tcW w:w="2340" w:type="dxa"/>
            <w:vAlign w:val="bottom"/>
          </w:tcPr>
          <w:p>
            <w:pPr>
              <w:jc w:val="right"/>
              <w:spacing w:after="0"/>
              <w:rPr>
                <w:sz w:val="20"/>
                <w:szCs w:val="20"/>
                <w:color w:val="auto"/>
              </w:rPr>
            </w:pPr>
            <w:r>
              <w:rPr>
                <w:rFonts w:ascii="Arial" w:cs="Arial" w:eastAsia="Arial" w:hAnsi="Arial"/>
                <w:sz w:val="18"/>
                <w:szCs w:val="18"/>
                <w:color w:val="auto"/>
              </w:rPr>
              <w:t>S-17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Material U.S. Federal Income Tax Consequences For Non-U.S. Holders Of Our Common Stock</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Underwriting</w:t>
            </w:r>
          </w:p>
        </w:tc>
        <w:tc>
          <w:tcPr>
            <w:tcW w:w="2340" w:type="dxa"/>
            <w:vAlign w:val="bottom"/>
          </w:tcPr>
          <w:p>
            <w:pPr>
              <w:jc w:val="right"/>
              <w:spacing w:after="0"/>
              <w:rPr>
                <w:sz w:val="20"/>
                <w:szCs w:val="20"/>
                <w:color w:val="auto"/>
              </w:rPr>
            </w:pPr>
            <w:r>
              <w:rPr>
                <w:rFonts w:ascii="Arial" w:cs="Arial" w:eastAsia="Arial" w:hAnsi="Arial"/>
                <w:sz w:val="18"/>
                <w:szCs w:val="18"/>
                <w:color w:val="auto"/>
              </w:rPr>
              <w:t>S-22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Experts</w:t>
            </w:r>
          </w:p>
        </w:tc>
        <w:tc>
          <w:tcPr>
            <w:tcW w:w="2340" w:type="dxa"/>
            <w:vAlign w:val="bottom"/>
          </w:tcPr>
          <w:p>
            <w:pPr>
              <w:jc w:val="right"/>
              <w:spacing w:after="0"/>
              <w:rPr>
                <w:sz w:val="20"/>
                <w:szCs w:val="20"/>
                <w:color w:val="auto"/>
              </w:rPr>
            </w:pPr>
            <w:r>
              <w:rPr>
                <w:rFonts w:ascii="Arial" w:cs="Arial" w:eastAsia="Arial" w:hAnsi="Arial"/>
                <w:sz w:val="18"/>
                <w:szCs w:val="18"/>
                <w:color w:val="auto"/>
              </w:rPr>
              <w:t>S-28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Additional Information</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2340" w:type="dxa"/>
            <w:vAlign w:val="bottom"/>
          </w:tcPr>
          <w:p>
            <w:pPr>
              <w:jc w:val="right"/>
              <w:spacing w:after="0"/>
              <w:rPr>
                <w:sz w:val="20"/>
                <w:szCs w:val="20"/>
                <w:color w:val="auto"/>
              </w:rPr>
            </w:pPr>
            <w:r>
              <w:rPr>
                <w:rFonts w:ascii="Arial" w:cs="Arial" w:eastAsia="Arial" w:hAnsi="Arial"/>
                <w:sz w:val="18"/>
                <w:szCs w:val="18"/>
                <w:color w:val="auto"/>
              </w:rPr>
              <w:t>S-28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900" w:type="dxa"/>
            <w:vAlign w:val="bottom"/>
          </w:tcPr>
          <w:p>
            <w:pPr>
              <w:jc w:val="center"/>
              <w:ind w:left="2250"/>
              <w:spacing w:after="0"/>
              <w:rPr>
                <w:sz w:val="20"/>
                <w:szCs w:val="20"/>
                <w:color w:val="auto"/>
              </w:rPr>
            </w:pPr>
            <w:r>
              <w:rPr>
                <w:rFonts w:ascii="Arial" w:cs="Arial" w:eastAsia="Arial" w:hAnsi="Arial"/>
                <w:sz w:val="18"/>
                <w:szCs w:val="18"/>
                <w:b w:val="1"/>
                <w:bCs w:val="1"/>
                <w:color w:val="auto"/>
                <w:w w:val="85"/>
              </w:rPr>
              <w:t>Prospectus</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4"/>
                <w:szCs w:val="24"/>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Prospectus Summary</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Description Of Capital Stock We May Offer</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 We May Offer</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Description Of Warrants We May Offer</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Units We May Offer</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Plan Of Distribution</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Experts</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89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This document is in two parts. The first part is the prospectus supplement, including the documents incorporated by reference herein, which describes the specific terms of this offering and also adds to and updates the information contained in the accompanying prospectus and the documents incorporated by reference therein. The second part, the accompanying prospectus, including the documents incorporated by reference therein, provides more general information, some of which may not apply to this offering. Generally, when we refer to this prospectus, we are referring to both parts of this document combined. Before you invest, you should carefully read this prospectus supplement, the accompanying prospectus and the information incorporated by reference herein and therein, as well as the additional information described in this prospectus supplement under “Where You Can Find Additional Information.”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 Before buying any of the shares of common stock that we are offering, we urge you to carefully read this prospectus supplement, the accompanying prospectus and any related free writing prospectus and all of the information incorporated by reference herein and therein, as well as the additional information described under the headings “Where You Can Find Additional Information” and “Incorporation of Certain Information by Reference.” These documents contain important information that you should consider when making your investment decision.</w:t>
      </w:r>
    </w:p>
    <w:p>
      <w:pPr>
        <w:spacing w:after="0" w:line="16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the accompanying prospectus, and any related free writing prospectus filed by us with the Securities and Exchange Commission, or SEC. Neither we nor the underwriters have authorized any other person to provide you with any information that is different. If anyone provides you with different or inconsistent information, you should not rely on it.</w:t>
      </w:r>
    </w:p>
    <w:p>
      <w:pPr>
        <w:spacing w:after="0" w:line="187"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This prospectus supplement does not constitute an offer to sell or the solicitation of an offer to buy any securities other than the shares of common stock described in this prospectus supplement or an offer to sell or the solicitation of an offer to buy such securities in any circumstances in which such offer or solicitation is unlawful. Persons outside the United States who come into possession of this prospectus supplement must inform themselves about, and observe any restrictions relating to, the offering of the shares of common stock and the distribution of this prospectus supplement outside the United States.</w:t>
      </w:r>
    </w:p>
    <w:p>
      <w:pPr>
        <w:spacing w:after="0" w:line="188"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You should assume that the information appearing in this prospectus supplement, the accompanying prospectus, the documents incorporated by reference herein and therein and any related free writing prospectus is accurate only as of their respective dates. Our business, financial condition, results of operations and prospects may have changed materially since those dates.</w:t>
      </w:r>
    </w:p>
    <w:p>
      <w:pPr>
        <w:spacing w:after="0" w:line="184" w:lineRule="exact"/>
        <w:rPr>
          <w:sz w:val="20"/>
          <w:szCs w:val="20"/>
          <w:color w:val="auto"/>
        </w:rPr>
      </w:pPr>
    </w:p>
    <w:p>
      <w:pPr>
        <w:ind w:right="80" w:firstLine="441"/>
        <w:spacing w:after="0" w:line="296"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this prospectus supplement, the terms “Arcturus Therapeutics,” “we,” “us,” “our” and the “Company” refer to Arcturus Therapeutics Holdings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predecessors and consolidated subsidiaries unless otherwise stated or the context otherwise requires.</w:t>
      </w:r>
    </w:p>
    <w:p>
      <w:pPr>
        <w:spacing w:after="0" w:line="211" w:lineRule="exact"/>
        <w:rPr>
          <w:sz w:val="20"/>
          <w:szCs w:val="20"/>
          <w:color w:val="auto"/>
        </w:rPr>
      </w:pPr>
    </w:p>
    <w:p>
      <w:pPr>
        <w:jc w:val="both"/>
        <w:ind w:right="360" w:firstLine="441"/>
        <w:spacing w:after="0" w:line="291" w:lineRule="auto"/>
        <w:rPr>
          <w:sz w:val="20"/>
          <w:szCs w:val="20"/>
          <w:color w:val="auto"/>
        </w:rPr>
      </w:pPr>
      <w:r>
        <w:rPr>
          <w:rFonts w:ascii="Arial" w:cs="Arial" w:eastAsia="Arial" w:hAnsi="Arial"/>
          <w:sz w:val="16"/>
          <w:szCs w:val="16"/>
          <w:color w:val="auto"/>
        </w:rPr>
        <w:t>The Arcturus logo and other trademarks of Arcturus are some of our trademarks and registered marks used in this prospectus supplement and the documents incorporated by reference herein. This prospectus supplement and the documents incorporated by reference herein also include trademarks,</w:t>
      </w:r>
    </w:p>
    <w:p>
      <w:pPr>
        <w:spacing w:after="0" w:line="207" w:lineRule="auto"/>
        <w:rPr>
          <w:sz w:val="20"/>
          <w:szCs w:val="20"/>
          <w:color w:val="auto"/>
        </w:rPr>
      </w:pPr>
      <w:r>
        <w:rPr>
          <w:rFonts w:ascii="Arial" w:cs="Arial" w:eastAsia="Arial" w:hAnsi="Arial"/>
          <w:sz w:val="16"/>
          <w:szCs w:val="16"/>
          <w:color w:val="auto"/>
        </w:rPr>
        <w:t xml:space="preserve">tradenames and service marks that are the property of other organizations. Solely for convenience, our trademarks and tradenames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w:t>
      </w:r>
    </w:p>
    <w:p>
      <w:pPr>
        <w:spacing w:after="0" w:line="25" w:lineRule="exact"/>
        <w:rPr>
          <w:sz w:val="20"/>
          <w:szCs w:val="20"/>
          <w:color w:val="auto"/>
        </w:rPr>
      </w:pPr>
    </w:p>
    <w:p>
      <w:pPr>
        <w:ind w:right="140" w:firstLine="8"/>
        <w:spacing w:after="0" w:line="216" w:lineRule="auto"/>
        <w:tabs>
          <w:tab w:leader="none" w:pos="192"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symbol, but those references are not intended to indicate, in any way, that we will not assert, to the fullest extent under applicable law, our rights, or the right of the applicable licensor to these trademarks and tradenames.</w:t>
      </w: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summary highlights information contained in other parts of this prospectus supplement or incorporated by reference from our Annual Report on Form 10-K for the year ended December 31, 2019 and our other filings with the SEC listed under the section of the prospectus titled “Incorporation of Certain Information by Reference” contained in this prospectus supplement. This summary does not contain all of the information you should consider in making your investment decision. Before deciding to invest in our common stock, you should read this prospectus supplement, the accompanying prospectus, any related free writing prospectus and the information incorporated by reference herein and therein in their entirety. You should carefully consider, among other things, the matters discussed under the section titled “Risk Factors” contained in this prospectus supplement and any related free writing prospectus, and under similar headings in the other documents that are incorporated by reference in this prospectus supplement and the accompanying prospectus. Some of the statements in this prospectus supplement constitute forward-looking statements that involve risks and uncertainties. See the section titled “Special Note Regarding Forward-Looking Statements.”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are a clinical-stage messenger RNA medicines company focused on the development of infectious disease vaccines and significant opportunities within liver and respiratory rare diseases utilizing our Self-Transcribing and Replicating RNA (“STARR”) technology. In addition to our internal messenger RNA (“mRNA”) platform, our proprietary lipid mediated delivery system, LUNAR, has the potential to enable multiple nucleic acid medicines.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87" w:lineRule="exact"/>
        <w:rPr>
          <w:sz w:val="20"/>
          <w:szCs w:val="20"/>
          <w:color w:val="auto"/>
        </w:rPr>
      </w:pPr>
    </w:p>
    <w:p>
      <w:pPr>
        <w:ind w:left="980" w:right="4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deep expertise in the discovery and development of RNA medicines, including key experience in the production of RNA drug substance and nanoparticle-formulated drug product.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pipeline of eleven drug candidates in late-stage discovery and early-stage development, five of which are wholly-owned and six of which involve partnered programs.</w:t>
      </w:r>
    </w:p>
    <w:p>
      <w:pPr>
        <w:spacing w:after="0" w:line="170" w:lineRule="exact"/>
        <w:rPr>
          <w:rFonts w:ascii="Arial" w:cs="Arial" w:eastAsia="Arial" w:hAnsi="Arial"/>
          <w:sz w:val="18"/>
          <w:szCs w:val="18"/>
          <w:color w:val="auto"/>
        </w:rPr>
      </w:pPr>
    </w:p>
    <w:p>
      <w:pPr>
        <w:ind w:left="980" w:right="20" w:hanging="324"/>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spacing w:after="0" w:line="17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developed the STARR technology platform which combines self-replicating RNA with LUNAR into a single solution for partners.</w:t>
      </w:r>
    </w:p>
    <w:p>
      <w:pPr>
        <w:spacing w:after="0" w:line="248" w:lineRule="exact"/>
        <w:rPr>
          <w:rFonts w:ascii="Arial" w:cs="Arial" w:eastAsia="Arial" w:hAnsi="Arial"/>
          <w:sz w:val="16"/>
          <w:szCs w:val="16"/>
          <w:color w:val="auto"/>
        </w:rPr>
      </w:pPr>
    </w:p>
    <w:p>
      <w:pPr>
        <w:ind w:left="980" w:right="8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wholly-owned, LUNAR and nucleic acid technologies are covered by a patent portfolio of 192 patents and patent applications, issued in the United States, China, Europe, Japan and other countries. This patent portfolio covers our proprietary mRNA and STARR chemistry, design, modifications and manufacturing process as well as our LUNAR chemistry, design and drug product manufacturing.</w:t>
      </w:r>
    </w:p>
    <w:p>
      <w:pPr>
        <w:spacing w:after="0" w:line="16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antigen expression for vaccines; (2) siRNA, microRNA, and antisense oligonucleotides - knockdown of genes overexpressed in disease; and (3) CRISPR, TALEN, zinc finger proteins, megaTALs and meganucleases - gene editing of errant genes.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LUNAR-COV19 Vaccine Candidate</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Coronaviruses are a family of viruses that can lead to respiratory illness, including Middle East Respiratory Syndrome (MERS-CoV) and Severe Acute Respiratory Syndrome (SARS-CoV). Coronaviruses are transmitted between animals and people and can evolve into strains not previously identified in humans. On January 7, 2020, a novel coronavirus was identified as the cause of pneumonia cases in Wuhan City, Hubei Province of China. On February 11, 2020 the World Health Organization announced the official name for the disease that caused the 2019 novel coronavirus outbreak as coronavirus disease 2019, commonly abbreviated as COVID-19. The spread of COVID-19 has resulted in the current global coronavirus pandemic.</w:t>
      </w:r>
    </w:p>
    <w:p>
      <w:pPr>
        <w:spacing w:after="0" w:line="16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response to this pandemic, in March of 2020 we partnered with Duke-NUS Medical School to develop a COVID-19 vaccine for the Singapore Economic Development Board, or EDB, based on the Company’s STARR™ Technology and designated the vaccine candidate LUNAR-COV19. Duke-NUS Medical School is a graduate entry medical school in Singapore, established in 2005 through a partnership between Duke University School of Medicine and the National University of Singapore (NUS).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March 4, 2020, we were awarded a grant from the EDB to support the co-development of LUNAR-COV19 with Duke-NUS Medical School. In exchange for the grant, we agreed to supply LUNAR-COV19 to the EDB for use within Singapore and we retained the right to sell and market LUNAR-COV19 outside of Singapore. We have agreed to pay Duke-NUS Medical School a low single digit royalty based on annual net sales of the vaccine in markets or jurisdictions outside of Singapore.</w:t>
      </w:r>
    </w:p>
    <w:p>
      <w:pPr>
        <w:spacing w:after="0" w:line="187"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On April 27, 2020, we released positive immunogenicity data from our preclinical study in rodents for LUNAR-COV19, as measured by investigators at the Duke-NUS Medical School. Seroconversion, using a gold standard virus neutralization assay (Vero-E6 cells with a SARS-CoV-2 Singapore Clinical Isolate), and IgG/IgM antibody titers were assessed at day 10 and day 19. Rodents were immunized with a single dose (0.2, 2, and 10 µg, i.m.) of LUNAR-COV19 vaccine. The study results showed self-transcribing and replicating (STARR™) mRNA induced higher seroconversion relative to conventional mRNA at equivalent doses. In conjunction, anti-SARS-CoV-2 IgG and IgM antibody titers were also higher.</w:t>
      </w:r>
    </w:p>
    <w:p>
      <w:pPr>
        <w:spacing w:after="0" w:line="176"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On May 4, 2020, we entered into an agreement with Catalent, Inc. to manufacture LUNAR-COV19 at Catalent’s cGMP drug substance biomanufacturing facility in Madison, Wisconsin, for human clinical studies.</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On May 08, 2020, we disclosed new supportive preclinical data, providing evidence for an adaptive cellular (CD8+ cells) and balanced (Th1/Th2) immune response data from LUNAR-COV19, providing strong support for human vaccine clinical trials. The preclinical data was measured by investigators at the Duke-NUS Medical School.</w:t>
      </w:r>
    </w:p>
    <w:p>
      <w:pPr>
        <w:spacing w:after="0" w:line="184"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On June 30, 2020, we submitted a Clinical Trial Application (CTA) for LUNAR-COV19 to the Singapore Health Sciences Authority (HSA). On July 20, 2020, the HSA notified us that LUNAR-COV19 was approved to proceed into clinical trials. We intend to commence a Phase 1/2 clinical trial in Singapore in August 2020 to test several dose levels of LUNAR-COV19 in up to 108 adults, including older adults, to evaluate safety, tolerability and the extent and duration of the humoral and cellular immune response. Based on the results of this trial we intend to commence Phase 3 clinical trials in global locations.</w:t>
      </w:r>
    </w:p>
    <w:p>
      <w:pPr>
        <w:spacing w:after="0" w:line="18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On July 23, 2020, we entered into a binding term sheet with the Ministry of Health of Israel pursuant to which we have agreed to provide Israel with a specified minimum and maximum number of LUNAR-COV19 doses, in all cases pursuant to the terms of a definitive supply agreement to be entered into within thirty (30) days of July 23,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intend to utilize a portion of the proceeds of this offering to fund further clinical development and manufacturing of LUNAR-COV19.</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 w:name="page6"/>
    <w:bookmarkEnd w:id="5"/>
    <w:p>
      <w:pPr>
        <w:ind w:firstLine="648"/>
        <w:spacing w:after="0" w:line="277" w:lineRule="auto"/>
        <w:rPr>
          <w:sz w:val="20"/>
          <w:szCs w:val="20"/>
          <w:color w:val="auto"/>
        </w:rPr>
      </w:pPr>
      <w:r>
        <w:rPr>
          <w:rFonts w:ascii="Arial" w:cs="Arial" w:eastAsia="Arial" w:hAnsi="Arial"/>
          <w:sz w:val="18"/>
          <w:szCs w:val="18"/>
          <w:color w:val="auto"/>
        </w:rPr>
        <w:t>We also expect to secure additional funding to continue development and scaling up of LUNAR-COV19 from future securities offerings and from additional contracts with foreign governmental authorities in addition to those of Singapore and Israel.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ARCT-810 mRNA-based therapeutic candidate for OTC deficiency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April 2020, we became a clinical stage company when we announced that our Investigational New Drug application for a Phase 1b study in patients with ornithine transcarbamylase (“OTC”) deficiency was deemed allowed to proceed by the U.S. Food and Drug Administration (“FDA”), and an additional Clinical Trial Application (“CTA”) for a Phase 1 study in healthy volunteers was approved by the New Zealand Medicines and Medical Devices Safety Authority.</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Phase 1b study and Phase 1 study are focused on an mRNA-based therapeutic candidate for OTC deficiency named ARCT-810. ARCT-810 utilizes our LUNAR® lipid-mediated delivery platform to deliver OTC messenger RNA to liver cells. The ARCT-810 program is supported by preclinical data in OTC deficiency murine models demonstrating that dosing of LUNAR-OTC results in robust OTC protein expression and activity resulting in improvements in ureagenesis and plasma ammonia, and increased survival. Worldwide development and commercialization rights to ARCT-810 are entirely held by Arcturus.</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June 5, 2020, we announced that we dosed the first healthy volunteer in a Phase 1 study of ARCT-810 in a double blind, placebo-controlled, dose-escalation trial in healthy adult volunteers. The study is expected to evaluate five cohorts, each with six subjects. In each cohort, four subjects are expected to receive ARCT-810 and two are expected to receive a placebo. The study is intended to evaluate safety and tolerability, pharmacokinetics, and pharmacodynamic biomarkers.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LUNAR-FLU Vaccine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Flu season is an annually recurring time period characterized by the prevalence of outbreaks of influenza (flu). The season occurs during the cold half of the year in each hemisphere. Influenza activity can usually be predicted and even tracked geographically.</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Arcturus is initiating a pipeline program to develop a vaccine against seasonal flu. The program builds on the STARR/LUNAR platform and the learnings from our COVID-19 vaccine program. The vaccine will be quadrivalent and target hemagglutinin antigens from two strains of Influenza/A and two strains of Influenza/B. The intended product will mediate serological conversion of antibody-mediated immunity following a single intramuscular injection.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LUNAR-CV Targeted mRNA Therapeutic</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are developing a mRNA replacement therapy targeting Low-Density Lipoprotein (LDL) Receptor (LDLR) for the treatment of homozygous familial hypercholesterolemia (HoFH), a severe genetic disease characterized by premature and aggressive plaque buildup, life threatening coronary artery disease and aortic valve disease predominantly due to abnormalities in the function or expression of LDLR. Present therapies do not sufficiently lower the plasma LDL-cholesterol (LDL-C) that lead to cardiovascular disease. Our preliminary studies in an LDLR knock out mouse model have demonstrated restoration of normal LDL plasma levels following a single intravenous administration of a LUNAR-mRNA encoding the LDLR.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Ultragenyx Option Exercise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June 18, 2019, we entered into an Equity Purchase Agreement with Ultragenyx Pharmaceutical Inc. (“Ultragenyx”). Pursuant to this agreement, we granted Ultragenyx a two-year option to purchase up to 600,000 additional shares of our common stock at a price of $16.00 per share. On May 20, 2020, Ultragenyx completed the exercise of this option to purchase an additional 600,000 shares of Common Stock in accordance with the terms of the agreement. The issuance of the additional 600,000 shares closed on May 20, 2020.</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Financial Update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expect our cash and cash equivalents as of June 30, 2020 to be approximately $136.1 million. This estimate of cash and cash equivalents is based on currently available information. It does not present all necessary information for an understanding of our financial condition as of June 30, 2020. As we complete our quarter-end financial close process and finalize our second quarter 2020 unaudited financial statements, we will be required to make significant judgments in a number of areas that may result in the estimate provided herein being different than the final financial information. This estimate has been prepared by and is the responsibility of our management. Our independent registered public accounting firm has not audited, reviewed or performed any procedures with respect to this estimate or the accounting treatment thereof and does not express an opinion or any other form of assurance with respect thereto. We expect to complete our unaudited financial statements for the quarter ended June 30, 2020 subsequent to the completion of this offering. It is possible that we or our independent registered public accounting firm may identify items that require us to make adjustments to the estimated cash balance set forth above and those changes could be material. Accordingly, undue reliance should not be placed on this estimate. The estimate is not necessarily indicative of any future period and should be read together with the sections titled “Risk Factors” and “Special Note Regarding Forward-Looking Statements” in this prospectus supplement, and our financial statements, related notes and other financial information incorporated by reference herein.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 as described more fully below.</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Redomiciliation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May 2019, shareholders of Arcturus Israel approved the Redomiciliation. In connection therewith, in February 2019, Arcturus Israel entered into a share exchange agreement (the “Exchange Agreement”) with Arcturus Therapeutics Holdings Inc., a newly established Delaware corporation. In June 2019, pursuant to the terms of the Exchange Agreement, all issued ordinary shares and options to purchase ordinary shares of Arcturus Israel were exchanged on a one-for-one basis for newly issued shares of common stock and options to purchase common stock, respectively, of the Company, resulting in Arcturus Israel becoming a subsidiary of the Company.</w:t>
      </w:r>
    </w:p>
    <w:p>
      <w:pPr>
        <w:spacing w:after="0" w:line="188"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In June 2019, Arcturus Israel’s ordinary shares were delisted from trading on Nasdaq and the Company’s shares commenced trading on Nasdaq under the symbol “ARCT.” Arcturus Israel is now a wholly-owned subsidiary of the Company, which is the successor to Arcturus Israel. Proceedings to liquidate Arcturus Israel are now pending in Israeli court.</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40"/>
          </w:cols>
          <w:pgMar w:left="320" w:top="702"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3,264,151 shares of our common stock</w:t>
      </w:r>
    </w:p>
    <w:p>
      <w:pPr>
        <w:spacing w:after="0" w:line="200" w:lineRule="exact"/>
        <w:rPr>
          <w:sz w:val="20"/>
          <w:szCs w:val="20"/>
          <w:color w:val="auto"/>
        </w:rPr>
      </w:pPr>
    </w:p>
    <w:p>
      <w:pPr>
        <w:sectPr>
          <w:pgSz w:w="11900" w:h="16838" w:orient="portrait"/>
          <w:cols w:equalWidth="0" w:num="2">
            <w:col w:w="4900" w:space="720"/>
            <w:col w:w="5620"/>
          </w:cols>
          <w:pgMar w:left="320" w:top="702"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the underwriters an option to purchase up to 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additional 489,622 shares of our common stock for a period of 30 days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prospectus supplement.</w:t>
      </w:r>
    </w:p>
    <w:p>
      <w:pPr>
        <w:spacing w:after="0" w:line="200" w:lineRule="exact"/>
        <w:rPr>
          <w:sz w:val="20"/>
          <w:szCs w:val="20"/>
          <w:color w:val="auto"/>
        </w:rPr>
      </w:pPr>
    </w:p>
    <w:p>
      <w:pPr>
        <w:sectPr>
          <w:pgSz w:w="11900" w:h="16838" w:orient="portrait"/>
          <w:cols w:equalWidth="0" w:num="2">
            <w:col w:w="4900" w:space="720"/>
            <w:col w:w="5620"/>
          </w:cols>
          <w:pgMar w:left="320" w:top="702"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100"/>
        <w:spacing w:after="0" w:line="291" w:lineRule="auto"/>
        <w:rPr>
          <w:sz w:val="20"/>
          <w:szCs w:val="20"/>
          <w:color w:val="auto"/>
        </w:rPr>
      </w:pPr>
      <w:r>
        <w:rPr>
          <w:rFonts w:ascii="Arial" w:cs="Arial" w:eastAsia="Arial" w:hAnsi="Arial"/>
          <w:sz w:val="16"/>
          <w:szCs w:val="16"/>
          <w:color w:val="auto"/>
        </w:rPr>
        <w:t>We intend to use the net proceeds from this offering to develop, test and manufacture our LUNAR-COV19 vaccine candidate and to continue clinical development of LUNAR-OTC; to advance our LUNAR-CF, LUNAR-CV and LUNAR-FLU preclinical programs into clinical development; to fund early research and development of novel and proprietary RNA medicines; and for general corporate and working capital purposes. See “Use of Proceeds” on page S-16 for additional information.</w:t>
      </w:r>
    </w:p>
    <w:p>
      <w:pPr>
        <w:spacing w:after="0" w:line="162" w:lineRule="exact"/>
        <w:rPr>
          <w:sz w:val="20"/>
          <w:szCs w:val="20"/>
          <w:color w:val="auto"/>
        </w:rPr>
      </w:pPr>
    </w:p>
    <w:p>
      <w:pPr>
        <w:sectPr>
          <w:pgSz w:w="11900" w:h="16838" w:orient="portrait"/>
          <w:cols w:equalWidth="0" w:num="2">
            <w:col w:w="4900" w:space="720"/>
            <w:col w:w="5620"/>
          </w:cols>
          <w:pgMar w:left="320" w:top="70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You should read the “Risk Factors” section of this prospectus supplement and in the documents incorporated by reference in this prospectus supplement for a discussion of factors that you should read and consider before investing in our common stock.</w:t>
      </w:r>
    </w:p>
    <w:p>
      <w:pPr>
        <w:spacing w:after="0" w:line="183" w:lineRule="exact"/>
        <w:rPr>
          <w:sz w:val="20"/>
          <w:szCs w:val="20"/>
          <w:color w:val="auto"/>
        </w:rPr>
      </w:pPr>
    </w:p>
    <w:p>
      <w:pPr>
        <w:sectPr>
          <w:pgSz w:w="11900" w:h="16838" w:orient="portrait"/>
          <w:cols w:equalWidth="0" w:num="2">
            <w:col w:w="4900" w:space="720"/>
            <w:col w:w="5620"/>
          </w:cols>
          <w:pgMar w:left="320" w:top="70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ARCT</w:t>
      </w:r>
    </w:p>
    <w:p>
      <w:pPr>
        <w:spacing w:after="0" w:line="200" w:lineRule="exact"/>
        <w:rPr>
          <w:sz w:val="20"/>
          <w:szCs w:val="20"/>
          <w:color w:val="auto"/>
        </w:rPr>
      </w:pPr>
    </w:p>
    <w:p>
      <w:pPr>
        <w:sectPr>
          <w:pgSz w:w="11900" w:h="16838" w:orient="portrait"/>
          <w:cols w:equalWidth="0" w:num="2">
            <w:col w:w="4900" w:space="720"/>
            <w:col w:w="5620"/>
          </w:cols>
          <w:pgMar w:left="320" w:top="702" w:right="339" w:bottom="1440" w:gutter="0" w:footer="0" w:header="0"/>
          <w:type w:val="continuous"/>
        </w:sectPr>
      </w:pPr>
    </w:p>
    <w:p>
      <w:pPr>
        <w:spacing w:after="0" w:line="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number of shares of our common stock to be outstanding immediately following this offering as shown above is based on 20,610,056 shares of our common stock outstanding on June 30, 2020 and excludes:</w:t>
      </w:r>
    </w:p>
    <w:p>
      <w:pPr>
        <w:spacing w:after="0" w:line="170"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2,223,398 shares of our common stock reserved for issuance under stock option agreements issued pursuant to our 2019 Omnibus Equity Incentive Plan at a weighted average exercise price of $11.91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3,366,340 shares of our common stock reserved for future issuance under our Amended and Restated 2019 Omnibus Equity Incentive Plan;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600,000 shares of our common stock reserved for future issuance under our 2020 Employee Stock Purchase Plan.</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Except as otherwise noted, all information in this prospectus supplement assumes no exercise by the underwriters of their option to purchase additional shares of common stock.</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You should carefully consider the following risk factors and the risk factors discussed under “Item 1A—Risk Factors” contained in our Annual Report on Form 10-K for the fiscal year ended December 31, 2019 and in Part II, Item 1A, Risk Factors of our Quarterly Report on Form 10-Q for the quarter ended March 31, 2020 and of any subsequently filed Annual Reports on Form 10-K and Quarterly Reports on Form 10-Q, which are incorporated by reference in this prospectus supplement in their entirety, together with all of the other information contained in this prospectus supplement and the accompanying prospectus or incorporated by reference in this prospectus supplement and the accompanying prospectus. The risks described in any document incorporated by reference are not the only ones we have, but are considered to be the most material. Additional risks of which we are not presently aware or that we currently believe are immaterial may also harm our business and results of operations. If any of these risks actually occur, our business, financial condition and results of operations would likely suffer. In that case, the market price of the common stock could decline, and you may lose part or all of your investment in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pursuit of a COVID-19 vaccine candidate is at an early stage. We may be unable to produce a vaccine that successfully prevents infection from the virus in a timely manner, if at all, and preliminary data may not be indicative of future success.</w:t>
      </w:r>
    </w:p>
    <w:p>
      <w:pPr>
        <w:spacing w:after="0" w:line="170" w:lineRule="exact"/>
        <w:rPr>
          <w:sz w:val="20"/>
          <w:szCs w:val="20"/>
          <w:color w:val="auto"/>
        </w:rPr>
      </w:pPr>
    </w:p>
    <w:p>
      <w:pPr>
        <w:ind w:firstLine="500"/>
        <w:spacing w:after="0" w:line="268" w:lineRule="auto"/>
        <w:rPr>
          <w:sz w:val="20"/>
          <w:szCs w:val="20"/>
          <w:color w:val="auto"/>
        </w:rPr>
      </w:pPr>
      <w:r>
        <w:rPr>
          <w:rFonts w:ascii="Arial" w:cs="Arial" w:eastAsia="Arial" w:hAnsi="Arial"/>
          <w:sz w:val="17"/>
          <w:szCs w:val="17"/>
          <w:color w:val="auto"/>
        </w:rPr>
        <w:t>In response to the global outbreak of coronavirus, in March 2020, we entered into a partnership with Duke-NUS Medical School in Singapore to develop a novel coronavirus (COVID-19) vaccine for Singapore. Our development of the vaccine is in early stages, and we may be unable to produce a vaccine that successfully prevents infection from the virus in a timely manner, if at all. We intend to commence a phase 1/2 clinical trial in Singapore in August 2020, and in connection therewith, we will inject our LUNAR-COV19 vaccine candidate into human subjects for the first time. If any adverse events occur in the trial subjects, our development program could be delayed or halted altogether. We are also committing financial resources and personnel to the development of a COVID-19 vaccine which may cause delays in or otherwise negatively impact our other development programs, despite uncertainties surrounding the longevity and extent of coronavirus as a global health concern. Our business could be negatively impacted by our allocation of significant resources to a global health threat that is unpredictable and could rapidly dissipate or against which our vaccine, if developed, may not be partially or fully effective. In addition, a substantial number of companies, individuals and institutions are working to develop a vaccine, many of which have substantially greater financial, scientific and other resources than us, and another party may be successful in producing a more efficacious vaccine or other treatment for COVID-19 which may also lead to the diversion of governmental and quasi-governmental funding away from us and toward other companies, and lead to demand being driven away from our product, even if developed. Finally, even though we may report preliminary pre-clinical or other data that could appear to be positive, no assurance can be given that any product candidate will be safe in humans or prove to be effective once trials commence. We will not be able to commercialize or market the product candidate unless and until we are able to demonstrate that our vaccine candidate is safe and effective in humans.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It is possible that one or more government entities may take actions that directly or indirectly have a negative effect on our opportunities. If we were to develop a COVID-19 vaccine, the economic value of such a vaccine to us could be limited.</w:t>
      </w:r>
    </w:p>
    <w:p>
      <w:pPr>
        <w:spacing w:after="0" w:line="170"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Various government entities, including the U.S. government, are offering incentives, grants and contracts to encourage additional investment by commercial organizations into preventative and therapeutic agents against coronavirus, which may have the effect of increasing the number of competitors and/or providing advantages to known competitors. Accordingly, there can be no assurance that we will be able to successfully establish a competitive market share for our COVID-19 vaccine, if any.</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i w:val="1"/>
          <w:iCs w:val="1"/>
          <w:color w:val="auto"/>
        </w:rPr>
        <w:t>The recent coronavirus outbreak has caused interruptions or delays of our business plan and may have a significant adverse effect on our business.</w:t>
      </w:r>
    </w:p>
    <w:p>
      <w:pPr>
        <w:spacing w:after="0" w:line="260" w:lineRule="exact"/>
        <w:rPr>
          <w:sz w:val="20"/>
          <w:szCs w:val="20"/>
          <w:color w:val="auto"/>
        </w:rPr>
      </w:pPr>
    </w:p>
    <w:p>
      <w:pPr>
        <w:ind w:right="40" w:firstLine="500"/>
        <w:spacing w:after="0" w:line="290" w:lineRule="auto"/>
        <w:rPr>
          <w:sz w:val="20"/>
          <w:szCs w:val="20"/>
          <w:color w:val="auto"/>
        </w:rPr>
      </w:pPr>
      <w:r>
        <w:rPr>
          <w:rFonts w:ascii="Arial" w:cs="Arial" w:eastAsia="Arial" w:hAnsi="Arial"/>
          <w:sz w:val="16"/>
          <w:szCs w:val="16"/>
          <w:color w:val="auto"/>
        </w:rPr>
        <w:t>In December 2019, a strain of coronavirus, COVID-19, was reported to have surfaced in Wuhan, China, and on March 12, 2020, the World Health Organization declared COVID-19 to be a pandemic. In an effort to contain and mitigate the spread of COVID-19, many countries, including the United States, Canada and China, have imposed unprecedented restrictions on travel, quarantines, and other public health safety measures. The extent to which the pandemic may impact our business will depend on future developments, which are highly uncertain and cannot be predicted, but the development of clinical supply materials could be delayed and enrollment of patients in our study for LUNAR-OTC and LUNAR-COV19 may be delayed or suspended, as hospitals and clinics in areas where we are conducting trials shift resources to cope with the COVID-19 pandemic and may limit access or close clinical facilities due to the COVID-19 pandemic. Additionally, if our trial participants are unable to travel to our clinical study sites as a result of quarantines or other restrictions resulting from the COVID-19 pandemic, we may experience higher drop-out rates or delays in our clinical studies.</w:t>
      </w:r>
    </w:p>
    <w:p>
      <w:pPr>
        <w:spacing w:after="0" w:line="165" w:lineRule="exact"/>
        <w:rPr>
          <w:sz w:val="20"/>
          <w:szCs w:val="20"/>
          <w:color w:val="auto"/>
        </w:rPr>
      </w:pPr>
    </w:p>
    <w:p>
      <w:pPr>
        <w:ind w:firstLine="500"/>
        <w:spacing w:after="0" w:line="291" w:lineRule="auto"/>
        <w:rPr>
          <w:sz w:val="20"/>
          <w:szCs w:val="20"/>
          <w:color w:val="auto"/>
        </w:rPr>
      </w:pPr>
      <w:r>
        <w:rPr>
          <w:rFonts w:ascii="Arial" w:cs="Arial" w:eastAsia="Arial" w:hAnsi="Arial"/>
          <w:sz w:val="16"/>
          <w:szCs w:val="16"/>
          <w:color w:val="auto"/>
        </w:rPr>
        <w:t>Government-imposed quarantines and restrictions may also require us to temporarily terminate our clinical sites. Furthermore, if we determine that our trial participants may suffer from exposure to COVID-19 as a result of their participation in our clinical trials, we may voluntarily terminate certain clinical sites as a safety measure until we reasonably believe that the likelihood of exposure has subsided. As a result, our expected development timelines for our product candidates may be negatively impacted. We cannot predict the ultimate impact of the COVID-19 pandemic as consequences of such an event are highly uncertain and subject to change. We do not yet know the full extent of potential delays or impacts on our business, our clinical studies or as a whole; however, the COVID-19 outbreak may materially disrupt or delay our business operations, further divert the attention and efforts of the medical community to coping with COVID-19, disrupt the marketplace in which we operate, and/or have a material adverse effect on our operations.</w:t>
      </w:r>
    </w:p>
    <w:p>
      <w:pPr>
        <w:spacing w:after="0" w:line="166" w:lineRule="exact"/>
        <w:rPr>
          <w:sz w:val="20"/>
          <w:szCs w:val="20"/>
          <w:color w:val="auto"/>
        </w:rPr>
      </w:pPr>
    </w:p>
    <w:p>
      <w:pPr>
        <w:ind w:firstLine="500"/>
        <w:spacing w:after="0" w:line="254" w:lineRule="auto"/>
        <w:rPr>
          <w:sz w:val="20"/>
          <w:szCs w:val="20"/>
          <w:color w:val="auto"/>
        </w:rPr>
      </w:pPr>
      <w:r>
        <w:rPr>
          <w:rFonts w:ascii="Arial" w:cs="Arial" w:eastAsia="Arial" w:hAnsi="Arial"/>
          <w:sz w:val="18"/>
          <w:szCs w:val="18"/>
          <w:color w:val="auto"/>
        </w:rPr>
        <w:t>Moreover, the various precautionary measures taken by many governmental authorities around the world in order to limit the spread of the coronavirus has had and may continue to have an adverse effect on the global markets and global economy generally, including on the availability and pricing of employees, resources, materials, manufacturing and delivery efforts and other aspects of the global economy. There have been business closures and a substantial reduction in economic activity in countries that have had significant outbreaks of COVID-19. Significant uncertainty remains as to the potential impact of the COVID-19 pandemic on the global economy as a whole. It is currently not possible to predict how long the pandemic will last or the time that it will take for economic activity to return to prior levels. The COVID-19 pandemic could materially disrupt our business and operations, interrupt our sources of supply, hamper our ability to raise additional funds or sell or securities, continue to slow down the overall economy or curtail consumer spending.</w:t>
      </w:r>
    </w:p>
    <w:p>
      <w:pPr>
        <w:spacing w:after="0" w:line="19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We are currently conducting foreign clinical trials (FCT) for our pending COVID-19 vaccine. While costs of FCTs are significantly lower than the costs of an equivalent trial in the United States, there are risks associated with FCTs which may ultimately inhibit FDA approval.</w:t>
      </w:r>
    </w:p>
    <w:p>
      <w:pPr>
        <w:spacing w:after="0" w:line="124" w:lineRule="exact"/>
        <w:rPr>
          <w:sz w:val="20"/>
          <w:szCs w:val="20"/>
          <w:color w:val="auto"/>
        </w:rPr>
      </w:pPr>
    </w:p>
    <w:p>
      <w:pPr>
        <w:ind w:right="140" w:firstLine="500"/>
        <w:spacing w:after="0" w:line="279" w:lineRule="auto"/>
        <w:rPr>
          <w:sz w:val="20"/>
          <w:szCs w:val="20"/>
          <w:color w:val="auto"/>
        </w:rPr>
      </w:pPr>
      <w:r>
        <w:rPr>
          <w:rFonts w:ascii="Arial" w:cs="Arial" w:eastAsia="Arial" w:hAnsi="Arial"/>
          <w:sz w:val="17"/>
          <w:szCs w:val="17"/>
          <w:color w:val="auto"/>
        </w:rPr>
        <w:t>Costs associated with FCTs are significantly lower than the costs of equivalent trials in the United States. However, any clinical data from the FCT may not be adequate to support FDA approval without further preclinical studies, clinical trials, or both. Other companies have in the past encountered various problems with FCTs. The occurrence of any of these could have a material adverse effect on the ultimate path to FDA approval of any COVID-19 vaccine we may develop, which may negatively impact our financial condition and our business.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Currently we are only conducting FCTs for our pending COVID-19 vaccine and we have not yet submitted an investigational new drug application (IND) with the US FDA. We cannot market our pending COVID-19 vaccine in the United States unless and until we seek and obtain approval from the US FDA.</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Currently, we are only conducting FCTs for LUNAR-COV19. We intend to prepare and submit to the FDA an IND for LUNAR-COV19. As such, we will be required to conduct further preclinical studies, clinical trials, or both in order to obtain approval to sell LUNAR-COV19 in the United States. If the FDA approves our IND for LUNAR-COV19, which cannot be assured, we would require significant additional financial resources to conduct clinical trials, which may not be available to us on attractive terms, if at all. Furthermore, no assurance can be given that such trials will demonstrate that LUNAR-COV19 is safe or effective. The inability to sell LUNAR-COV19 in the United States could have a material adverse effect our financial condition and results of operations.</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 are devoting significant resources to the scale-up and development of our LUNAR-COV19 vaccine candidate.</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are working toward the large scale technical development, manufacturing scale-up in several countries and larger scale deployment of this potential vaccine. The number of doses of this potential vaccine that we are able to produce is dependent on our ability, and the ability of our contract manufacturers, to successfully and rapidly scale-up manufacturing capacity. The number of doses that we will be able to produce is also dependent in large part on the dosage of the vaccine required to be administered to patients which will be determined in our clinical trials. To support the scale-up, we will need to expend significant resources and capital. Although this offering will provide a source of capital to support our LUNAR-COV19 program, we will also need to seek and secure significant additional funding through a variety of potential contractual arrangements and collaborations with third parties. We may be unable to enter such arrangements on favorable terms, or at all, which would adversely affect our ability to develop, manufacture and distribute a potential vaccine.</w:t>
      </w:r>
    </w:p>
    <w:p>
      <w:pPr>
        <w:spacing w:after="0" w:line="19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addition, since the path to licensure of any vaccine against COVID-19 is unclear, we may have a widely used vaccine in circulation in certain countries prior to our receipt of marketing approval. Unexpected safety issues could lead to significant reputational damage for us and our technology platform going forward and other issues, including delays in our other programs, the need for re-design of our clinical trials and the need for significant additional financial resources. Given the rapidity of both the onset of the COVID-19 pandemic and our development efforts with respect to LUNAR-COV19, as well as the complexity of the economics of a pandemic vaccine, we are only in the early stages of considering how to price a potential vaccine and cannot provide assurance as to the ultimate impact of our LUNAR-COV19 program on our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pathway for LUNAR-COV19 is continually evolving, and may result in unexpected or unforeseen challenges.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To date, LUNAR-COV19 has moved rapidly through the regulatory review and approval process. The speed at which all parties are acting to create and test many therapeutics and vaccines for COVID-19 is unusual, and evolving or changing plans or priorities within the requisite regulatory bodies, including changes based on new knowledge of COVID-19 and how the disease affects the human body, may significantly affect the regulatory timeline for LUNAR-COV19. Results from clinical testing may raise new questions and require us to redesign proposed clinical trials, including revising proposed endpoints or adding new clinical trial sites or cohorts of subjects.</w:t>
      </w:r>
    </w:p>
    <w:p>
      <w:pPr>
        <w:spacing w:after="0" w:line="18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Our internal computer systems and physical premises, or those of our strategic collaborators or other contractors or consultants, may fail or suffer security breaches, which could result in a material disruption of our product development programs and our manufacturing operations.</w:t>
      </w:r>
    </w:p>
    <w:p>
      <w:pPr>
        <w:spacing w:after="0" w:line="12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internal computer systems and those of our current and any future strategic collaborators, vendors, and other contractors or consultants are vulnerable to damage from computer viruses, unauthorized access, natural disasters, terrorism, cybersecurity threats, war, and telecommunication and electrical failures. We may experience cyber-attacks on our information technology systems by threat actors of all types (including but not limited to nation states, organized crime, other criminal enterprises, individual actors and/or advanced persistent threat groups). In addition, we may experience intrusions on our physical premises by any of these threat actors. If any such cyber-attack or physical intrusion were to cause interruptions in our operations, such as a material disruption of our development programs or our manufacturing operations, whether due to a loss of our trade secrets or other proprietary information it would have a material and adverse effect on us. For example, the loss of clinical trial data from one or more ongoing or completed or future clinical trials could result in delays in our regulatory approval efforts and significantly increase our costs to recover or reproduce the data. In addition, if we were to run multiple clinical trials in parallel, any breach of our computer systems or physical premises could result in a loss of data or compromised data integrity across more than one of our programs in different stages of development. Any such breach, loss, or compromise of clinical trial participant personal data may also subject us to civil fines and penalties or claims for damages, either under the General Data Protection Regulation (“GDPR”) and relevant member state law in the EU, other foreign laws, and the federal Health Insurance Portability and Accountability Act of 1996 (“HIPAA”), and other relevant state and federal privacy laws in the United States including the California Consumer Privacy Act (“CCPA”). On May 13, 2020, the Federal Bureau of Investigation (“FBI”) and Cybersecurity and Infrastructure Security Agency (“CISA”) announced that the FBI is investigating the targeting and compromise of U.S. organizations conducting COVID-19-related research by People’s Republic of China (“PRC”)-affiliated cyber actors. To the extent that any disruption or security breach were to result in a loss of, or damage to, our data or applications, or inappropriate disclosure of confidential or proprietary information, including but not limited to information related to our LUNAR-COV19 vaccine candidate, we could incur liability, our competitive and reputational position could be harmed, and the further development and commercialization of our investigational medicines could be delayed.</w:t>
      </w: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2" w:name="page13"/>
    <w:bookmarkEnd w:id="12"/>
    <w:p>
      <w:pPr>
        <w:ind w:right="180"/>
        <w:spacing w:after="0" w:line="263" w:lineRule="auto"/>
        <w:rPr>
          <w:sz w:val="20"/>
          <w:szCs w:val="20"/>
          <w:color w:val="auto"/>
        </w:rPr>
      </w:pPr>
      <w:r>
        <w:rPr>
          <w:rFonts w:ascii="Arial" w:cs="Arial" w:eastAsia="Arial" w:hAnsi="Arial"/>
          <w:sz w:val="18"/>
          <w:szCs w:val="18"/>
          <w:b w:val="1"/>
          <w:bCs w:val="1"/>
          <w:i w:val="1"/>
          <w:iCs w:val="1"/>
          <w:color w:val="auto"/>
        </w:rPr>
        <w:t>The positive data from the preclinical trials of LUNAR-COV19, our COVID-19 vaccine candidate, may not be predictive of the results of our planned clinical trials, which is one of a number of factors that may delay or prevent us from receiving regulatory approval of our COVID-19 vaccine candidate.</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yet to conduct our first in-human clinical trials. Results from the proposed Phase 1/2 study or any interim results of any further Phase 2 or Phase 3 studies for LUNAR-COV19 if approved could show diminished efficacy as compared to our preclinical study results. We also may observe adverse events in subjects participating in these clinical studies. In addition, the interpretation of the data from our clinical trials of LUNAR-COV19 by regulatory agencies may differ from our interpretation of such data and such regulatory agencies may require that we conduct additional studies or analyses. Further, the assays being used to measure and analyze the effectiveness of vaccines being developed to treat COVID-19 have only recently been developed and are continuing to evolve. The validity and standardization of these assays has not yet been established, and the results obtained in clinical studies of LUNAR-COV19 with subsequent versions of these assays may be less positive than the pre-clinical results we have obtained to date. Any of these factors and others that we may not be able to identify at this time, could delay or prevent us from receiving regulatory approval of LUNAR-COV19 and there can be no assurance that LUNAR-COV19 will be approved in a timely manner, if at all.</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relying on advance purchase commitments of our LUNAR-COV19 vaccine candidate from certain foreign governmental agencies, including Singapore and the State of Israel.</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While this offering will provide a source of capital to support the development and manufacture of our LUNAR-COV19 vaccine, we must also secure additional funding through contractual arrangements with third parties, including the governments of Singapore and the State of Israel. We may be unable to enter into such arrangements on favorable terms, or at all, which would adversely affect our ability to develop, manufacture and distribute a potential vaccine.</w:t>
      </w:r>
    </w:p>
    <w:p>
      <w:pPr>
        <w:spacing w:after="0" w:line="18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existing commitment from the State of Israel to purchase up to $275 million of the LUNAR-COV19 vaccine candidate is subject to the negotiation of a definitive supply agreement. We may not be able to agree on the terms and conditions of a definitive supply agreement, in which case, we may not receive any funds from the State of Israel.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suffer immediate dilution in the net tangible book value per share of the common stock that you purchase in this offering.</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public offering price of our common stock is substantially higher than the as-adjusted net tangible book value per share of our common stock. Therefore, investors purchasing shares of our common stock in this offering will pay a price per share that substantially exceeds the as-adjusted net tangible book value per share after this offering. For more information, see “Dilution.”</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We will require additional capital funding, the receipt of which may impair the value of our common stock</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future capital requirements depend on many factors, including our research, development, sales and marketing activities. We will need to raise additional capital through public or private equity or debt offerings or through arrangements with strategic partners or other sources in order to continue to develop our drug candidates. There can be no assurance that additional capital will be available when needed or on terms satisfactory to us, if at all. To the extent we raise additional capital by issuing equity securities, our stockholders may experience substantial dilution and the new equity securities may have greater rights, preferences or privileges than our existing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not use them effectively.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our stockholders will not have the opportunity as part of their investment decisions to assess whether the net proceeds are being used appropriately. You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growth strategy and we might not be able to yield a significant return, if any, in our investment of these net proceeds. You will not have the opportunity to influence our decisions on how to use our net proceeds from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volatile which could reduce the market price of our common stock.</w:t>
      </w:r>
    </w:p>
    <w:p>
      <w:pPr>
        <w:spacing w:after="0" w:line="24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publicly traded shares of our common stock have experienced, and may experience in the future, significant price and volume fluctuations. This market volatility could reduce the market price of our common stock without regard to our operating performance. In addition, the trading price of our common stock could change significantly in response to actual or anticipated variations in our quarterly operating results, announcements by us or our competitors, factors affecting the medical imaging industry generally, changes in national or regional economic conditions, changes in securities analysts’ estimates for us or our competitors’ or industry’s future performance or general market conditions, making it more difficult for shares of our common stock to be sold at a favorable price or at all. The market price of our common stock could also be reduced by general market price declines or market volatility in the future or future declines or volatility in the prices of stocks for companies in our industry. The COVID-19 pandemic has resulted in significant financial market volatility and uncertainty in recent weeks. A continuation or worsening of the levels of market disruption and volatility seen in the recent past could have an adverse effect on our ability to access capital, on our business, results of operations and financial condition, and on the market price of our common stock.</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 substantial number of shares of our common stock are eligible for future sale, and the sale of shares of common stock into the market, or the perception that such sales may occur, may depress our stock price.</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Sales of substantial additional shares of our common stock in the public market, or the perception that these sales may occur, may significantly lower the market price of our common stock. We are unable to estimate the amount, timing or nature of future sales of shares of our common stock. We have previously issued a substantial number of shares of common stock, which are eligible for resale under Rule 144 of the Securities Act of 1933, as amended, or the Securities Act, and may become freely tradable. We have also registered shares that are issuable upon the exercise of options and warrants. If holders of options or warrants choose to exercise their securities and sell shares of common stock issued upon the exercise in the public market, or if holders of currently restricted common stock choose to sell such shares of common stock in the public market under Rule 144 or otherwise, or attempt to publicly sell such shares all at once or in a short time period, the prevailing market price for our common stock may decline.</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may cause significant dilution of equity interests of existing holders of common stock and decrease the market price of shares of our common stock.</w:t>
      </w:r>
    </w:p>
    <w:p>
      <w:pPr>
        <w:spacing w:after="0" w:line="17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We have previously issued options that are exercisable into a significant number of shares of our common stock and may issue additional options and warrants in the future. Should holders of options or warrants exercise their securities into shares of our common stock, it may cause significant dilution of equity interests of existing holders of our common stock and reduce the market price of shares of our common stock.</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We are not currently paying dividends and will likely not pay dividends for the foreseeable future.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capital requirements, contractual restrictions and other factors that our board of directors deems relevant.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our stock price and trading volume could decline.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may publish about us, our business, our market or our competitors. If any of the analysts who may cover us adversely change their recommendation regarding our common stock, or provide more favorable relative recommendations about our competitors, the trading price of our common stock could decline. If any analyst who may cover us were to cease coverage of our company or fail to regularly publish reports on us, we could lose visibility in the financial markets, which in turn could cause the trading price of our common stock or trading volume to decline.</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prospectus supplement, the accompanying prospectus, the documents incorporated by reference and any free writing prospectus that we have authorized for use in connection with this offering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225" w:lineRule="exact"/>
        <w:rPr>
          <w:sz w:val="20"/>
          <w:szCs w:val="20"/>
          <w:color w:val="auto"/>
        </w:rPr>
      </w:pPr>
    </w:p>
    <w:p>
      <w:pPr>
        <w:ind w:left="1300" w:right="2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16" w:name="page17"/>
    <w:bookmarkEnd w:id="16"/>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use of proceeds from this offering; and</w:t>
      </w:r>
    </w:p>
    <w:p>
      <w:pPr>
        <w:spacing w:after="0" w:line="225" w:lineRule="exact"/>
        <w:rPr>
          <w:rFonts w:ascii="Arial" w:cs="Arial" w:eastAsia="Arial" w:hAnsi="Arial"/>
          <w:sz w:val="18"/>
          <w:szCs w:val="18"/>
          <w:color w:val="auto"/>
        </w:rPr>
      </w:pPr>
    </w:p>
    <w:p>
      <w:pPr>
        <w:ind w:left="1300" w:hanging="644"/>
        <w:spacing w:after="0" w:line="27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other risks and uncertainties described in “Risk Factors” beginning on page S-8 of this prospectus supplement and in Part I, Item 1A, Risk Factors of our Annual Report on Form 10-K for the fiscal year ended December 31, 2019 and in Part II, Item 1A, Risk Factors of our Quarterly Report on Form 10-Q for the quarter ended March 31, 2020 and any subsequently filed Quarterly Reports on Form 10-Q, which are incorporated by reference in this prospectus supplement and the accompanying prospectus.</w:t>
      </w:r>
    </w:p>
    <w:p>
      <w:pPr>
        <w:spacing w:after="0" w:line="17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urge you to consider these factors carefully in evaluating the forward-looking statements contained in this prospectus supplement, the accompanying prospectus or the documents incorporated by reference herein. All subsequent written or oral forward-looking statements attributable to our company or persons acting on our behalf are expressly qualified in their entirety by these cautionary statements. The forward-looking statements included in this prospectus supplement are made only as of the date of this prospectus supplement. We undertake no obligation to update publicly any forward-looking statements, whether as a result of new information, future events or otherwise, except to the extent that we are required to do so by law.</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06" w:right="439" w:bottom="1440" w:gutter="0" w:footer="0" w:header="0"/>
        </w:sectPr>
      </w:pPr>
    </w:p>
    <w:bookmarkStart w:id="17" w:name="page18"/>
    <w:bookmarkEnd w:id="17"/>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estimate that the net proceeds from this offering will be approximately $162.0 million (or approximately $186.4 million if the underwriters exercise their option to purchase additional shares in full), after deducting the underwriting discounts and commissions and estimated offering expenses payable by us.</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intend to use the net proceeds from this offering to support clinical studies to develop, test and manufacture our LUNAR-COV19 vaccine candidate and the continued clinical development of LUNAR-OTC, the advancing of our LUNAR-CF, LUNAR-CV and LUNAR-FLU preclinical programs into clinical development and for general corporate and working capital purposes, including ongoing research and development activities for novel and proprietary RNA drug candidates and our LUNAR and STARR technology platforms. The amounts and timing of our actual use of the net proceeds from this offering will vary depending on numerous factors, including the factors described under “Risk Factors” located elsewhere in this prospectus supplement, the accompanying prospectus or in the information incorporated by reference herein or therein. As a result, our management will have broad discretion in the application of the net proceeds, and investors will be relying on our judgment regarding the application of the net proceeds from this offering.</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Pending application of the net proceeds as discussed above, we plan to invest any remaining proceeds from this offering in a variety of capital preservation instruments, including short-term, interest-bearing obligations, investment-grade instruments, or direct or guaranteed obligations of the U.S. government.</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702" w:right="5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you purchase shares of common stock in this offering, you will experience dilution to the extent of the difference between the public offering price per share in this offering and our as adjusted net tangible book value per share after this offering.</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Net tangible book value per share represents total tangible assets less total liabilities, divided by the number of shares of common stock outstanding. Our historical net tangible book value as of March 31, 2020 was $17.0 million, or $1.12 per share of common stock. After giving effect to our sale of shares of common stock at a public offering price of $53.00 per share, and after deducting commissions and estimated offering expenses payable by us, our as adjusted net tangible book value as of March 31, 2020 would have been approximately $178.9 million, or approximately $9.71 per share. This represents an immediate increase in net tangible book value of approximately $8.59 per share to existing stockholders and an immediate dilution in as adjusted net tangible book value of approximately $(43.29) per share to new investors in this offering.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7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tangible book value per share as of March 31, 2020</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10"/>
              <w:spacing w:after="0"/>
              <w:rPr>
                <w:sz w:val="20"/>
                <w:szCs w:val="20"/>
                <w:color w:val="auto"/>
              </w:rPr>
            </w:pPr>
            <w:r>
              <w:rPr>
                <w:rFonts w:ascii="Arial" w:cs="Arial" w:eastAsia="Arial" w:hAnsi="Arial"/>
                <w:sz w:val="18"/>
                <w:szCs w:val="18"/>
                <w:color w:val="auto"/>
              </w:rPr>
              <w:t>1.12</w:t>
            </w:r>
          </w:p>
        </w:tc>
        <w:tc>
          <w:tcPr>
            <w:tcW w:w="9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17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8.59</w:t>
            </w:r>
          </w:p>
        </w:tc>
        <w:tc>
          <w:tcPr>
            <w:tcW w:w="9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1740" w:type="dxa"/>
            <w:vAlign w:val="bottom"/>
          </w:tcPr>
          <w:p>
            <w:pPr>
              <w:spacing w:after="0"/>
              <w:rPr>
                <w:sz w:val="18"/>
                <w:szCs w:val="18"/>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9.71</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7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r>
    </w:tbl>
    <w:p>
      <w:pPr>
        <w:spacing w:after="0" w:line="202"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If the underwriters fully exercise their option to purchase additional shares of common stock, our as adjusted net tangible book value after this offering would increase to $10.75 per share, and there would be an immediate dilution of $(42.25) per share to new investors in this offering.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above discussion and tables are based on 15,156,989 shares of common stock outstanding as of March 31, 2020 and excludes the following:</w:t>
      </w:r>
    </w:p>
    <w:p>
      <w:pPr>
        <w:spacing w:after="0" w:line="248" w:lineRule="exact"/>
        <w:rPr>
          <w:sz w:val="20"/>
          <w:szCs w:val="20"/>
          <w:color w:val="auto"/>
        </w:rPr>
      </w:pPr>
    </w:p>
    <w:p>
      <w:pPr>
        <w:ind w:left="1300" w:right="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2,203,176 shares of our common stock reserved for issuance under stock option agreements issued pursuant to our 2019 Omnibus Equity Incentive Plan at a weighted average exercise price of $9.29 per share;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354,332 shares of our common stock reserved for future issuance under our Amended and Restated 2019 Omnibus Equity Incentive Plan;</w:t>
      </w:r>
    </w:p>
    <w:p>
      <w:pPr>
        <w:spacing w:after="0" w:line="248" w:lineRule="exact"/>
        <w:rPr>
          <w:rFonts w:ascii="Arial" w:cs="Arial" w:eastAsia="Arial" w:hAnsi="Arial"/>
          <w:sz w:val="16"/>
          <w:szCs w:val="16"/>
          <w:color w:val="auto"/>
        </w:rPr>
      </w:pPr>
    </w:p>
    <w:p>
      <w:pPr>
        <w:ind w:left="1300" w:right="4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600,000 shares of our common stock issued on May 20, 2020 pursuant to an option granted to Ultragenyx Pharmaceutical Inc. at an exercise price of $16.00 per share;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600,000 shares of our common stock reserved for future issuance under our 2020 Employee Stock Purchase Plan;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4,735,297 shares of our common stock issued in a public offering of common stock consummated on April 20, 2020.</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29"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The following is a general discussion of material U.S. federal income tax considerations and certain U.S. estate tax considerations relating to the ownership and disposition of our common stock applicable to non-U.S. holders.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187" w:lineRule="exact"/>
        <w:rPr>
          <w:sz w:val="20"/>
          <w:szCs w:val="20"/>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880" w:right="180" w:hanging="427"/>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97" w:lineRule="exact"/>
        <w:rPr>
          <w:rFonts w:ascii="Arial" w:cs="Arial" w:eastAsia="Arial" w:hAnsi="Arial"/>
          <w:sz w:val="18"/>
          <w:szCs w:val="18"/>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252" w:lineRule="exact"/>
        <w:rPr>
          <w:rFonts w:ascii="Arial" w:cs="Arial" w:eastAsia="Arial" w:hAnsi="Arial"/>
          <w:sz w:val="18"/>
          <w:szCs w:val="18"/>
          <w:color w:val="auto"/>
        </w:rPr>
      </w:pPr>
    </w:p>
    <w:p>
      <w:pPr>
        <w:ind w:left="880" w:right="140" w:hanging="427"/>
        <w:spacing w:after="0" w:line="259"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under the U.S. Internal Revenue Code of 1986, as amended (which we refer to as the Code), have the authority to control all substantial decisions of the trust or (ii) such trust has made a valid election to be treated as a U.S. person for U.S. federal income tax purposes.</w:t>
      </w:r>
    </w:p>
    <w:p>
      <w:pPr>
        <w:spacing w:after="0" w:line="214"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This discussion is based on current provisions of the Code, final, temporary and proposed Treasury regulations promulgated thereunder (which we refer to as the Treasury Regulations), judicial decisions, published rulings and administrative pronouncements of the U.S. Internal Revenue Service, or IRS, all in effect as of the date of this prospectus and all of which are subject to change or to differing interpretation, possibly with retroactive effect. Any change could alter the tax consequences to non-U.S. holders described herein. There can be no assurance that the IRS, will not challenge one or more of the tax consequences described herein.</w:t>
      </w:r>
    </w:p>
    <w:p>
      <w:pPr>
        <w:spacing w:after="0" w:line="18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unearned income Medicare contribution tax on net investment income. This discussion also does not consider any specific facts or circumstances that may apply to a non-U.S. holder and does not address the special tax rules applicable to particular non-U.S. holders, such as:</w:t>
      </w:r>
    </w:p>
    <w:p>
      <w:pPr>
        <w:spacing w:after="0" w:line="192" w:lineRule="exact"/>
        <w:rPr>
          <w:sz w:val="20"/>
          <w:szCs w:val="20"/>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52" w:lineRule="exact"/>
        <w:rPr>
          <w:rFonts w:ascii="Arial" w:cs="Arial" w:eastAsia="Arial" w:hAnsi="Arial"/>
          <w:sz w:val="18"/>
          <w:szCs w:val="18"/>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brokers or dealers or traders in securities;</w:t>
      </w:r>
    </w:p>
    <w:p>
      <w:pPr>
        <w:spacing w:after="0" w:line="252" w:lineRule="exact"/>
        <w:rPr>
          <w:rFonts w:ascii="Arial" w:cs="Arial" w:eastAsia="Arial" w:hAnsi="Arial"/>
          <w:sz w:val="18"/>
          <w:szCs w:val="18"/>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52" w:lineRule="exact"/>
        <w:rPr>
          <w:rFonts w:ascii="Arial" w:cs="Arial" w:eastAsia="Arial" w:hAnsi="Arial"/>
          <w:sz w:val="18"/>
          <w:szCs w:val="18"/>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52" w:lineRule="exact"/>
        <w:rPr>
          <w:rFonts w:ascii="Arial" w:cs="Arial" w:eastAsia="Arial" w:hAnsi="Arial"/>
          <w:sz w:val="18"/>
          <w:szCs w:val="18"/>
          <w:color w:val="auto"/>
        </w:rPr>
      </w:pPr>
    </w:p>
    <w:p>
      <w:pPr>
        <w:ind w:left="880" w:right="260" w:hanging="427"/>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hold our common stock as part of a straddle, hedge, conversion transaction, synthetic security or other integrated investment or who have elected to mark securities to market;</w:t>
      </w:r>
    </w:p>
    <w:p>
      <w:pPr>
        <w:spacing w:after="0" w:line="197" w:lineRule="exact"/>
        <w:rPr>
          <w:rFonts w:ascii="Arial" w:cs="Arial" w:eastAsia="Arial" w:hAnsi="Arial"/>
          <w:sz w:val="18"/>
          <w:szCs w:val="18"/>
          <w:color w:val="auto"/>
        </w:rPr>
      </w:pPr>
    </w:p>
    <w:p>
      <w:pPr>
        <w:ind w:left="880" w:right="300" w:hanging="427"/>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7" w:lineRule="exact"/>
        <w:rPr>
          <w:rFonts w:ascii="Arial" w:cs="Arial" w:eastAsia="Arial" w:hAnsi="Arial"/>
          <w:sz w:val="18"/>
          <w:szCs w:val="18"/>
          <w:color w:val="auto"/>
        </w:rPr>
      </w:pPr>
    </w:p>
    <w:p>
      <w:pPr>
        <w:ind w:left="880" w:hanging="427"/>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w:t>
      </w: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0" w:name="page21"/>
    <w:bookmarkEnd w:id="20"/>
    <w:p>
      <w:pPr>
        <w:ind w:left="880" w:hanging="427"/>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for whom our common stock constitutes “qualified small business stock” within the meaning of Section 1202 of the Code;</w:t>
      </w:r>
    </w:p>
    <w:p>
      <w:pPr>
        <w:spacing w:after="0" w:line="252" w:lineRule="exact"/>
        <w:rPr>
          <w:rFonts w:ascii="Arial" w:cs="Arial" w:eastAsia="Arial" w:hAnsi="Arial"/>
          <w:sz w:val="18"/>
          <w:szCs w:val="18"/>
          <w:color w:val="auto"/>
        </w:rPr>
      </w:pPr>
    </w:p>
    <w:p>
      <w:pPr>
        <w:ind w:left="880" w:right="520" w:hanging="427"/>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w:t>
      </w:r>
    </w:p>
    <w:p>
      <w:pPr>
        <w:spacing w:after="0" w:line="197" w:lineRule="exact"/>
        <w:rPr>
          <w:rFonts w:ascii="Arial" w:cs="Arial" w:eastAsia="Arial" w:hAnsi="Arial"/>
          <w:sz w:val="18"/>
          <w:szCs w:val="18"/>
          <w:color w:val="auto"/>
        </w:rPr>
      </w:pPr>
    </w:p>
    <w:p>
      <w:pPr>
        <w:ind w:left="880" w:hanging="427"/>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non-U.S. governments; and</w:t>
      </w:r>
    </w:p>
    <w:p>
      <w:pPr>
        <w:spacing w:after="0" w:line="252" w:lineRule="exact"/>
        <w:rPr>
          <w:rFonts w:ascii="Arial" w:cs="Arial" w:eastAsia="Arial" w:hAnsi="Arial"/>
          <w:sz w:val="18"/>
          <w:szCs w:val="18"/>
          <w:color w:val="auto"/>
        </w:rPr>
      </w:pPr>
    </w:p>
    <w:p>
      <w:pPr>
        <w:ind w:left="880" w:hanging="427"/>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52" w:lineRule="exact"/>
        <w:rPr>
          <w:sz w:val="20"/>
          <w:szCs w:val="20"/>
          <w:color w:val="auto"/>
        </w:rPr>
      </w:pPr>
    </w:p>
    <w:p>
      <w:pPr>
        <w:ind w:right="260" w:firstLine="441"/>
        <w:spacing w:after="0" w:line="286" w:lineRule="auto"/>
        <w:rPr>
          <w:sz w:val="20"/>
          <w:szCs w:val="20"/>
          <w:color w:val="auto"/>
        </w:rPr>
      </w:pPr>
      <w:r>
        <w:rPr>
          <w:rFonts w:ascii="Arial" w:cs="Arial" w:eastAsia="Arial" w:hAnsi="Arial"/>
          <w:sz w:val="17"/>
          <w:szCs w:val="17"/>
          <w:color w:val="auto"/>
        </w:rPr>
        <w:t>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advisors as to the particular U.S. federal income tax consequences applicable to them.</w:t>
      </w:r>
    </w:p>
    <w:p>
      <w:pPr>
        <w:spacing w:after="0" w:line="16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THIS SUMMARY IS NOT INTENDED TO CONSTITUTE A COMPLETE DESCRIPTION OF ALL TAX CONSEQUENCES FOR NON-U.S. HOLDERS RELATING TO THE OWNERSHIP AND DISPOSITION OF OUR COMMON STOCK. PROSPECTIVE HOLDERS OF OUR COMMON STOCK SHOULD CONSULT WITH THEIR TAX ADVISORS REGARDING THE TAX CONSEQUENCES TO THEM (INCLUDING THE APPLICATION AND EFFECT OF ANY STATE, LOCAL, NON-U.S. INCOME AND OTHER TAX LAWS) OF THE OWNERSHIP AND DISPOSITION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As discussed under “Dividend Policy” above, we do not expect to make distributions on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of distributions not treated as dividends for U.S. federal income tax purposes will first constitute a tax-free return of capital of the non-U.S. holder’s investment and be applied against and reduce a non-U.S. holder’s adjusted tax basis in its common stock, but not below zero. Any remaining excess will be treated as capital gain and will be treated as described below under “Gain on Sale or Other Disposition of Common Stock.” Any such distributions will also be subject to the discussions below under the headings “FATCA” and “Backup Withholding, Information Reporting and Other Reporting Requirements.”</w:t>
      </w:r>
    </w:p>
    <w:p>
      <w:pPr>
        <w:spacing w:after="0" w:line="166"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Subject to the discussion in the next paragraph regarding effectively connected income,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4"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Dividends we pay to a non-U.S. holder that are effectively connected with its conduct of a trade or business within the United States (and, if required by an applicable tax treaty, are attributable to a U.S. permanent establishment or a fixed base maintained by such non-U.S. holder) will generally be exempt from the U.S. federal withholding tax, as described above, if the non-U.S. holder complies with applicable certification and disclosure requirements (generally including provision of a valid IRS Form W-8ECI (or applicable successor form) certifying that the dividends are effectively connected with the non-U.S. holder’s conduct of a trade or business within the United States). Instead, such dividends generally will be subject to U.S. federal income tax on a net income basis, at regular U.S. federal income tax rates as would apply if such holder were a U.S. person (as defined in the Code). Any U.S. effectively connected income received by a non-U.S. holder that is classified as a corporation for U.S. federal income tax purposes, may also be subject to an additional “branch profits tax” at a rate of 30% (or such lower rate as may be specified by an applicable income tax treaty).</w:t>
      </w:r>
    </w:p>
    <w:p>
      <w:pPr>
        <w:spacing w:after="0" w:line="16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these requirements.</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229"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Subject to the discussion below under the headings “FATCA” and “Backup Withholding, Information Reporting and Other Reporting Requirements,” a non-U.S. holder generally will not be subject to U.S. federal income tax on any gain realized upon the sale or other disposition of the non-U.S. holder’s shares of common stock unless:</w:t>
      </w:r>
    </w:p>
    <w:p>
      <w:pPr>
        <w:spacing w:after="0" w:line="184" w:lineRule="exact"/>
        <w:rPr>
          <w:sz w:val="20"/>
          <w:szCs w:val="20"/>
          <w:color w:val="auto"/>
        </w:rPr>
      </w:pPr>
    </w:p>
    <w:p>
      <w:pPr>
        <w:ind w:left="880" w:right="400" w:hanging="427"/>
        <w:spacing w:after="0" w:line="342"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carried on by the non-U.S. holder within the United States (and, if required by an applicable income tax treaty, is attributable to a U.S. permanent establishment or fixed base maintained by such non-U.S. holder);</w:t>
      </w:r>
    </w:p>
    <w:p>
      <w:pPr>
        <w:spacing w:after="0" w:line="150" w:lineRule="exact"/>
        <w:rPr>
          <w:rFonts w:ascii="Arial" w:cs="Arial" w:eastAsia="Arial" w:hAnsi="Arial"/>
          <w:sz w:val="16"/>
          <w:szCs w:val="16"/>
          <w:color w:val="auto"/>
        </w:rPr>
      </w:pPr>
    </w:p>
    <w:p>
      <w:pPr>
        <w:ind w:left="880" w:right="80" w:hanging="427"/>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met; or</w:t>
      </w:r>
    </w:p>
    <w:p>
      <w:pPr>
        <w:spacing w:after="0" w:line="197" w:lineRule="exact"/>
        <w:rPr>
          <w:rFonts w:ascii="Arial" w:cs="Arial" w:eastAsia="Arial" w:hAnsi="Arial"/>
          <w:sz w:val="18"/>
          <w:szCs w:val="18"/>
          <w:color w:val="auto"/>
        </w:rPr>
      </w:pPr>
    </w:p>
    <w:p>
      <w:pPr>
        <w:ind w:left="880" w:right="60" w:hanging="427"/>
        <w:spacing w:after="0" w:line="279"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within the shorter of the five-year period preceding such disposition or such non-U.S. holder’s holding period of our common stock, and, provided that our common stock is regularly traded in an established securities market within the meaning of applicable Treasury Regulations, the non-U.S. holder has held, directly or constructively, at any time during said period, more than 5% of our common stock.</w:t>
      </w:r>
    </w:p>
    <w:p>
      <w:pPr>
        <w:spacing w:after="0" w:line="198"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Gain that is effectively connected with the conduct of a trade or business in the United States generally will be subject to U.S. federal income tax on a net income tax basis, at regular U.S. federal income tax rates. If the non-U.S. holder is a non-U.S.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common stock will be subject to a flat 30% tax (or such lower rate as may be specified by an applicable income tax treaty) on the gain derived from such sale or other disposition, which may be offset by certain U.S. source capital losses, if any. We believe that we are not and we do not anticipate becoming a U.S. real property holding corporation for U.S. federal income tax purposes.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2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Foreign Account Tax Compliance Act, or FATCA, imposes a U.S. federal withholding tax of 30% on certain payments to foreign financial institutions, investment funds and certain other non-U.S. persons that fail to comply with certain information reporting and certification requirements pertaining to their direct and indirect U.S. securityholders and/or U.S. accountholders and are not otherwise exempt. Under applicable Treasury Regulations and IRS guidance, this withholding currently applies to payments of dividends, if any, on our common stock and will apply to payments of gross proceeds from a sale or other disposition of our common stock made on or after January 1, 2019. An intergovernmental agreement between the U.S. and an applicable foreign country may modify the requirements described in this paragraph. Prospective investors are encouraged to consult with their tax advisors regarding the possible implications of this legislation on their investment in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Information Reporting and Other Reporting Requirements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must report annually to the IRS and to each non-U.S. holder the amount of any distributions paid to, and the tax withheld with respect to,</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non-U.S. holder. These reporting requirements apply regardless of whether withholding was reduced or eliminated by an applicable income tax treaty. Copies of this information reporting may also be made available under the provisions of a specific income tax treaty or agreement with the tax authorities in the country in which the non-U.S. holder resides or is established.</w:t>
      </w:r>
    </w:p>
    <w:p>
      <w:pPr>
        <w:spacing w:after="0" w:line="190" w:lineRule="exact"/>
        <w:rPr>
          <w:sz w:val="20"/>
          <w:szCs w:val="20"/>
          <w:color w:val="auto"/>
        </w:rPr>
      </w:pPr>
    </w:p>
    <w:p>
      <w:pPr>
        <w:ind w:right="220" w:firstLine="441"/>
        <w:spacing w:after="0" w:line="263" w:lineRule="auto"/>
        <w:rPr>
          <w:sz w:val="20"/>
          <w:szCs w:val="20"/>
          <w:color w:val="auto"/>
        </w:rPr>
      </w:pPr>
      <w:r>
        <w:rPr>
          <w:rFonts w:ascii="Arial" w:cs="Arial" w:eastAsia="Arial" w:hAnsi="Arial"/>
          <w:sz w:val="18"/>
          <w:szCs w:val="18"/>
          <w:color w:val="auto"/>
        </w:rPr>
        <w:t>A non-U.S. holder will generally be subject to backup withholding for dividends on our common stock paid to such holder unless such holder certifies under penalties of perjury that, among other things, it is a non-U.S. holder (provided that the payor does not have actual knowledge or reason to know that such holder is a U.S. person) or otherwise establishes an exemption.</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2" w:name="page23"/>
    <w:bookmarkEnd w:id="22"/>
    <w:p>
      <w:pPr>
        <w:ind w:firstLine="441"/>
        <w:spacing w:after="0" w:line="272"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17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229" w:lineRule="exact"/>
        <w:rPr>
          <w:sz w:val="20"/>
          <w:szCs w:val="20"/>
          <w:color w:val="auto"/>
        </w:rPr>
      </w:pPr>
    </w:p>
    <w:p>
      <w:pPr>
        <w:jc w:val="both"/>
        <w:ind w:right="280" w:firstLine="441"/>
        <w:spacing w:after="0" w:line="259" w:lineRule="auto"/>
        <w:rPr>
          <w:sz w:val="20"/>
          <w:szCs w:val="20"/>
          <w:color w:val="auto"/>
        </w:rPr>
      </w:pPr>
      <w:r>
        <w:rPr>
          <w:rFonts w:ascii="Arial" w:cs="Arial" w:eastAsia="Arial" w:hAnsi="Arial"/>
          <w:sz w:val="18"/>
          <w:szCs w:val="18"/>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83" w:lineRule="exact"/>
        <w:rPr>
          <w:sz w:val="20"/>
          <w:szCs w:val="20"/>
          <w:color w:val="auto"/>
        </w:rPr>
      </w:pPr>
    </w:p>
    <w:p>
      <w:pPr>
        <w:ind w:right="40" w:firstLine="441"/>
        <w:spacing w:after="0" w:line="314" w:lineRule="auto"/>
        <w:rPr>
          <w:sz w:val="20"/>
          <w:szCs w:val="20"/>
          <w:color w:val="auto"/>
        </w:rPr>
      </w:pPr>
      <w:r>
        <w:rPr>
          <w:rFonts w:ascii="Arial" w:cs="Arial" w:eastAsia="Arial" w:hAnsi="Arial"/>
          <w:sz w:val="16"/>
          <w:szCs w:val="16"/>
          <w:b w:val="1"/>
          <w:bCs w:val="1"/>
          <w:color w:val="auto"/>
        </w:rPr>
        <w:t>The preceding discussion of material U.S. federal income tax considerations and certain U.S. estate tax considerations is for information only. It is not legal or tax advice. Prospective investors should consult their tax advisors regarding the particular U.S. federal, state, local and non-U.S. tax consequences of owning and disposing of our common stock, including the consequences of any proposed changes in applicable laws.</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Citigroup Global Markets Inc., Guggenheim Securities, LLC and Barclays Capital Inc. are acting as joint book-running managers and representatives of each of the underwriters named below. Subject to the terms and conditions stated in the underwriting agreement dated the date of this prospectus supplement, each underwriter named below has severally agreed to purchase, and we have agreed to sell to that underwriter, the number of shares of common stock set forth opposite the underwriter’s name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jc w:val="right"/>
              <w:ind w:right="57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2140" w:type="dxa"/>
            <w:vAlign w:val="bottom"/>
          </w:tcPr>
          <w:p>
            <w:pPr>
              <w:jc w:val="right"/>
              <w:ind w:right="730"/>
              <w:spacing w:after="0"/>
              <w:rPr>
                <w:sz w:val="20"/>
                <w:szCs w:val="20"/>
                <w:color w:val="auto"/>
              </w:rPr>
            </w:pPr>
            <w:r>
              <w:rPr>
                <w:rFonts w:ascii="Arial" w:cs="Arial" w:eastAsia="Arial" w:hAnsi="Arial"/>
                <w:sz w:val="18"/>
                <w:szCs w:val="18"/>
                <w:b w:val="1"/>
                <w:bCs w:val="1"/>
                <w:color w:val="auto"/>
              </w:rPr>
              <w:t>Shares</w:t>
            </w:r>
          </w:p>
        </w:tc>
      </w:tr>
      <w:tr>
        <w:trPr>
          <w:trHeight w:val="209"/>
        </w:trPr>
        <w:tc>
          <w:tcPr>
            <w:tcW w:w="8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1,305,660</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2140" w:type="dxa"/>
            <w:vAlign w:val="bottom"/>
          </w:tcPr>
          <w:p>
            <w:pPr>
              <w:jc w:val="right"/>
              <w:ind w:right="50"/>
              <w:spacing w:after="0"/>
              <w:rPr>
                <w:sz w:val="20"/>
                <w:szCs w:val="20"/>
                <w:color w:val="auto"/>
              </w:rPr>
            </w:pPr>
            <w:r>
              <w:rPr>
                <w:rFonts w:ascii="Arial" w:cs="Arial" w:eastAsia="Arial" w:hAnsi="Arial"/>
                <w:sz w:val="18"/>
                <w:szCs w:val="18"/>
                <w:color w:val="auto"/>
              </w:rPr>
              <w:t>979,245</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652,830</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Robert W. Baird &amp; Co. Incorporated</w:t>
            </w:r>
          </w:p>
        </w:tc>
        <w:tc>
          <w:tcPr>
            <w:tcW w:w="2140" w:type="dxa"/>
            <w:vAlign w:val="bottom"/>
          </w:tcPr>
          <w:p>
            <w:pPr>
              <w:jc w:val="right"/>
              <w:ind w:right="50"/>
              <w:spacing w:after="0"/>
              <w:rPr>
                <w:sz w:val="20"/>
                <w:szCs w:val="20"/>
                <w:color w:val="auto"/>
              </w:rPr>
            </w:pPr>
            <w:r>
              <w:rPr>
                <w:rFonts w:ascii="Arial" w:cs="Arial" w:eastAsia="Arial" w:hAnsi="Arial"/>
                <w:sz w:val="18"/>
                <w:szCs w:val="18"/>
                <w:color w:val="auto"/>
              </w:rPr>
              <w:t>130,566</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Riley Securities, Inc.</w:t>
            </w:r>
          </w:p>
        </w:tc>
        <w:tc>
          <w:tcPr>
            <w:tcW w:w="2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81,604</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H.C. Wainwright &amp; Co., LLC</w:t>
            </w:r>
          </w:p>
        </w:tc>
        <w:tc>
          <w:tcPr>
            <w:tcW w:w="2140" w:type="dxa"/>
            <w:vAlign w:val="bottom"/>
          </w:tcPr>
          <w:p>
            <w:pPr>
              <w:jc w:val="right"/>
              <w:ind w:right="50"/>
              <w:spacing w:after="0"/>
              <w:rPr>
                <w:sz w:val="20"/>
                <w:szCs w:val="20"/>
                <w:color w:val="auto"/>
              </w:rPr>
            </w:pPr>
            <w:r>
              <w:rPr>
                <w:rFonts w:ascii="Arial" w:cs="Arial" w:eastAsia="Arial" w:hAnsi="Arial"/>
                <w:sz w:val="18"/>
                <w:szCs w:val="18"/>
                <w:color w:val="auto"/>
              </w:rPr>
              <w:t>81,604</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2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32,642</w:t>
            </w:r>
          </w:p>
        </w:tc>
      </w:tr>
      <w:tr>
        <w:trPr>
          <w:trHeight w:val="216"/>
        </w:trPr>
        <w:tc>
          <w:tcPr>
            <w:tcW w:w="8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3,264,151</w:t>
            </w:r>
          </w:p>
        </w:tc>
      </w:tr>
    </w:tbl>
    <w:p>
      <w:pPr>
        <w:spacing w:after="0" w:line="202"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underwriters’ option to purchase additional shares described below) if they purchase any of the shares.</w:t>
      </w:r>
    </w:p>
    <w:p>
      <w:pPr>
        <w:spacing w:after="0" w:line="184"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Shares sold by the underwriters to the public will be offered at the public offering price set forth on the cover of this prospectus supplement. Any shares sold by the underwriters to securities dealers may be sold at a discount from the public offering price not to exceed $1.908 per share. If all the shares are not sold at the offering price, the underwriters may change the offering price and the other selling terms.</w:t>
      </w:r>
    </w:p>
    <w:p>
      <w:pPr>
        <w:spacing w:after="0" w:line="16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If the underwriters sell more shares than the total number set forth in the table above, we have granted to the underwriters an option, exercisable for 30 days from the date of this prospectus supplement, to purchase up to 489,622 additional shares at the public offering price less the underwriting discount.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88" w:lineRule="exact"/>
        <w:rPr>
          <w:sz w:val="20"/>
          <w:szCs w:val="20"/>
          <w:color w:val="auto"/>
        </w:rPr>
      </w:pPr>
    </w:p>
    <w:p>
      <w:pPr>
        <w:ind w:right="60" w:firstLine="441"/>
        <w:spacing w:after="0" w:line="301" w:lineRule="auto"/>
        <w:rPr>
          <w:sz w:val="20"/>
          <w:szCs w:val="20"/>
          <w:color w:val="auto"/>
        </w:rPr>
      </w:pPr>
      <w:r>
        <w:rPr>
          <w:rFonts w:ascii="Arial" w:cs="Arial" w:eastAsia="Arial" w:hAnsi="Arial"/>
          <w:sz w:val="16"/>
          <w:szCs w:val="16"/>
          <w:color w:val="auto"/>
        </w:rPr>
        <w:t>We and our officers and directors have agreed that, subject to specified limited exceptions, for a period of 90 days from the date of this prospectus supplement, we and they will not, without the prior written consent of Citigroup Global Markets Inc. and Guggenheim Securities LLC, dispose of or hedge any shares or any securities convertible into or exchangeable for shares of our common stock. Citigroup Global Markets Inc. and Guggenheim Securities LLC, in their sole discretion, may release any of the securities subject to these lock-up agreements at any time without notice.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shares are listed on The Nasdaq Global Market under the symbol “ARCT.”</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Paid by Arcturus Therapeutics Holdings,</w:t>
            </w:r>
          </w:p>
        </w:tc>
      </w:tr>
      <w:tr>
        <w:trPr>
          <w:trHeight w:val="234"/>
        </w:trPr>
        <w:tc>
          <w:tcPr>
            <w:tcW w:w="42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6"/>
              </w:rPr>
              <w:t>Inc.</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No Exercise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Full Exercise</w:t>
            </w:r>
          </w:p>
        </w:tc>
        <w:tc>
          <w:tcPr>
            <w:tcW w:w="100" w:type="dxa"/>
            <w:vAlign w:val="bottom"/>
          </w:tcPr>
          <w:p>
            <w:pPr>
              <w:spacing w:after="0"/>
              <w:rPr>
                <w:sz w:val="18"/>
                <w:szCs w:val="18"/>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3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10,380,000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11,936,998</w:t>
            </w:r>
          </w:p>
        </w:tc>
      </w:tr>
    </w:tbl>
    <w:p>
      <w:pPr>
        <w:spacing w:after="0" w:line="187"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We estimate that our portion of the total expenses of this offering will be $620,000. We have agreed to reimburse the underwriters for certain expenses incurred by them in connection with this offering (including certain fees and expenses of counsel for the underwriters in an amount not to exceed $75,000, and fees and expenses related to filings with and review by FINRA). Roth Capital Partners, LLC, Laidlaw &amp; Company (UK) Ltd. and Brookline Capital Markets, a division of Arcadia Securities, LLC, are acting as our financial advisors in connection with this offering and will each be paid a cash fee. Our financial advisors are not acting as underwriters and will not sell or offer to sell any securities and will not identify, solicit or engage directly with potential investors. In addition, our financial advisors will not underwrite or purchase any of the offered securities or otherwise participate in any such undertaking.</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4" w:name="page25"/>
    <w:bookmarkEnd w:id="24"/>
    <w:p>
      <w:pPr>
        <w:ind w:right="40" w:firstLine="441"/>
        <w:spacing w:after="0" w:line="263" w:lineRule="auto"/>
        <w:rPr>
          <w:sz w:val="20"/>
          <w:szCs w:val="20"/>
          <w:color w:val="auto"/>
        </w:rPr>
      </w:pPr>
      <w:r>
        <w:rPr>
          <w:rFonts w:ascii="Arial" w:cs="Arial" w:eastAsia="Arial" w:hAnsi="Arial"/>
          <w:sz w:val="18"/>
          <w:szCs w:val="18"/>
          <w:color w:val="auto"/>
        </w:rPr>
        <w:t>In connection with the offering, the underwriters may purchase and sell shares in the open market. Purchases and sales in the open market may include short sales, purchases to cover short positions, which may include purchases pursuant to the underwriters’ option to purchase additional shares, and stabilizing purchases.</w:t>
      </w:r>
    </w:p>
    <w:p>
      <w:pPr>
        <w:spacing w:after="0" w:line="184" w:lineRule="exact"/>
        <w:rPr>
          <w:sz w:val="20"/>
          <w:szCs w:val="20"/>
          <w:color w:val="auto"/>
        </w:rPr>
      </w:pPr>
    </w:p>
    <w:p>
      <w:pPr>
        <w:ind w:left="1300" w:right="3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shares than they are required to purchase in the offering.</w:t>
      </w:r>
    </w:p>
    <w:p>
      <w:pPr>
        <w:spacing w:after="0" w:line="170" w:lineRule="exact"/>
        <w:rPr>
          <w:rFonts w:ascii="Arial" w:cs="Arial" w:eastAsia="Arial" w:hAnsi="Arial"/>
          <w:sz w:val="18"/>
          <w:szCs w:val="18"/>
          <w:color w:val="auto"/>
        </w:rPr>
      </w:pPr>
    </w:p>
    <w:p>
      <w:pPr>
        <w:ind w:left="1960" w:right="380" w:hanging="656"/>
        <w:spacing w:after="0" w:line="277"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“Covered” short sales are sales of shares in an amount up to the number of shares represented by the underwriters’ option to purchase additional shares.</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“Naked” short sales are sales of shares in an amount in excess of the number of shares represented by the underwriters’ option to purchase additional shares.</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Covering transactions involve purchases of shares either pursuant to the underwriters’ option to purchase additional shares or in the open market in order to cover short positions.</w:t>
      </w:r>
    </w:p>
    <w:p>
      <w:pPr>
        <w:spacing w:after="0" w:line="170" w:lineRule="exact"/>
        <w:rPr>
          <w:rFonts w:ascii="Arial" w:cs="Arial" w:eastAsia="Arial" w:hAnsi="Arial"/>
          <w:sz w:val="18"/>
          <w:szCs w:val="18"/>
          <w:color w:val="auto"/>
        </w:rPr>
      </w:pPr>
    </w:p>
    <w:p>
      <w:pPr>
        <w:ind w:left="1960" w:right="80" w:hanging="656"/>
        <w:spacing w:after="0" w:line="263"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close a naked short position, the underwriters must purchase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183" w:lineRule="exact"/>
        <w:rPr>
          <w:rFonts w:ascii="Arial" w:cs="Arial" w:eastAsia="Arial" w:hAnsi="Arial"/>
          <w:sz w:val="18"/>
          <w:szCs w:val="18"/>
          <w:color w:val="auto"/>
        </w:rPr>
      </w:pPr>
    </w:p>
    <w:p>
      <w:pPr>
        <w:ind w:left="1960" w:right="180" w:hanging="656"/>
        <w:spacing w:after="0" w:line="301" w:lineRule="auto"/>
        <w:tabs>
          <w:tab w:leader="none" w:pos="1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close a covered short position, the underwriters must purchase shares in the open market or must exercise the underwriters’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underwriters’ option to purchase additional shares.</w:t>
      </w:r>
    </w:p>
    <w:p>
      <w:pPr>
        <w:spacing w:after="0" w:line="157" w:lineRule="exact"/>
        <w:rPr>
          <w:rFonts w:ascii="Arial" w:cs="Arial" w:eastAsia="Arial" w:hAnsi="Arial"/>
          <w:sz w:val="16"/>
          <w:szCs w:val="16"/>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225" w:lineRule="exact"/>
        <w:rPr>
          <w:sz w:val="20"/>
          <w:szCs w:val="20"/>
          <w:color w:val="auto"/>
        </w:rPr>
      </w:pPr>
    </w:p>
    <w:p>
      <w:pPr>
        <w:jc w:val="both"/>
        <w:ind w:right="380" w:firstLine="441"/>
        <w:spacing w:after="0" w:line="301"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Nasdaq Global Market, in the over-the-counter market or otherwise. If the underwriters commence any of these transactions, they may discontinue them at any time.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 credit default swaps) for their own account and for the accounts of their customers and may at any time hold long and short positions in such securities and instruments. Such investments and securities activities may involve securities and instruments of ours or our affiliates. The underwriters and their affiliates may also make investment recommendations and publish or express independent research views in respect of such securities or financial instruments and may hold, or recommend to clients that they acquire, long and short positions in such securities and instruments.</w:t>
      </w: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5" w:name="page26"/>
    <w:bookmarkEnd w:id="25"/>
    <w:p>
      <w:pPr>
        <w:ind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 relation to each member state of the European Economic Area, no offer of shares which are the subject of the offering has been, or will be made to the public in that Member State, other than under the following exemptions under the Prospectus Directive:</w:t>
      </w:r>
    </w:p>
    <w:p>
      <w:pPr>
        <w:spacing w:after="0" w:line="170" w:lineRule="exact"/>
        <w:rPr>
          <w:sz w:val="20"/>
          <w:szCs w:val="20"/>
          <w:color w:val="auto"/>
        </w:rPr>
      </w:pPr>
    </w:p>
    <w:p>
      <w:pPr>
        <w:ind w:left="900" w:hanging="45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right="120" w:firstLine="449"/>
        <w:spacing w:after="0" w:line="277" w:lineRule="auto"/>
        <w:tabs>
          <w:tab w:leader="none" w:pos="9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70" w:lineRule="exact"/>
        <w:rPr>
          <w:rFonts w:ascii="Arial" w:cs="Arial" w:eastAsia="Arial" w:hAnsi="Arial"/>
          <w:sz w:val="18"/>
          <w:szCs w:val="18"/>
          <w:color w:val="auto"/>
        </w:rPr>
      </w:pPr>
    </w:p>
    <w:p>
      <w:pPr>
        <w:ind w:left="900" w:hanging="45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provided that no such offer of shares referred to in (a) to (c) above shall result in a requirement for the company or any representative to publish a prospectus supplement pursuant to Article 3 of the Prospectus Directive, or supplement a prospectus pursuant to Article 16 of the Prospectus Directive.</w:t>
      </w:r>
    </w:p>
    <w:p>
      <w:pPr>
        <w:spacing w:after="0" w:line="124"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Each person located in a Member State to whom any offer of shares is made or who receives any communication in respect of an offer of shares, or who initially acquires any shares will be deemed to have represented, warranted, acknowledged and agreed to and with each representative and the company that (1) it is a “qualified investor” within the meaning of the law in that Member State implementing Article 2(1)(e) of the Prospectus Directive; and (2) in the case of any shares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shares have been acquired by it on behalf of persons in any Member State other than qualified investors, the offer of those shares to it is not treated under the Prospectus Directive as having been made to such persons.</w:t>
      </w:r>
    </w:p>
    <w:p>
      <w:pPr>
        <w:spacing w:after="0" w:line="165" w:lineRule="exact"/>
        <w:rPr>
          <w:sz w:val="20"/>
          <w:szCs w:val="20"/>
          <w:color w:val="auto"/>
        </w:rPr>
      </w:pPr>
    </w:p>
    <w:p>
      <w:pPr>
        <w:ind w:right="1180" w:firstLine="441"/>
        <w:spacing w:after="0" w:line="277" w:lineRule="auto"/>
        <w:rPr>
          <w:sz w:val="20"/>
          <w:szCs w:val="20"/>
          <w:color w:val="auto"/>
        </w:rPr>
      </w:pPr>
      <w:r>
        <w:rPr>
          <w:rFonts w:ascii="Arial" w:cs="Arial" w:eastAsia="Arial" w:hAnsi="Arial"/>
          <w:sz w:val="18"/>
          <w:szCs w:val="18"/>
          <w:color w:val="auto"/>
        </w:rPr>
        <w:t>The company, the representatives and their respective affiliates will rely upon the truth and accuracy of the foregoing representations, acknowledgments and agreements.</w:t>
      </w:r>
    </w:p>
    <w:p>
      <w:pPr>
        <w:spacing w:after="0" w:line="170" w:lineRule="exact"/>
        <w:rPr>
          <w:sz w:val="20"/>
          <w:szCs w:val="20"/>
          <w:color w:val="auto"/>
        </w:rPr>
      </w:pPr>
    </w:p>
    <w:p>
      <w:pPr>
        <w:ind w:right="100" w:firstLine="441"/>
        <w:spacing w:after="0" w:line="288" w:lineRule="auto"/>
        <w:rPr>
          <w:sz w:val="20"/>
          <w:szCs w:val="20"/>
          <w:color w:val="auto"/>
        </w:rPr>
      </w:pPr>
      <w:r>
        <w:rPr>
          <w:rFonts w:ascii="Arial" w:cs="Arial" w:eastAsia="Arial" w:hAnsi="Arial"/>
          <w:sz w:val="16"/>
          <w:szCs w:val="16"/>
          <w:color w:val="auto"/>
        </w:rPr>
        <w:t>This prospectus supplement has been prepared on the basis that any offer of shares in any Member State will be made pursuant to an exemption under the Prospectus Directive from the requirement to publish a prospectus supplement for offers of shares. Accordingly, any person making or intending to make an offer in that Member State of shares which are the subject of the offering contemplated in this prospectus supplement may only do so in circumstances in which no obligation arises for the company or any of the representatives to publish a prospectus supplement pursuant to Article 3 of the Prospectus Directive in relation to such offer. Neither the company nor the representatives have authorized, nor do they authorize, the making of any offer of shares in circumstances in which an obligation arises for the company or the representatives to publish a prospectus supplement for such offer. For the purposes of this provision, the expression an “offer of shares to the public” in relation to any shares in any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must be made in accordance with an exemption from, or in a transaction not subject to, the prospectus supplement requirements of applicable securities laws.</w:t>
      </w:r>
    </w:p>
    <w:p>
      <w:pPr>
        <w:spacing w:after="0" w:line="171" w:lineRule="exact"/>
        <w:rPr>
          <w:sz w:val="20"/>
          <w:szCs w:val="20"/>
          <w:color w:val="auto"/>
        </w:rPr>
      </w:pPr>
    </w:p>
    <w:p>
      <w:pPr>
        <w:ind w:right="60" w:firstLine="44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This prospectus supplement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71"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229" w:lineRule="exact"/>
        <w:rPr>
          <w:sz w:val="20"/>
          <w:szCs w:val="20"/>
          <w:color w:val="auto"/>
        </w:rPr>
      </w:pPr>
    </w:p>
    <w:p>
      <w:pPr>
        <w:ind w:right="80" w:firstLine="441"/>
        <w:spacing w:after="0" w:line="301"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shares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shares have not been offered or sold and will not be offered or sold, directly or indirectly, to the public in France. Neither this prospectus supplement nor any other offering material relating to the shares has been or will be: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released, issued, distributed or caused to be released, issued or distributed to the public in France; or</w:t>
      </w:r>
    </w:p>
    <w:p>
      <w:pPr>
        <w:spacing w:after="0" w:line="225" w:lineRule="exact"/>
        <w:rPr>
          <w:sz w:val="20"/>
          <w:szCs w:val="20"/>
          <w:color w:val="auto"/>
        </w:rPr>
      </w:pPr>
    </w:p>
    <w:p>
      <w:pPr>
        <w:ind w:left="440" w:right="3560" w:firstLine="113"/>
        <w:spacing w:after="0" w:line="500" w:lineRule="auto"/>
        <w:rPr>
          <w:sz w:val="20"/>
          <w:szCs w:val="20"/>
          <w:color w:val="auto"/>
        </w:rPr>
      </w:pPr>
      <w:r>
        <w:rPr>
          <w:rFonts w:ascii="Arial" w:cs="Arial" w:eastAsia="Arial" w:hAnsi="Arial"/>
          <w:sz w:val="18"/>
          <w:szCs w:val="18"/>
          <w:color w:val="auto"/>
        </w:rPr>
        <w:t>— used in connection with any offer for subscription or sale of the shares to the public in France. Such offers, sales and distributions will be made in France only:</w:t>
      </w:r>
    </w:p>
    <w:p>
      <w:pPr>
        <w:spacing w:after="0" w:line="1" w:lineRule="exact"/>
        <w:rPr>
          <w:sz w:val="20"/>
          <w:szCs w:val="20"/>
          <w:color w:val="auto"/>
        </w:rPr>
      </w:pPr>
    </w:p>
    <w:p>
      <w:pPr>
        <w:ind w:left="880" w:right="60" w:hanging="324"/>
        <w:spacing w:after="0" w:line="263" w:lineRule="auto"/>
        <w:rPr>
          <w:sz w:val="20"/>
          <w:szCs w:val="20"/>
          <w:color w:val="auto"/>
        </w:rPr>
      </w:pPr>
      <w:r>
        <w:rPr>
          <w:rFonts w:ascii="Arial" w:cs="Arial" w:eastAsia="Arial" w:hAnsi="Arial"/>
          <w:sz w:val="18"/>
          <w:szCs w:val="18"/>
          <w:color w:val="auto"/>
        </w:rPr>
        <w:t>— 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to investment services providers authorized to engage in portfolio management on behalf of third parties; or</w:t>
      </w:r>
    </w:p>
    <w:p>
      <w:pPr>
        <w:spacing w:after="0" w:line="225" w:lineRule="exact"/>
        <w:rPr>
          <w:sz w:val="20"/>
          <w:szCs w:val="20"/>
          <w:color w:val="auto"/>
        </w:rPr>
      </w:pPr>
    </w:p>
    <w:p>
      <w:pPr>
        <w:ind w:left="880" w:hanging="324"/>
        <w:spacing w:after="0" w:line="342" w:lineRule="auto"/>
        <w:rPr>
          <w:sz w:val="20"/>
          <w:szCs w:val="20"/>
          <w:color w:val="auto"/>
        </w:rPr>
      </w:pPr>
      <w:r>
        <w:rPr>
          <w:rFonts w:ascii="Arial" w:cs="Arial" w:eastAsia="Arial" w:hAnsi="Arial"/>
          <w:sz w:val="16"/>
          <w:szCs w:val="16"/>
          <w:color w:val="auto"/>
        </w:rPr>
        <w:t xml:space="preserve">— 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7" w:name="page28"/>
    <w:bookmarkEnd w:id="27"/>
    <w:p>
      <w:pPr>
        <w:ind w:right="320" w:firstLine="441"/>
        <w:spacing w:after="0" w:line="277"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supplement,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8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firstLine="441"/>
        <w:spacing w:after="0" w:line="296" w:lineRule="auto"/>
        <w:rPr>
          <w:sz w:val="20"/>
          <w:szCs w:val="20"/>
          <w:color w:val="auto"/>
        </w:rPr>
      </w:pPr>
      <w:r>
        <w:rPr>
          <w:rFonts w:ascii="Arial" w:cs="Arial" w:eastAsia="Arial" w:hAnsi="Arial"/>
          <w:sz w:val="16"/>
          <w:szCs w:val="16"/>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This prospectus supplement has not been and will not be lodged or registered as a prospectus supplement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25" w:lineRule="exact"/>
        <w:rPr>
          <w:sz w:val="20"/>
          <w:szCs w:val="20"/>
          <w:color w:val="auto"/>
        </w:rPr>
      </w:pPr>
    </w:p>
    <w:p>
      <w:pPr>
        <w:ind w:left="620" w:right="120" w:hanging="297"/>
        <w:spacing w:after="0" w:line="277" w:lineRule="auto"/>
        <w:rPr>
          <w:sz w:val="20"/>
          <w:szCs w:val="20"/>
          <w:color w:val="auto"/>
        </w:rPr>
      </w:pPr>
      <w:r>
        <w:rPr>
          <w:rFonts w:ascii="Arial" w:cs="Arial" w:eastAsia="Arial" w:hAnsi="Arial"/>
          <w:sz w:val="18"/>
          <w:szCs w:val="18"/>
          <w:color w:val="auto"/>
        </w:rPr>
        <w:t>—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sz w:val="20"/>
          <w:szCs w:val="20"/>
          <w:color w:val="auto"/>
        </w:rPr>
      </w:pPr>
    </w:p>
    <w:p>
      <w:pPr>
        <w:ind w:left="620" w:right="100" w:hanging="297"/>
        <w:spacing w:after="0" w:line="259" w:lineRule="auto"/>
        <w:rPr>
          <w:sz w:val="20"/>
          <w:szCs w:val="20"/>
          <w:color w:val="auto"/>
        </w:rPr>
      </w:pPr>
      <w:r>
        <w:rPr>
          <w:rFonts w:ascii="Arial" w:cs="Arial" w:eastAsia="Arial" w:hAnsi="Arial"/>
          <w:sz w:val="18"/>
          <w:szCs w:val="18"/>
          <w:color w:val="auto"/>
        </w:rPr>
        <w:t>—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86" w:lineRule="exact"/>
        <w:rPr>
          <w:sz w:val="20"/>
          <w:szCs w:val="20"/>
          <w:color w:val="auto"/>
        </w:rPr>
      </w:pPr>
    </w:p>
    <w:p>
      <w:pPr>
        <w:ind w:left="1040" w:right="180" w:hanging="324"/>
        <w:spacing w:after="0" w:line="277" w:lineRule="auto"/>
        <w:rPr>
          <w:sz w:val="20"/>
          <w:szCs w:val="20"/>
          <w:color w:val="auto"/>
        </w:rPr>
      </w:pPr>
      <w:r>
        <w:rPr>
          <w:rFonts w:ascii="Arial" w:cs="Arial" w:eastAsia="Arial" w:hAnsi="Arial"/>
          <w:sz w:val="18"/>
          <w:szCs w:val="18"/>
          <w:color w:val="auto"/>
        </w:rPr>
        <w:t>— to an institutional investor or to a relevant person defined in Section 275(2) of the SFA, or to any person arising from an offer referred to in Section 275(1A) or Section 276(4)(i)(B) of the SFA;</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where no consideration is or will be given for the transfer;</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where the transfer is by operation of law;</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as specified in Section 276(7) of the SFA; or</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  as specified in Regulation 32 of the Securities and Futures (Offers of Investments) (Shares and Debentures) Regulations 2005 of Singapore.</w:t>
      </w:r>
    </w:p>
    <w:p>
      <w:pPr>
        <w:spacing w:after="0" w:line="24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jc w:val="both"/>
        <w:ind w:right="140" w:firstLine="441"/>
        <w:spacing w:after="0" w:line="263" w:lineRule="auto"/>
        <w:rPr>
          <w:sz w:val="20"/>
          <w:szCs w:val="20"/>
          <w:color w:val="auto"/>
        </w:rPr>
      </w:pPr>
      <w:r>
        <w:rPr>
          <w:rFonts w:ascii="Arial" w:cs="Arial" w:eastAsia="Arial" w:hAnsi="Arial"/>
          <w:sz w:val="18"/>
          <w:szCs w:val="18"/>
          <w:color w:val="auto"/>
        </w:rPr>
        <w:t>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confirm and warrant that you are either: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a “sophisticated investor” under section 708(8)(a) or (b) of the Corporations Act;</w:t>
      </w:r>
    </w:p>
    <w:p>
      <w:pPr>
        <w:spacing w:after="0" w:line="225" w:lineRule="exact"/>
        <w:rPr>
          <w:sz w:val="20"/>
          <w:szCs w:val="20"/>
          <w:color w:val="auto"/>
        </w:rPr>
      </w:pPr>
    </w:p>
    <w:p>
      <w:pPr>
        <w:ind w:left="880" w:right="160" w:hanging="324"/>
        <w:spacing w:after="0" w:line="263" w:lineRule="auto"/>
        <w:rPr>
          <w:sz w:val="20"/>
          <w:szCs w:val="20"/>
          <w:color w:val="auto"/>
        </w:rPr>
      </w:pPr>
      <w:r>
        <w:rPr>
          <w:rFonts w:ascii="Arial" w:cs="Arial" w:eastAsia="Arial" w:hAnsi="Arial"/>
          <w:sz w:val="18"/>
          <w:szCs w:val="18"/>
          <w:color w:val="auto"/>
        </w:rPr>
        <w:t>— 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a person associated with the Company under Section 708(12) of the Corporations Act; 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a “professional investor” within the meaning of section 708(11)(a) or (b) of the Corporations Act.</w:t>
      </w:r>
    </w:p>
    <w:p>
      <w:pPr>
        <w:spacing w:after="0" w:line="225"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146" w:lineRule="exact"/>
        <w:rPr>
          <w:sz w:val="20"/>
          <w:szCs w:val="20"/>
          <w:color w:val="auto"/>
        </w:rPr>
      </w:pPr>
    </w:p>
    <w:p>
      <w:pPr>
        <w:jc w:val="both"/>
        <w:ind w:right="80" w:firstLine="441"/>
        <w:spacing w:after="0" w:line="263"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Dentons US LLP, New York, New York, will pass upon the validity of the shares of common stock offered by this prospectus supplement. The underwriters are being represented in connection with this offering by Goodwin Procter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We file annual reports, quarterly reports, current reports, proxy statements and other information with the SEC. Our SEC filings are and will become available to the public over the Internet at the SEC’s website at www.sec.gov. You can also find our public filings on our website at www.arcturusrx.com. Our website and the information contained therein or connected thereto are not part of this prospectus supplement or the accompanying prospectus.</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shares of common stock being offered by this prospectus supplement. This prospectus supplement and the accompanying prospectus are a part of that registration statement but do not contain all of the information set forth in the registration statement or the exhibits to the registration statement. For further information with respect to us and the shares we are offering pursuant to this prospectus supplement, you should refer to the registration statement and its exhibits. Statements contained in this prospectus supplement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website referred to above.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by reference the information or documents listed below that we have filed with the 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our Annual Report on Form 10-K for the year ended December 31, 2019 filed with the SEC on March 16, 2020;</w:t>
      </w:r>
    </w:p>
    <w:p>
      <w:pPr>
        <w:spacing w:after="0" w:line="225" w:lineRule="exact"/>
        <w:rPr>
          <w:sz w:val="20"/>
          <w:szCs w:val="20"/>
          <w:color w:val="auto"/>
        </w:rPr>
      </w:pPr>
    </w:p>
    <w:p>
      <w:pPr>
        <w:ind w:left="980" w:right="40" w:hanging="324"/>
        <w:spacing w:after="0" w:line="263" w:lineRule="auto"/>
        <w:rPr>
          <w:sz w:val="20"/>
          <w:szCs w:val="20"/>
          <w:color w:val="auto"/>
        </w:rPr>
      </w:pPr>
      <w:r>
        <w:rPr>
          <w:rFonts w:ascii="Arial" w:cs="Arial" w:eastAsia="Arial" w:hAnsi="Arial"/>
          <w:sz w:val="18"/>
          <w:szCs w:val="18"/>
          <w:color w:val="auto"/>
        </w:rPr>
        <w:t>— The information specifically incorporated by reference into our Annual Report on Form 10-K for the year ended December 31, 2019 from our definitive proxy statement on Schedule 14A (other than information furnished rather than filed), which was filed with the SEC on March 16, 2020;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our Quarterly Report on Form 10-Q for the period ended March 31, 2020 filed with the SEC on May 8, 2020;</w:t>
      </w:r>
    </w:p>
    <w:p>
      <w:pPr>
        <w:spacing w:after="0" w:line="225" w:lineRule="exact"/>
        <w:rPr>
          <w:sz w:val="20"/>
          <w:szCs w:val="20"/>
          <w:color w:val="auto"/>
        </w:rPr>
      </w:pPr>
    </w:p>
    <w:p>
      <w:pPr>
        <w:ind w:left="980" w:right="100" w:hanging="324"/>
        <w:spacing w:after="0" w:line="277" w:lineRule="auto"/>
        <w:rPr>
          <w:sz w:val="20"/>
          <w:szCs w:val="20"/>
          <w:color w:val="auto"/>
        </w:rPr>
      </w:pPr>
      <w:r>
        <w:rPr>
          <w:rFonts w:ascii="Arial" w:cs="Arial" w:eastAsia="Arial" w:hAnsi="Arial"/>
          <w:sz w:val="18"/>
          <w:szCs w:val="18"/>
          <w:color w:val="auto"/>
        </w:rPr>
        <w:t>— our Current Reports on Form 8-K filed with the SEC on March 4, 2020, March 27, 2020, April 17, 2020, April 21, 2020, May 21, 2020, June 9, 2020 and July 24, 2020;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description of our common stock set forth in the Form 8-K12B filed on June 18, 2019.</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0" w:name="page31"/>
    <w:bookmarkEnd w:id="30"/>
    <w:p>
      <w:pPr>
        <w:ind w:right="20" w:firstLine="648"/>
        <w:spacing w:after="0" w:line="259" w:lineRule="auto"/>
        <w:rPr>
          <w:sz w:val="20"/>
          <w:szCs w:val="20"/>
          <w:color w:val="auto"/>
        </w:rPr>
      </w:pPr>
      <w:r>
        <w:rPr>
          <w:rFonts w:ascii="Arial" w:cs="Arial" w:eastAsia="Arial" w:hAnsi="Arial"/>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7"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Documents incorporated by reference are available from us, without charge. You may obtain documents incorporated by reference in this prospectus supplement and accompanying prospectus by requesting them in writing or by telephone at the following address: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You also may access these filings on our Internet site at www.arcturusrx.com. Our web site and the information contained on that site, or connected to that site, are not incorporated into this prospectus supplement, the accompanying prospectus or the registration statement of which this prospectus supplement and accompanying prospectus is a part.</w:t>
      </w:r>
    </w:p>
    <w:p>
      <w:pPr>
        <w:spacing w:after="0" w:line="1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authorized no one to provide you with any information that differs from that contained in this prospectus supplement, the accompanying prospectus or incorporated by reference herein or therein. Accordingly, you should not rely on any information that is not contained in this prospectus supplement or the accompanying prospectus or incorporated by reference herein or therein. You should not assume that the information in this prospectus supplement is accurate as of any date other than the date of the front cover of this prospectus supplement.</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or any other subsequently filed document that is deemed to be incorporated by reference into this prospectus supplement modifies, supersedes or replaces such statement</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06"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163195</wp:posOffset>
            </wp:positionV>
            <wp:extent cx="2074545" cy="694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7454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$200,000,000</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under the symbol “ARCT.”</w:t>
      </w:r>
    </w:p>
    <w:p>
      <w:pPr>
        <w:spacing w:after="0" w:line="2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referenced under the heading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on page 3 of this prospectus and contained in our filings made with the Securities and Exchange Commission and the applicable prospectus supplement.</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74"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May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7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20" w:type="dxa"/>
            <w:vAlign w:val="bottom"/>
          </w:tcPr>
          <w:p>
            <w:pPr>
              <w:spacing w:after="0"/>
              <w:rPr>
                <w:sz w:val="24"/>
                <w:szCs w:val="24"/>
                <w:color w:val="auto"/>
              </w:rPr>
            </w:pPr>
          </w:p>
        </w:tc>
        <w:tc>
          <w:tcPr>
            <w:tcW w:w="2540" w:type="dxa"/>
            <w:vAlign w:val="bottom"/>
            <w:gridSpan w:val="2"/>
          </w:tcPr>
          <w:p>
            <w:pPr>
              <w:ind w:left="21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PROSPECTUS SUMMARY</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DESCRIPTION OF CAPITAL STOCK WE MAY OFFER</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 WE MAY OFFER</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DESCRIPTION OF WARRANTS WE MAY OFFER</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UNITS WE MAY OFFER</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PLAN OF DISTRIBUTION</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EXPERTS</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87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2" w:right="3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or the SEC, using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229" w:lineRule="exact"/>
        <w:rPr>
          <w:sz w:val="20"/>
          <w:szCs w:val="20"/>
          <w:color w:val="auto"/>
        </w:rPr>
      </w:pPr>
    </w:p>
    <w:p>
      <w:pPr>
        <w:jc w:val="both"/>
        <w:ind w:right="520"/>
        <w:spacing w:after="0" w:line="311" w:lineRule="auto"/>
        <w:rPr>
          <w:sz w:val="20"/>
          <w:szCs w:val="20"/>
          <w:color w:val="auto"/>
        </w:rPr>
      </w:pPr>
      <w:r>
        <w:rPr>
          <w:rFonts w:ascii="Arial" w:cs="Arial" w:eastAsia="Arial" w:hAnsi="Arial"/>
          <w:sz w:val="16"/>
          <w:szCs w:val="16"/>
          <w:color w:val="auto"/>
        </w:rPr>
        <w:t>We are a messenger RNA medicines company focused on significant opportunities within liver and respiratory rare diseases, and the development of infectious disease vaccines utilizing our Self-Transcribing and Replicating RNA (“STARR”) technology. In addition to our internal messenger RNA (“mRNA”) platform, our proprietary lipid nanoparticle delivery system, LUNAR, has the potential to enable multiple nucleic acid medicines.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87" w:lineRule="exact"/>
        <w:rPr>
          <w:sz w:val="20"/>
          <w:szCs w:val="20"/>
          <w:color w:val="auto"/>
        </w:rPr>
      </w:pPr>
    </w:p>
    <w:p>
      <w:pPr>
        <w:ind w:left="660" w:right="10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deep expertise in the discovery and development of RNA medicines, including key experience in the production of RNA drug substance and nanoparticle-formulated drug product.</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a pipeline of seven drug candidates in late-stage discovery and early-stage development, two of which are wholly-owned and five of which involve partnered programs.</w:t>
      </w:r>
    </w:p>
    <w:p>
      <w:pPr>
        <w:ind w:left="660" w:hanging="328"/>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developed the STARR technology platform which combines self-replicating RNA with LUNAR into a single solution for partners.</w:t>
      </w:r>
    </w:p>
    <w:p>
      <w:pPr>
        <w:spacing w:after="0" w:line="20" w:lineRule="exact"/>
        <w:rPr>
          <w:rFonts w:ascii="Arial" w:cs="Arial" w:eastAsia="Arial" w:hAnsi="Arial"/>
          <w:sz w:val="17"/>
          <w:szCs w:val="17"/>
          <w:color w:val="auto"/>
        </w:rPr>
      </w:pPr>
    </w:p>
    <w:p>
      <w:pPr>
        <w:ind w:left="660" w:right="200" w:hanging="328"/>
        <w:spacing w:after="0" w:line="2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wholly-owned, LUNAR and nucleic acid technologies are covered by a patent portfolio of 182 patents and patent applications, issued in the United States, China, Europe, Japan and other countries.</w:t>
      </w:r>
    </w:p>
    <w:p>
      <w:pPr>
        <w:spacing w:after="0" w:line="185"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 - knockdown of genes overexpressed in disease; and (3) CRISPR, TALEN, zinc finger proteins, megaTALs and meganucleases - gene editing of errant genes.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and commenced trading on Nasdaq under the symbol “ARCT.” On June 17, 2019, we redomiciled to the United States and changed our name to Arcturus Therapeutics Holdings Inc.</w:t>
      </w:r>
    </w:p>
    <w:p>
      <w:pPr>
        <w:spacing w:after="0" w:line="18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and you should not consider it as part of this prospectus. Our common stock trades on The Nasdaq Global Market under the symbol “ARCT”.</w:t>
      </w: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2019, filed with the SEC on March 16, 2020,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225" w:lineRule="exact"/>
        <w:rPr>
          <w:sz w:val="20"/>
          <w:szCs w:val="20"/>
          <w:color w:val="auto"/>
        </w:rPr>
      </w:pPr>
    </w:p>
    <w:p>
      <w:pPr>
        <w:ind w:left="660" w:right="52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6" w:name="page37"/>
    <w:bookmarkEnd w:id="36"/>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future revenues, capital requirements and need for additional financing.</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 WE MAY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authorized capital stock consists of 30,000,000 shares of common stock, par value $0.001 per share, and 10,000,000 shares of preferred stock, par value $0.001 per share.</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of May 8, 2020, there were 19,892,287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are authorized to issue a total of 10,000,000 shares of preferred stock. As of May 8, 2020, there were no shares of preferred stock issued and outstanding.</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2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shares of preferred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of shares of preferred stock offered, the liquidation preference per share and the offering price of the shares of preferred stock;</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thereof applicable to the shares of preferred stock;</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shares of preferred stock are cumulative or not and, if cumulative, the date from which dividends on the shares of preferred stock shall accumulate;</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shares of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 for a sinking fund, if any, for the shares of preferred stock;</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 for redemption or repurchase, if applicable, and any restrictions on our ability to exercise those redemption and repurchase rights of the shares of preferred stock;</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listing of the shares of preferred stock on any securities exchange;</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shares of preferred stock will be convertible into common shares, including the conversion price (or manner of calculation thereof);</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discussion of federal income tax considerations applicable to the shares of preferred stock;</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ranking and preferences of the shares of preferred stock as to dividend rights and rights upon liquidation, dissolution or winding up of our affairs;</w:t>
      </w:r>
    </w:p>
    <w:p>
      <w:pPr>
        <w:ind w:left="660" w:right="1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shares of preferred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voting rights of such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Possible Anti-Takeover Effects of Delaware Law and our Charter Documents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Liability</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 WE MAY OFFER</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7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0" w:name="page41"/>
    <w:bookmarkEnd w:id="40"/>
    <w:p>
      <w:pPr>
        <w:ind w:right="10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18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ind w:left="660" w:right="8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relating to modification of the terms of the security or the rights of the security holder;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237"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1" w:name="page42"/>
    <w:bookmarkEnd w:id="41"/>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whether the indenture will require us to maintain any interest coverage, fixed charge, cash flow-based, asset-based or other financial ratios;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 and</w:t>
      </w:r>
    </w:p>
    <w:p>
      <w:pPr>
        <w:spacing w:after="0" w:line="32" w:lineRule="exact"/>
        <w:rPr>
          <w:rFonts w:ascii="Arial" w:cs="Arial" w:eastAsia="Arial" w:hAnsi="Arial"/>
          <w:sz w:val="16"/>
          <w:szCs w:val="16"/>
          <w:color w:val="auto"/>
        </w:rPr>
      </w:pPr>
    </w:p>
    <w:p>
      <w:pPr>
        <w:ind w:left="660" w:right="40" w:hanging="328"/>
        <w:spacing w:after="0" w:line="32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we fail to pay the principal, premium or sinking fund payment, if any, when due and payable and the time for payment has not been extended;</w:t>
      </w:r>
    </w:p>
    <w:p>
      <w:pPr>
        <w:spacing w:after="0" w:line="32" w:lineRule="exact"/>
        <w:rPr>
          <w:rFonts w:ascii="Arial" w:cs="Arial" w:eastAsia="Arial" w:hAnsi="Arial"/>
          <w:sz w:val="16"/>
          <w:szCs w:val="16"/>
          <w:color w:val="auto"/>
        </w:rPr>
      </w:pPr>
    </w:p>
    <w:p>
      <w:pPr>
        <w:jc w:val="both"/>
        <w:ind w:left="660" w:right="80" w:hanging="328"/>
        <w:spacing w:after="0" w:line="28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9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9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direction so given by the holders is not in conflict with any law or the applicable indenture; and</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only if:</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3"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1" w:lineRule="exact"/>
        <w:rPr>
          <w:rFonts w:ascii="Arial" w:cs="Arial" w:eastAsia="Arial" w:hAnsi="Arial"/>
          <w:sz w:val="18"/>
          <w:szCs w:val="18"/>
          <w:color w:val="auto"/>
        </w:rPr>
      </w:pPr>
    </w:p>
    <w:p>
      <w:pPr>
        <w:ind w:left="660" w:right="120" w:hanging="328"/>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43" w:name="page44"/>
    <w:bookmarkEnd w:id="43"/>
    <w:p>
      <w:pPr>
        <w:ind w:right="4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“-Consolidation, Merger or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such indenture;</w:t>
      </w: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 and to make all appropriate changes for such purpose;</w:t>
      </w:r>
    </w:p>
    <w:p>
      <w:pPr>
        <w:ind w:left="660" w:right="18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 w:lineRule="exact"/>
        <w:rPr>
          <w:rFonts w:ascii="Arial" w:cs="Arial" w:eastAsia="Arial" w:hAnsi="Arial"/>
          <w:sz w:val="18"/>
          <w:szCs w:val="18"/>
          <w:color w:val="auto"/>
        </w:rPr>
      </w:pPr>
    </w:p>
    <w:p>
      <w:pPr>
        <w:ind w:left="660" w:right="220" w:hanging="328"/>
        <w:spacing w:after="0" w:line="271"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18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3"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w:t>
      </w: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4" w:name="page45"/>
    <w:bookmarkEnd w:id="44"/>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changing any of our obligations to pay additional amounts;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reducing the amount of principal of an original issue discount security or any other note payable upon acceleration of the maturity thereof;</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changing the currency in which any note or any premium or interest is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impairing the right to enforce any payment on or with respect to any note;</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adversely changing the right to convert or exchange, including decreasing the conversion rate or increasing the conversion price of, such note, if applicable;</w:t>
      </w:r>
    </w:p>
    <w:p>
      <w:pPr>
        <w:ind w:left="660" w:right="4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the subordinated indenture, modifying the subordination provisions in a manner adverse to the holders of the subordinated debt securities;</w:t>
      </w:r>
    </w:p>
    <w:p>
      <w:pPr>
        <w:ind w:left="660" w:right="2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debt securities are secured, changing the terms and conditions pursuant to which the debt securities are secured in a manner adverse to the holders of the secured debt securities;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the requirements contained in the applicable indenture for quorum or voting;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changing any of our obligations to maintain an office or agency in the places and for the purposes required by the indentures;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modifying any of the above provisions set forth in this paragraph.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18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45" w:name="page46"/>
    <w:bookmarkEnd w:id="45"/>
    <w:p>
      <w:pPr>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 w:lineRule="exact"/>
        <w:rPr>
          <w:rFonts w:ascii="Arial" w:cs="Arial" w:eastAsia="Arial" w:hAnsi="Arial"/>
          <w:sz w:val="18"/>
          <w:szCs w:val="18"/>
          <w:color w:val="auto"/>
        </w:rPr>
      </w:pPr>
    </w:p>
    <w:p>
      <w:pPr>
        <w:ind w:left="660" w:right="140" w:hanging="328"/>
        <w:spacing w:after="0" w:line="2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7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Debt Securities</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6" w:name="page47"/>
    <w:bookmarkEnd w:id="46"/>
    <w:p>
      <w:pPr>
        <w:spacing w:after="0" w:line="308" w:lineRule="auto"/>
        <w:rPr>
          <w:sz w:val="20"/>
          <w:szCs w:val="20"/>
          <w:color w:val="auto"/>
        </w:rPr>
      </w:pPr>
      <w:r>
        <w:rPr>
          <w:rFonts w:ascii="Arial" w:cs="Arial" w:eastAsia="Arial" w:hAnsi="Arial"/>
          <w:sz w:val="17"/>
          <w:szCs w:val="17"/>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 WE MAY OFFER</w:t>
      </w:r>
    </w:p>
    <w:p>
      <w:pPr>
        <w:spacing w:after="0" w:line="229"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As of May 8, 2020,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 Equity Warrants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18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securities for which the warrants are exercisable;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number of warrants issued with each share of preferred stock or share of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preferred stock or common stock will be separately transferable;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maximum or minimum number of warrants which may be exercised at any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exercise of the warrants;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2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06" w:right="459" w:bottom="1440" w:gutter="0" w:footer="0" w:header="0"/>
        </w:sectPr>
      </w:pPr>
    </w:p>
    <w:bookmarkStart w:id="47" w:name="page48"/>
    <w:bookmarkEnd w:id="47"/>
    <w:p>
      <w:pPr>
        <w:spacing w:after="0" w:line="287" w:lineRule="auto"/>
        <w:rPr>
          <w:sz w:val="20"/>
          <w:szCs w:val="20"/>
          <w:color w:val="auto"/>
        </w:rPr>
      </w:pPr>
      <w:r>
        <w:rPr>
          <w:rFonts w:ascii="Arial" w:cs="Arial" w:eastAsia="Arial" w:hAnsi="Arial"/>
          <w:sz w:val="16"/>
          <w:szCs w:val="16"/>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14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or prices at which the debt warrants will be issued;</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aggregate principal amount and terms of the debt securities purchasable upon exercise of the debt warrants, and the procedures and conditions relating to the exercise of the debt warrants;</w:t>
      </w:r>
    </w:p>
    <w:p>
      <w:pPr>
        <w:ind w:left="660" w:right="18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and terms of any related debt securities with which the debt warrants are issued, and the number of the debt warrants issued with each security;</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the principal amount of the debt securities may be purchased upon exercise;</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maximum or minimum number of the debt warrants that may be exercised at any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or adjustments in the exercise price of the debt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the exercise of the debt warrants;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the debt warrants and terms, procedures and limitations relating to the exercise of the debt warrants.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8" w:name="page49"/>
    <w:bookmarkEnd w:id="48"/>
    <w:p>
      <w:pPr>
        <w:ind w:right="40"/>
        <w:spacing w:after="0" w:line="255" w:lineRule="auto"/>
        <w:rPr>
          <w:sz w:val="20"/>
          <w:szCs w:val="20"/>
          <w:color w:val="auto"/>
        </w:rPr>
      </w:pPr>
      <w:r>
        <w:rPr>
          <w:rFonts w:ascii="Arial" w:cs="Arial" w:eastAsia="Arial" w:hAnsi="Arial"/>
          <w:sz w:val="18"/>
          <w:szCs w:val="18"/>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 WE MAY OFFER</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w:t>
      </w:r>
    </w:p>
    <w:p>
      <w:pPr>
        <w:spacing w:after="0" w:line="225" w:lineRule="exact"/>
        <w:rPr>
          <w:sz w:val="20"/>
          <w:szCs w:val="20"/>
          <w:color w:val="auto"/>
        </w:rPr>
      </w:pPr>
    </w:p>
    <w:p>
      <w:pPr>
        <w:ind w:left="660" w:right="12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11" w:lineRule="exact"/>
        <w:rPr>
          <w:sz w:val="20"/>
          <w:szCs w:val="20"/>
          <w:color w:val="auto"/>
        </w:rPr>
      </w:pPr>
    </w:p>
    <w:p>
      <w:pPr>
        <w:ind w:right="60" w:firstLine="45"/>
        <w:spacing w:after="0" w:line="263" w:lineRule="auto"/>
        <w:rPr>
          <w:sz w:val="20"/>
          <w:szCs w:val="20"/>
          <w:color w:val="auto"/>
        </w:rPr>
      </w:pPr>
      <w:r>
        <w:rPr>
          <w:rFonts w:ascii="Arial" w:cs="Arial" w:eastAsia="Arial" w:hAnsi="Arial"/>
          <w:sz w:val="18"/>
          <w:szCs w:val="18"/>
          <w:color w:val="auto"/>
        </w:rPr>
        <w: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9" w:name="page50"/>
    <w:bookmarkEnd w:id="49"/>
    <w:p>
      <w:pPr>
        <w:ind w:right="580"/>
        <w:spacing w:after="0" w:line="342" w:lineRule="auto"/>
        <w:rPr>
          <w:sz w:val="20"/>
          <w:szCs w:val="20"/>
          <w:color w:val="auto"/>
        </w:rPr>
      </w:pPr>
      <w:r>
        <w:rPr>
          <w:rFonts w:ascii="Arial" w:cs="Arial" w:eastAsia="Arial" w:hAnsi="Arial"/>
          <w:sz w:val="16"/>
          <w:szCs w:val="16"/>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offered securities from time to time.</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or through broker-dealers (acting as agent or principal);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or otherwise;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will describe the terms of the offering of the securities, including:</w:t>
      </w:r>
    </w:p>
    <w:p>
      <w:pPr>
        <w:spacing w:after="0" w:line="170" w:lineRule="exact"/>
        <w:rPr>
          <w:sz w:val="20"/>
          <w:szCs w:val="20"/>
          <w:color w:val="auto"/>
        </w:rPr>
      </w:pPr>
    </w:p>
    <w:p>
      <w:pPr>
        <w:ind w:left="660" w:right="12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 and the amount of shares underwritten or purchased by each of them;</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purchase price or other consideration to be paid in connection with the sale of the securities being offered and the proceeds we will receive from the sale;</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fixed price or prices, which may be changed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50" w:name="page51"/>
    <w:bookmarkEnd w:id="50"/>
    <w:p>
      <w:pPr>
        <w:jc w:val="both"/>
        <w:ind w:right="40"/>
        <w:spacing w:after="0" w:line="263" w:lineRule="auto"/>
        <w:rPr>
          <w:sz w:val="20"/>
          <w:szCs w:val="20"/>
          <w:color w:val="auto"/>
        </w:rPr>
      </w:pPr>
      <w:r>
        <w:rPr>
          <w:rFonts w:ascii="Arial" w:cs="Arial" w:eastAsia="Arial" w:hAnsi="Arial"/>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19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1" w:name="page52"/>
    <w:bookmarkEnd w:id="51"/>
    <w:p>
      <w:pPr>
        <w:ind w:right="20"/>
        <w:spacing w:after="0" w:line="308" w:lineRule="auto"/>
        <w:rPr>
          <w:sz w:val="20"/>
          <w:szCs w:val="20"/>
          <w:color w:val="auto"/>
        </w:rPr>
      </w:pPr>
      <w:r>
        <w:rPr>
          <w:rFonts w:ascii="Arial" w:cs="Arial" w:eastAsia="Arial" w:hAnsi="Arial"/>
          <w:sz w:val="17"/>
          <w:szCs w:val="17"/>
          <w:color w:val="auto"/>
        </w:rPr>
        <w:t>The underwriters, dealers and agents may engage in other transactions with us, or perform other services for us, in the ordinary course of their business. We will describe such relationships in the prospectus supplement naming the underwriter and the nature of any such relationship.</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14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as filed with the SEC on March 16, 2020;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2020, as filed with the SEC on May 8, 2020;</w:t>
      </w:r>
    </w:p>
    <w:p>
      <w:pPr>
        <w:spacing w:after="0" w:line="252"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Current Reports on Form 8-K, as filed with the SEC on January 10, 2020, March 4, 2020, March 11, 2020, March 27, 2020, April 17, 2020, April 21, 2020, and May 7, 2020, (in each case, except for information contained therein which is furnished rather than filed); and</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description of our common stock set forth in the Form 8-K12B filed on June 18, 2019.</w:t>
      </w: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2" w:name="page53"/>
    <w:bookmarkEnd w:id="52"/>
    <w:p>
      <w:pPr>
        <w:spacing w:after="0" w:line="25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8"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5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2780030</wp:posOffset>
            </wp:positionH>
            <wp:positionV relativeFrom="page">
              <wp:posOffset>457835</wp:posOffset>
            </wp:positionV>
            <wp:extent cx="2014855" cy="677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2014855" cy="677545"/>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$200,000,000</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21, 2020</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457835</wp:posOffset>
            </wp:positionV>
            <wp:extent cx="2014855" cy="677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014855" cy="677545"/>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3,264,151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PROSPECTUS SUPPLEMENT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240"/>
          </w:cols>
          <w:pgMar w:left="320" w:top="1440" w:right="3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Citigroup</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700"/>
        <w:spacing w:after="0"/>
        <w:rPr>
          <w:sz w:val="20"/>
          <w:szCs w:val="20"/>
          <w:color w:val="auto"/>
        </w:rPr>
      </w:pPr>
      <w:r>
        <w:rPr>
          <w:rFonts w:ascii="Arial" w:cs="Arial" w:eastAsia="Arial" w:hAnsi="Arial"/>
          <w:sz w:val="22"/>
          <w:szCs w:val="22"/>
          <w:b w:val="1"/>
          <w:bCs w:val="1"/>
          <w:color w:val="auto"/>
        </w:rPr>
        <w:t>Guggenheim Securities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Barclays</w:t>
      </w:r>
    </w:p>
    <w:p>
      <w:pPr>
        <w:spacing w:after="0" w:line="211" w:lineRule="exact"/>
        <w:rPr>
          <w:sz w:val="20"/>
          <w:szCs w:val="20"/>
          <w:color w:val="auto"/>
        </w:rPr>
      </w:pPr>
    </w:p>
    <w:p>
      <w:pPr>
        <w:sectPr>
          <w:pgSz w:w="11900" w:h="16838" w:orient="portrait"/>
          <w:cols w:equalWidth="0" w:num="3">
            <w:col w:w="3660" w:space="720"/>
            <w:col w:w="5200" w:space="720"/>
            <w:col w:w="940"/>
          </w:cols>
          <w:pgMar w:left="320" w:top="1440" w:right="339" w:bottom="1440" w:gutter="0" w:footer="0" w:header="0"/>
          <w:type w:val="continuous"/>
        </w:sectPr>
      </w:pP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Co-Lead Managers</w:t>
      </w:r>
    </w:p>
    <w:p>
      <w:pPr>
        <w:sectPr>
          <w:pgSz w:w="11900" w:h="16838" w:orient="portrait"/>
          <w:cols w:equalWidth="0" w:num="1">
            <w:col w:w="11240"/>
          </w:cols>
          <w:pgMar w:left="320" w:top="1440" w:right="339" w:bottom="1440" w:gutter="0" w:footer="0" w:header="0"/>
          <w:type w:val="continuous"/>
        </w:sectPr>
      </w:pPr>
    </w:p>
    <w:p>
      <w:pPr>
        <w:spacing w:after="0" w:line="244"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Baird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Riley FBR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H.C. Wainwright &amp; Co.</w:t>
      </w:r>
    </w:p>
    <w:p>
      <w:pPr>
        <w:spacing w:after="0" w:line="200" w:lineRule="exact"/>
        <w:rPr>
          <w:sz w:val="20"/>
          <w:szCs w:val="20"/>
          <w:color w:val="auto"/>
        </w:rPr>
      </w:pPr>
    </w:p>
    <w:p>
      <w:pPr>
        <w:sectPr>
          <w:pgSz w:w="11900" w:h="16838" w:orient="portrait"/>
          <w:cols w:equalWidth="0" w:num="3">
            <w:col w:w="4400" w:space="720"/>
            <w:col w:w="2640" w:space="720"/>
            <w:col w:w="2760"/>
          </w:cols>
          <w:pgMar w:left="320" w:top="1440" w:right="339" w:bottom="1440" w:gutter="0" w:footer="0" w:header="0"/>
          <w:type w:val="continuous"/>
        </w:sectPr>
      </w:pP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Co-Manager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Ladenburg Thalmann</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July 28, 2020</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
      <w:numFmt w:val="bullet"/>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emdash "/>
      <w:numFmt w:val="bullet"/>
      <w:start w:val="1"/>
    </w:lvl>
  </w:abstractNum>
  <w:abstractNum w:abstractNumId="14">
    <w:nsid w:val="189A769B"/>
    <w:multiLevelType w:val="hybridMultilevel"/>
    <w:lvl w:ilvl="0">
      <w:lvlJc w:val="left"/>
      <w:lvlText w:val="\emdash "/>
      <w:numFmt w:val="bullet"/>
      <w:start w:val="1"/>
    </w:lvl>
    <w:lvl w:ilvl="1">
      <w:lvlJc w:val="left"/>
      <w:lvlText w:val="\emdash "/>
      <w:numFmt w:val="bullet"/>
      <w:start w:val="1"/>
    </w:lvl>
  </w:abstractNum>
  <w:abstractNum w:abstractNumId="15">
    <w:nsid w:val="54E49EB4"/>
    <w:multiLevelType w:val="hybridMultilevel"/>
    <w:lvl w:ilvl="0">
      <w:lvlJc w:val="left"/>
      <w:lvlText w:val="\emdash "/>
      <w:numFmt w:val="bullet"/>
      <w:start w:val="1"/>
    </w:lvl>
  </w:abstractNum>
  <w:abstractNum w:abstractNumId="16">
    <w:nsid w:val="71F32454"/>
    <w:multiLevelType w:val="hybridMultilevel"/>
    <w:lvl w:ilvl="0">
      <w:lvlJc w:val="left"/>
      <w:lvlText w:val="\emdash "/>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lvl w:ilvl="1">
      <w:lvlJc w:val="left"/>
      <w:lvlText w:val="·"/>
      <w:numFmt w:val="bullet"/>
      <w:start w:val="1"/>
    </w:lvl>
  </w:abstractNum>
  <w:abstractNum w:abstractNumId="22">
    <w:nsid w:val="1E7FF521"/>
    <w:multiLevelType w:val="hybridMultilevel"/>
    <w:lvl w:ilvl="0">
      <w:lvlJc w:val="left"/>
      <w:lvlText w:val="·"/>
      <w:numFmt w:val="bullet"/>
      <w:start w:val="1"/>
    </w:lvl>
    <w:lvl w:ilvl="1">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2020-07-30T05:27:33Z</dcterms:created>
  <dcterms:modified xsi:type="dcterms:W3CDTF">2020-07-30T05:27:33Z</dcterms:modified>
</cp:coreProperties>
</file>