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19, 2013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333 - 186003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366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State of Israel</w:t>
            </w:r>
          </w:p>
        </w:tc>
        <w:tc>
          <w:tcPr>
            <w:tcW w:w="242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3660" w:type="dxa"/>
            <w:vAlign w:val="bottom"/>
          </w:tcPr>
          <w:p>
            <w:pPr>
              <w:jc w:val="center"/>
              <w:ind w:right="1370"/>
              <w:spacing w:after="0"/>
              <w:rPr>
                <w:sz w:val="20"/>
                <w:szCs w:val="20"/>
                <w:color w:val="auto"/>
              </w:rPr>
            </w:pPr>
            <w:r>
              <w:rPr>
                <w:rFonts w:ascii="Arial" w:cs="Arial" w:eastAsia="Arial" w:hAnsi="Arial"/>
                <w:sz w:val="18"/>
                <w:szCs w:val="18"/>
                <w:i w:val="1"/>
                <w:iCs w:val="1"/>
                <w:color w:val="auto"/>
                <w:w w:val="94"/>
              </w:rPr>
              <w:t>(State or other jurisdiction of</w:t>
            </w:r>
          </w:p>
        </w:tc>
        <w:tc>
          <w:tcPr>
            <w:tcW w:w="2760" w:type="dxa"/>
            <w:vAlign w:val="bottom"/>
            <w:gridSpan w:val="2"/>
          </w:tcPr>
          <w:p>
            <w:pPr>
              <w:jc w:val="center"/>
              <w:ind w:left="150"/>
              <w:spacing w:after="0"/>
              <w:rPr>
                <w:sz w:val="20"/>
                <w:szCs w:val="20"/>
                <w:color w:val="auto"/>
              </w:rPr>
            </w:pPr>
            <w:r>
              <w:rPr>
                <w:rFonts w:ascii="Arial" w:cs="Arial" w:eastAsia="Arial" w:hAnsi="Arial"/>
                <w:sz w:val="18"/>
                <w:szCs w:val="18"/>
                <w:i w:val="1"/>
                <w:iCs w:val="1"/>
                <w:color w:val="auto"/>
                <w:w w:val="94"/>
              </w:rPr>
              <w:t>(Primary Standard Industrial</w:t>
            </w:r>
          </w:p>
        </w:tc>
        <w:tc>
          <w:tcPr>
            <w:tcW w:w="100" w:type="dxa"/>
            <w:vAlign w:val="bottom"/>
          </w:tcPr>
          <w:p>
            <w:pPr>
              <w:spacing w:after="0"/>
              <w:rPr>
                <w:sz w:val="18"/>
                <w:szCs w:val="18"/>
                <w:color w:val="auto"/>
              </w:rPr>
            </w:pPr>
          </w:p>
        </w:tc>
        <w:tc>
          <w:tcPr>
            <w:tcW w:w="3560" w:type="dxa"/>
            <w:vAlign w:val="bottom"/>
          </w:tcPr>
          <w:p>
            <w:pPr>
              <w:jc w:val="center"/>
              <w:ind w:left="15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660" w:type="dxa"/>
            <w:vAlign w:val="bottom"/>
          </w:tcPr>
          <w:p>
            <w:pPr>
              <w:jc w:val="center"/>
              <w:ind w:right="1350"/>
              <w:spacing w:after="0"/>
              <w:rPr>
                <w:sz w:val="20"/>
                <w:szCs w:val="20"/>
                <w:color w:val="auto"/>
              </w:rPr>
            </w:pPr>
            <w:r>
              <w:rPr>
                <w:rFonts w:ascii="Arial" w:cs="Arial" w:eastAsia="Arial" w:hAnsi="Arial"/>
                <w:sz w:val="18"/>
                <w:szCs w:val="18"/>
                <w:i w:val="1"/>
                <w:iCs w:val="1"/>
                <w:color w:val="auto"/>
                <w:w w:val="94"/>
              </w:rPr>
              <w:t>incorporation or organization)</w:t>
            </w:r>
          </w:p>
        </w:tc>
        <w:tc>
          <w:tcPr>
            <w:tcW w:w="2760" w:type="dxa"/>
            <w:vAlign w:val="bottom"/>
            <w:gridSpan w:val="2"/>
          </w:tcPr>
          <w:p>
            <w:pPr>
              <w:jc w:val="center"/>
              <w:ind w:left="130"/>
              <w:spacing w:after="0"/>
              <w:rPr>
                <w:sz w:val="20"/>
                <w:szCs w:val="20"/>
                <w:color w:val="auto"/>
              </w:rPr>
            </w:pPr>
            <w:r>
              <w:rPr>
                <w:rFonts w:ascii="Arial" w:cs="Arial" w:eastAsia="Arial" w:hAnsi="Arial"/>
                <w:sz w:val="18"/>
                <w:szCs w:val="18"/>
                <w:i w:val="1"/>
                <w:iCs w:val="1"/>
                <w:color w:val="auto"/>
                <w:w w:val="91"/>
              </w:rPr>
              <w:t>Classification Code Number)</w:t>
            </w:r>
          </w:p>
        </w:tc>
        <w:tc>
          <w:tcPr>
            <w:tcW w:w="100" w:type="dxa"/>
            <w:vAlign w:val="bottom"/>
          </w:tcPr>
          <w:p>
            <w:pPr>
              <w:spacing w:after="0"/>
              <w:rPr>
                <w:sz w:val="20"/>
                <w:szCs w:val="20"/>
                <w:color w:val="auto"/>
              </w:rPr>
            </w:pPr>
          </w:p>
        </w:tc>
        <w:tc>
          <w:tcPr>
            <w:tcW w:w="3560" w:type="dxa"/>
            <w:vAlign w:val="bottom"/>
          </w:tcPr>
          <w:p>
            <w:pPr>
              <w:jc w:val="center"/>
              <w:ind w:left="161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3660" w:type="dxa"/>
            <w:vAlign w:val="bottom"/>
          </w:tcPr>
          <w:p>
            <w:pPr>
              <w:jc w:val="center"/>
              <w:ind w:left="750"/>
              <w:spacing w:after="0"/>
              <w:rPr>
                <w:sz w:val="20"/>
                <w:szCs w:val="20"/>
                <w:color w:val="auto"/>
              </w:rPr>
            </w:pPr>
            <w:r>
              <w:rPr>
                <w:rFonts w:ascii="Arial" w:cs="Arial" w:eastAsia="Arial" w:hAnsi="Arial"/>
                <w:sz w:val="18"/>
                <w:szCs w:val="18"/>
                <w:b w:val="1"/>
                <w:bCs w:val="1"/>
                <w:color w:val="auto"/>
                <w:w w:val="91"/>
              </w:rPr>
              <w:t>Dr. Yaron Daniely</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Zysman, Aharoni, Gayer &amp;</w:t>
            </w:r>
          </w:p>
        </w:tc>
      </w:tr>
      <w:tr>
        <w:trPr>
          <w:trHeight w:val="216"/>
        </w:trPr>
        <w:tc>
          <w:tcPr>
            <w:tcW w:w="3660" w:type="dxa"/>
            <w:vAlign w:val="bottom"/>
          </w:tcPr>
          <w:p>
            <w:pPr>
              <w:jc w:val="center"/>
              <w:ind w:left="730"/>
              <w:spacing w:after="0"/>
              <w:rPr>
                <w:sz w:val="20"/>
                <w:szCs w:val="20"/>
                <w:color w:val="auto"/>
              </w:rPr>
            </w:pPr>
            <w:r>
              <w:rPr>
                <w:rFonts w:ascii="Arial" w:cs="Arial" w:eastAsia="Arial" w:hAnsi="Arial"/>
                <w:sz w:val="18"/>
                <w:szCs w:val="18"/>
                <w:b w:val="1"/>
                <w:bCs w:val="1"/>
                <w:color w:val="auto"/>
                <w:w w:val="95"/>
              </w:rPr>
              <w:t>Alcobra Ltd.</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Sullivan &amp; Worcester LLP</w:t>
            </w:r>
          </w:p>
        </w:tc>
      </w:tr>
      <w:tr>
        <w:trPr>
          <w:trHeight w:val="216"/>
        </w:trPr>
        <w:tc>
          <w:tcPr>
            <w:tcW w:w="366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65 Rothschild Blvd.</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1633 Broadway</w:t>
            </w:r>
          </w:p>
        </w:tc>
      </w:tr>
      <w:tr>
        <w:trPr>
          <w:trHeight w:val="216"/>
        </w:trPr>
        <w:tc>
          <w:tcPr>
            <w:tcW w:w="366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Tel Aviv 65785 Israel</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New York, NY 10019</w:t>
            </w:r>
          </w:p>
        </w:tc>
      </w:tr>
      <w:tr>
        <w:trPr>
          <w:trHeight w:val="220"/>
        </w:trPr>
        <w:tc>
          <w:tcPr>
            <w:tcW w:w="366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Tel: +972 (0) 72 220 4661</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Tel: 212.660.3000</w:t>
            </w:r>
          </w:p>
        </w:tc>
      </w:tr>
      <w:tr>
        <w:trPr>
          <w:trHeight w:val="216"/>
        </w:trPr>
        <w:tc>
          <w:tcPr>
            <w:tcW w:w="6080" w:type="dxa"/>
            <w:vAlign w:val="bottom"/>
            <w:gridSpan w:val="2"/>
          </w:tcPr>
          <w:p>
            <w:pPr>
              <w:jc w:val="center"/>
              <w:ind w:right="1510"/>
              <w:spacing w:after="0"/>
              <w:rPr>
                <w:sz w:val="20"/>
                <w:szCs w:val="20"/>
                <w:color w:val="auto"/>
              </w:rPr>
            </w:pPr>
            <w:r>
              <w:rPr>
                <w:rFonts w:ascii="Arial" w:cs="Arial" w:eastAsia="Arial" w:hAnsi="Arial"/>
                <w:sz w:val="18"/>
                <w:szCs w:val="18"/>
                <w:i w:val="1"/>
                <w:iCs w:val="1"/>
                <w:color w:val="auto"/>
                <w:w w:val="89"/>
              </w:rPr>
              <w:t>(Address, including zip code, and telephone number,</w:t>
            </w:r>
          </w:p>
        </w:tc>
        <w:tc>
          <w:tcPr>
            <w:tcW w:w="4000" w:type="dxa"/>
            <w:vAlign w:val="bottom"/>
            <w:gridSpan w:val="3"/>
          </w:tcPr>
          <w:p>
            <w:pPr>
              <w:jc w:val="center"/>
              <w:ind w:right="170"/>
              <w:spacing w:after="0"/>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080" w:type="dxa"/>
            <w:vAlign w:val="bottom"/>
            <w:gridSpan w:val="2"/>
          </w:tcPr>
          <w:p>
            <w:pPr>
              <w:ind w:left="320"/>
              <w:spacing w:after="0"/>
              <w:rPr>
                <w:sz w:val="20"/>
                <w:szCs w:val="20"/>
                <w:color w:val="auto"/>
              </w:rPr>
            </w:pPr>
            <w:r>
              <w:rPr>
                <w:rFonts w:ascii="Arial" w:cs="Arial" w:eastAsia="Arial" w:hAnsi="Arial"/>
                <w:sz w:val="18"/>
                <w:szCs w:val="18"/>
                <w:i w:val="1"/>
                <w:iCs w:val="1"/>
                <w:color w:val="auto"/>
              </w:rPr>
              <w:t>including area code, of registrant’s principal executive offices)</w:t>
            </w:r>
          </w:p>
        </w:tc>
        <w:tc>
          <w:tcPr>
            <w:tcW w:w="340" w:type="dxa"/>
            <w:vAlign w:val="bottom"/>
          </w:tcPr>
          <w:p>
            <w:pPr>
              <w:spacing w:after="0"/>
              <w:rPr>
                <w:sz w:val="20"/>
                <w:szCs w:val="20"/>
                <w:color w:val="auto"/>
              </w:rPr>
            </w:pPr>
          </w:p>
        </w:tc>
        <w:tc>
          <w:tcPr>
            <w:tcW w:w="3660" w:type="dxa"/>
            <w:vAlign w:val="bottom"/>
            <w:gridSpan w:val="2"/>
          </w:tcPr>
          <w:p>
            <w:pPr>
              <w:ind w:left="6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54"/>
        </w:trPr>
        <w:tc>
          <w:tcPr>
            <w:tcW w:w="3660" w:type="dxa"/>
            <w:vAlign w:val="bottom"/>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60" w:type="dxa"/>
            <w:vAlign w:val="bottom"/>
          </w:tcPr>
          <w:p>
            <w:pPr>
              <w:spacing w:after="0"/>
              <w:rPr>
                <w:sz w:val="4"/>
                <w:szCs w:val="4"/>
                <w:color w:val="auto"/>
              </w:rPr>
            </w:pPr>
          </w:p>
        </w:tc>
      </w:tr>
      <w:tr>
        <w:trPr>
          <w:trHeight w:val="475"/>
        </w:trPr>
        <w:tc>
          <w:tcPr>
            <w:tcW w:w="3660" w:type="dxa"/>
            <w:vAlign w:val="bottom"/>
          </w:tcPr>
          <w:p>
            <w:pPr>
              <w:spacing w:after="0"/>
              <w:rPr>
                <w:sz w:val="24"/>
                <w:szCs w:val="24"/>
                <w:color w:val="auto"/>
              </w:rPr>
            </w:pPr>
          </w:p>
        </w:tc>
        <w:tc>
          <w:tcPr>
            <w:tcW w:w="2420" w:type="dxa"/>
            <w:vAlign w:val="bottom"/>
          </w:tcPr>
          <w:p>
            <w:pPr>
              <w:ind w:left="1060"/>
              <w:spacing w:after="0"/>
              <w:rPr>
                <w:sz w:val="20"/>
                <w:szCs w:val="20"/>
                <w:color w:val="auto"/>
              </w:rPr>
            </w:pPr>
            <w:r>
              <w:rPr>
                <w:rFonts w:ascii="Arial" w:cs="Arial" w:eastAsia="Arial" w:hAnsi="Arial"/>
                <w:sz w:val="18"/>
                <w:szCs w:val="18"/>
                <w:b w:val="1"/>
                <w:bCs w:val="1"/>
                <w:i w:val="1"/>
                <w:iCs w:val="1"/>
                <w:color w:val="auto"/>
              </w:rPr>
              <w:t>Copies to:</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16"/>
        </w:trPr>
        <w:tc>
          <w:tcPr>
            <w:tcW w:w="3660" w:type="dxa"/>
            <w:vAlign w:val="bottom"/>
          </w:tcPr>
          <w:p>
            <w:pPr>
              <w:jc w:val="center"/>
              <w:ind w:right="890"/>
              <w:spacing w:after="0"/>
              <w:rPr>
                <w:sz w:val="20"/>
                <w:szCs w:val="20"/>
                <w:color w:val="auto"/>
              </w:rPr>
            </w:pPr>
            <w:r>
              <w:rPr>
                <w:rFonts w:ascii="Arial" w:cs="Arial" w:eastAsia="Arial" w:hAnsi="Arial"/>
                <w:sz w:val="18"/>
                <w:szCs w:val="18"/>
                <w:b w:val="1"/>
                <w:bCs w:val="1"/>
                <w:color w:val="auto"/>
                <w:w w:val="96"/>
              </w:rPr>
              <w:t>Edwin L. Miller Jr.</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Eran Ben-Dor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70"/>
              <w:spacing w:after="0"/>
              <w:rPr>
                <w:sz w:val="20"/>
                <w:szCs w:val="20"/>
                <w:color w:val="auto"/>
              </w:rPr>
            </w:pPr>
            <w:r>
              <w:rPr>
                <w:rFonts w:ascii="Arial" w:cs="Arial" w:eastAsia="Arial" w:hAnsi="Arial"/>
                <w:sz w:val="18"/>
                <w:szCs w:val="18"/>
                <w:b w:val="1"/>
                <w:bCs w:val="1"/>
                <w:color w:val="auto"/>
                <w:w w:val="95"/>
              </w:rPr>
              <w:t>Henry I. Rothman</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3"/>
              </w:rPr>
              <w:t>Oded Har-Even</w:t>
            </w:r>
          </w:p>
        </w:tc>
        <w:tc>
          <w:tcPr>
            <w:tcW w:w="276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3"/>
              </w:rPr>
              <w:t>Zysman, Aharoni, Gayer &amp; Co.</w:t>
            </w:r>
          </w:p>
        </w:tc>
        <w:tc>
          <w:tcPr>
            <w:tcW w:w="100" w:type="dxa"/>
            <w:vAlign w:val="bottom"/>
          </w:tcPr>
          <w:p>
            <w:pPr>
              <w:spacing w:after="0"/>
              <w:rPr>
                <w:sz w:val="18"/>
                <w:szCs w:val="18"/>
                <w:color w:val="auto"/>
              </w:rPr>
            </w:pPr>
          </w:p>
        </w:tc>
        <w:tc>
          <w:tcPr>
            <w:tcW w:w="3560" w:type="dxa"/>
            <w:vAlign w:val="bottom"/>
          </w:tcPr>
          <w:p>
            <w:pPr>
              <w:jc w:val="center"/>
              <w:ind w:left="1170"/>
              <w:spacing w:after="0"/>
              <w:rPr>
                <w:sz w:val="20"/>
                <w:szCs w:val="20"/>
                <w:color w:val="auto"/>
              </w:rPr>
            </w:pPr>
            <w:r>
              <w:rPr>
                <w:rFonts w:ascii="Arial" w:cs="Arial" w:eastAsia="Arial" w:hAnsi="Arial"/>
                <w:sz w:val="18"/>
                <w:szCs w:val="18"/>
                <w:b w:val="1"/>
                <w:bCs w:val="1"/>
                <w:color w:val="auto"/>
                <w:w w:val="87"/>
              </w:rPr>
              <w:t>Joseph Walsh</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Shy S. Baranov</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41-45 Rothschild Blvd.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Troutman Sanders LLP</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rPr>
              <w:t>ZAG/S&amp;W LLP</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Beit Zion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The Chrysler Building</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1633 Broadway</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Tel-Aviv, Israel 65784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405 Lexington Avenue</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4"/>
              </w:rPr>
              <w:t>New York, NY 10019</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Tel: +972.3.795.5555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New York, NY 10174</w:t>
            </w:r>
          </w:p>
        </w:tc>
      </w:tr>
      <w:tr>
        <w:trPr>
          <w:trHeight w:val="234"/>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Tel: 212.660.3000</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Tel: 212.704.6000</w:t>
            </w:r>
          </w:p>
        </w:tc>
      </w:tr>
    </w:tbl>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hereof.</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o</w:t>
      </w:r>
    </w:p>
    <w:p>
      <w:pPr>
        <w:spacing w:after="0" w:line="1" w:lineRule="exact"/>
        <w:rPr>
          <w:sz w:val="24"/>
          <w:szCs w:val="24"/>
          <w:color w:val="auto"/>
        </w:rPr>
      </w:pPr>
    </w:p>
    <w:p>
      <w:pPr>
        <w:spacing w:after="0" w:line="250"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shall file a further amendment which specifically states that this registration statement shall thereafter become effective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8(a) of the Securities Act of 1933 or until the Registration Statement shall become effective on such date as the Commission, acting pursuant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spacing w:after="0"/>
        <w:tabs>
          <w:tab w:leader="none" w:pos="3880" w:val="left"/>
          <w:tab w:leader="none" w:pos="7640" w:val="left"/>
        </w:tabs>
        <w:rPr>
          <w:sz w:val="20"/>
          <w:szCs w:val="20"/>
          <w:color w:val="auto"/>
        </w:rPr>
      </w:pPr>
      <w:r>
        <w:rPr>
          <w:rFonts w:ascii="Arial" w:cs="Arial" w:eastAsia="Arial" w:hAnsi="Arial"/>
          <w:sz w:val="18"/>
          <w:szCs w:val="18"/>
          <w:b w:val="1"/>
          <w:bCs w:val="1"/>
          <w:color w:val="C00000"/>
        </w:rPr>
        <w:t>PRELIMINARY PROSPECTUS</w:t>
      </w:r>
      <w:r>
        <w:rPr>
          <w:sz w:val="20"/>
          <w:szCs w:val="20"/>
          <w:color w:val="auto"/>
        </w:rPr>
        <w:tab/>
      </w:r>
      <w:r>
        <w:rPr>
          <w:rFonts w:ascii="Arial" w:cs="Arial" w:eastAsia="Arial" w:hAnsi="Arial"/>
          <w:sz w:val="18"/>
          <w:szCs w:val="18"/>
          <w:b w:val="1"/>
          <w:bCs w:val="1"/>
          <w:color w:val="C00000"/>
        </w:rPr>
        <w:t>SUBJECT TO COMPLETION</w:t>
      </w:r>
      <w:r>
        <w:rPr>
          <w:sz w:val="20"/>
          <w:szCs w:val="20"/>
          <w:color w:val="auto"/>
        </w:rPr>
        <w:tab/>
      </w:r>
      <w:r>
        <w:rPr>
          <w:rFonts w:ascii="Arial" w:cs="Arial" w:eastAsia="Arial" w:hAnsi="Arial"/>
          <w:sz w:val="17"/>
          <w:szCs w:val="17"/>
          <w:b w:val="1"/>
          <w:bCs w:val="1"/>
          <w:color w:val="C00000"/>
        </w:rPr>
        <w:t>DATED FEBRUARY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231775</wp:posOffset>
            </wp:positionV>
            <wp:extent cx="145796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960" cy="4457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left="2340"/>
        <w:spacing w:after="0"/>
        <w:rPr>
          <w:sz w:val="20"/>
          <w:szCs w:val="20"/>
          <w:color w:val="auto"/>
        </w:rPr>
      </w:pPr>
      <w:r>
        <w:rPr>
          <w:rFonts w:ascii="Arial" w:cs="Arial" w:eastAsia="Arial" w:hAnsi="Arial"/>
          <w:sz w:val="32"/>
          <w:szCs w:val="3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Alcobra Ltd. is offering its ordinary shares in an initial public offering. No public market currently exists for our ordinary shares. The estimated initial public offering price is between $__ and $__ per share.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applied to list our ordinary shares on The NASDAQ Capital Market under the symbol “ADHD”.</w:t>
      </w:r>
    </w:p>
    <w:p>
      <w:pPr>
        <w:spacing w:after="0" w:line="22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will be subject to reduced public company reporting requirements.</w:t>
      </w:r>
    </w:p>
    <w:p>
      <w:pPr>
        <w:spacing w:after="0" w:line="166"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Investing in our ordinary shares involves a high degree of risk. See “Risk Factors” beginning on page 7 of this prospectus for a discussion of information that should be considered in connection with an investment in our ordinary shares.</w:t>
      </w:r>
    </w:p>
    <w:p>
      <w:pPr>
        <w:spacing w:after="0" w:line="162"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0" w:type="dxa"/>
            <w:vAlign w:val="bottom"/>
            <w:gridSpan w:val="2"/>
          </w:tcPr>
          <w:p>
            <w:pPr>
              <w:ind w:left="520"/>
              <w:spacing w:after="0"/>
              <w:rPr>
                <w:sz w:val="20"/>
                <w:szCs w:val="20"/>
                <w:color w:val="auto"/>
              </w:rPr>
            </w:pPr>
            <w:r>
              <w:rPr>
                <w:rFonts w:ascii="Arial" w:cs="Arial" w:eastAsia="Arial" w:hAnsi="Arial"/>
                <w:sz w:val="18"/>
                <w:szCs w:val="18"/>
                <w:b w:val="1"/>
                <w:bCs w:val="1"/>
                <w:color w:val="auto"/>
              </w:rPr>
              <w:t>Per Share</w:t>
            </w:r>
          </w:p>
        </w:tc>
        <w:tc>
          <w:tcPr>
            <w:tcW w:w="176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1880" w:type="dxa"/>
            <w:vAlign w:val="bottom"/>
          </w:tcPr>
          <w:p>
            <w:pPr>
              <w:spacing w:after="0"/>
              <w:rPr>
                <w:sz w:val="18"/>
                <w:szCs w:val="18"/>
                <w:color w:val="auto"/>
              </w:rPr>
            </w:pPr>
          </w:p>
        </w:tc>
        <w:tc>
          <w:tcPr>
            <w:tcW w:w="1680" w:type="dxa"/>
            <w:vAlign w:val="bottom"/>
            <w:tcBorders>
              <w:top w:val="single" w:sz="8" w:color="auto"/>
            </w:tcBorders>
          </w:tcPr>
          <w:p>
            <w:pPr>
              <w:jc w:val="right"/>
              <w:ind w:right="1517"/>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8"/>
                <w:szCs w:val="18"/>
                <w:color w:val="auto"/>
              </w:rPr>
            </w:pPr>
          </w:p>
        </w:tc>
        <w:tc>
          <w:tcPr>
            <w:tcW w:w="1660" w:type="dxa"/>
            <w:vAlign w:val="bottom"/>
            <w:tcBorders>
              <w:top w:val="single" w:sz="8" w:color="auto"/>
            </w:tcBorders>
          </w:tcPr>
          <w:p>
            <w:pPr>
              <w:jc w:val="right"/>
              <w:ind w:right="14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w:t>
            </w:r>
          </w:p>
        </w:tc>
        <w:tc>
          <w:tcPr>
            <w:tcW w:w="3560" w:type="dxa"/>
            <w:vAlign w:val="bottom"/>
            <w:gridSpan w:val="2"/>
            <w:shd w:val="clear" w:color="auto" w:fill="CCFFCC"/>
          </w:tcPr>
          <w:p>
            <w:pPr>
              <w:jc w:val="right"/>
              <w:ind w:right="15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660" w:type="dxa"/>
            <w:vAlign w:val="bottom"/>
            <w:shd w:val="clear" w:color="auto" w:fill="CCFFCC"/>
          </w:tcPr>
          <w:p>
            <w:pPr>
              <w:jc w:val="right"/>
              <w:ind w:right="14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FFCC"/>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3560" w:type="dxa"/>
            <w:vAlign w:val="bottom"/>
            <w:gridSpan w:val="2"/>
          </w:tcPr>
          <w:p>
            <w:pPr>
              <w:jc w:val="right"/>
              <w:ind w:right="15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underwriters will receive compensation in addition to the underwriting discounts and commissions. See “Underwriting” for a description of compensation payable to the underwriters.</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granted a 45-day option to the underwriters to purchase up to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additional ordinary shares solely to cover over-allotments, if any.</w:t>
      </w:r>
    </w:p>
    <w:p>
      <w:pPr>
        <w:spacing w:after="0" w:line="200" w:lineRule="exact"/>
        <w:rPr>
          <w:sz w:val="20"/>
          <w:szCs w:val="20"/>
          <w:color w:val="auto"/>
        </w:rPr>
      </w:pPr>
    </w:p>
    <w:p>
      <w:pPr>
        <w:sectPr>
          <w:pgSz w:w="11900" w:h="16838" w:orient="portrait"/>
          <w:cols w:equalWidth="0" w:num="2">
            <w:col w:w="5480" w:space="500"/>
            <w:col w:w="5440"/>
          </w:cols>
          <w:pgMar w:left="240" w:top="904" w:right="239" w:bottom="1440" w:gutter="0" w:footer="0" w:header="0"/>
          <w:type w:val="continuous"/>
        </w:sectPr>
      </w:pPr>
    </w:p>
    <w:p>
      <w:pPr>
        <w:spacing w:after="0" w:line="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underwriters expect to deliver the shares to purchasers in the offering on or about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2013.</w:t>
      </w:r>
    </w:p>
    <w:p>
      <w:pPr>
        <w:spacing w:after="0" w:line="200" w:lineRule="exact"/>
        <w:rPr>
          <w:sz w:val="20"/>
          <w:szCs w:val="20"/>
          <w:color w:val="auto"/>
        </w:rPr>
      </w:pPr>
    </w:p>
    <w:p>
      <w:pPr>
        <w:sectPr>
          <w:pgSz w:w="11900" w:h="16838" w:orient="portrait"/>
          <w:cols w:equalWidth="0" w:num="2">
            <w:col w:w="6580" w:space="500"/>
            <w:col w:w="4340"/>
          </w:cols>
          <w:pgMar w:left="240" w:top="904"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Aegis Capital Corp</w:t>
      </w:r>
      <w:r>
        <w:rPr>
          <w:rFonts w:ascii="Arial" w:cs="Arial" w:eastAsia="Arial" w:hAnsi="Arial"/>
          <w:sz w:val="32"/>
          <w:szCs w:val="32"/>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160"/>
              <w:spacing w:after="0"/>
              <w:rPr>
                <w:sz w:val="20"/>
                <w:szCs w:val="20"/>
                <w:color w:val="auto"/>
              </w:rPr>
            </w:pPr>
            <w:r>
              <w:rPr>
                <w:rFonts w:ascii="Arial" w:cs="Arial" w:eastAsia="Arial" w:hAnsi="Arial"/>
                <w:sz w:val="18"/>
                <w:szCs w:val="18"/>
                <w:color w:val="auto"/>
                <w:w w:val="99"/>
              </w:rPr>
              <w:t>The date of this prospectus is</w:t>
            </w:r>
          </w:p>
        </w:tc>
        <w:tc>
          <w:tcPr>
            <w:tcW w:w="4900" w:type="dxa"/>
            <w:vAlign w:val="bottom"/>
          </w:tcPr>
          <w:p>
            <w:pPr>
              <w:jc w:val="right"/>
              <w:ind w:right="4070"/>
              <w:spacing w:after="0"/>
              <w:rPr>
                <w:sz w:val="20"/>
                <w:szCs w:val="20"/>
                <w:color w:val="auto"/>
              </w:rPr>
            </w:pPr>
            <w:r>
              <w:rPr>
                <w:rFonts w:ascii="Arial" w:cs="Arial" w:eastAsia="Arial" w:hAnsi="Arial"/>
                <w:sz w:val="18"/>
                <w:szCs w:val="18"/>
                <w:color w:val="auto"/>
              </w:rPr>
              <w:t>, 2013.</w:t>
            </w:r>
          </w:p>
        </w:tc>
      </w:tr>
      <w:tr>
        <w:trPr>
          <w:trHeight w:val="1094"/>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r>
      <w:tr>
        <w:trPr>
          <w:trHeight w:val="418"/>
        </w:trPr>
        <w:tc>
          <w:tcPr>
            <w:tcW w:w="8820" w:type="dxa"/>
            <w:vAlign w:val="bottom"/>
          </w:tcPr>
          <w:p>
            <w:pPr>
              <w:spacing w:after="0"/>
              <w:rPr>
                <w:sz w:val="24"/>
                <w:szCs w:val="24"/>
                <w:color w:val="auto"/>
              </w:rPr>
            </w:pPr>
          </w:p>
        </w:tc>
        <w:tc>
          <w:tcPr>
            <w:tcW w:w="260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Prospectus Summary</w:t>
            </w:r>
          </w:p>
        </w:tc>
        <w:tc>
          <w:tcPr>
            <w:tcW w:w="2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 Factors</w:t>
            </w:r>
          </w:p>
        </w:tc>
        <w:tc>
          <w:tcPr>
            <w:tcW w:w="2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Use of Proceeds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Dividend Policy</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Capitalization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Dilution</w:t>
            </w:r>
          </w:p>
        </w:tc>
        <w:tc>
          <w:tcPr>
            <w:tcW w:w="2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Business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Management</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Principal Shareholders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Description of Share Capital</w:t>
            </w:r>
          </w:p>
        </w:tc>
        <w:tc>
          <w:tcPr>
            <w:tcW w:w="2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2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Taxation</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Underwriting</w:t>
            </w:r>
          </w:p>
        </w:tc>
        <w:tc>
          <w:tcPr>
            <w:tcW w:w="26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Legal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Experts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Enforceability of Civil Liabilities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2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Index of Financial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342900</wp:posOffset>
            </wp:positionV>
            <wp:extent cx="2701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01"/>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Until and including _________, 25 days after the date of this prospectus, all dealers that buy, sell or trade our ordinary shares, whether or not</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an underwriter and with respect to unsold allotments or subscriptions.</w:t>
      </w:r>
    </w:p>
    <w:p>
      <w:pPr>
        <w:spacing w:after="0" w:line="184" w:lineRule="exact"/>
        <w:rPr>
          <w:sz w:val="20"/>
          <w:szCs w:val="20"/>
          <w:color w:val="auto"/>
        </w:rPr>
      </w:pPr>
    </w:p>
    <w:p>
      <w:pPr>
        <w:ind w:right="220" w:firstLine="401"/>
        <w:spacing w:after="0" w:line="264"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193040</wp:posOffset>
            </wp:positionV>
            <wp:extent cx="2701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this prospectus, “we,” “us,” “our,” the “Company” and “Alcobra” refer to Alcobra Ltd. .</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reporting currency and functional currency is the U.S. dollar.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 w:right="100" w:firstLine="396"/>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 w:firstLine="389"/>
        <w:spacing w:after="0" w:line="273"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left="20" w:right="60" w:firstLine="389"/>
        <w:spacing w:after="0" w:line="259" w:lineRule="auto"/>
        <w:rPr>
          <w:sz w:val="20"/>
          <w:szCs w:val="20"/>
          <w:color w:val="auto"/>
        </w:rPr>
      </w:pPr>
      <w:r>
        <w:rPr>
          <w:rFonts w:ascii="Arial" w:cs="Arial" w:eastAsia="Arial" w:hAnsi="Arial"/>
          <w:sz w:val="18"/>
          <w:szCs w:val="18"/>
          <w:color w:val="auto"/>
        </w:rPr>
        <w:t>We plan to initiate discussions with the U.S. Food and Drug Administration, or FDA, within six months from the date of this prospectus, and if these discussions are successful, we plan to conduct advanced clinical trials in order to obtain marketing approval for MG01CI for adults in these regions, followed by clinical trials in order to obtain marketing approval of MG01CI for pediatrics in these regions. If these discussions are not successful, we will have to re-design and conduct additional preliminary clinical trials.</w:t>
      </w:r>
    </w:p>
    <w:p>
      <w:pPr>
        <w:spacing w:after="0" w:line="187" w:lineRule="exact"/>
        <w:rPr>
          <w:sz w:val="20"/>
          <w:szCs w:val="20"/>
          <w:color w:val="auto"/>
        </w:rPr>
      </w:pPr>
    </w:p>
    <w:p>
      <w:pPr>
        <w:ind w:left="20"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left="20" w:right="60" w:firstLine="389"/>
        <w:spacing w:after="0" w:line="287" w:lineRule="auto"/>
        <w:rPr>
          <w:sz w:val="20"/>
          <w:szCs w:val="20"/>
          <w:color w:val="auto"/>
        </w:rPr>
      </w:pPr>
      <w:r>
        <w:rPr>
          <w:rFonts w:ascii="Arial" w:cs="Arial" w:eastAsia="Arial" w:hAnsi="Arial"/>
          <w:sz w:val="16"/>
          <w:szCs w:val="16"/>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69" w:lineRule="exact"/>
        <w:rPr>
          <w:sz w:val="20"/>
          <w:szCs w:val="20"/>
          <w:color w:val="auto"/>
        </w:rPr>
      </w:pPr>
    </w:p>
    <w:p>
      <w:pPr>
        <w:ind w:left="20" w:right="20" w:firstLine="389"/>
        <w:spacing w:after="0" w:line="293"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 w:right="20"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20" w:top="904" w:right="23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color w:val="auto"/>
        </w:rPr>
        <w:t>To achieve these objectives, we plan to:</w:t>
      </w:r>
    </w:p>
    <w:p>
      <w:pPr>
        <w:spacing w:after="0" w:line="225" w:lineRule="exact"/>
        <w:rPr>
          <w:sz w:val="20"/>
          <w:szCs w:val="20"/>
          <w:color w:val="auto"/>
        </w:rPr>
      </w:pPr>
    </w:p>
    <w:p>
      <w:pPr>
        <w:ind w:left="660" w:right="580" w:hanging="328"/>
        <w:spacing w:after="0" w:line="277" w:lineRule="auto"/>
        <w:tabs>
          <w:tab w:leader="none" w:pos="660" w:val="left"/>
        </w:tabs>
        <w:numPr>
          <w:ilvl w:val="0"/>
          <w:numId w:val="1"/>
        </w:numPr>
        <w:rPr>
          <w:rFonts w:ascii="Arial" w:cs="Arial" w:eastAsia="Arial" w:hAnsi="Arial"/>
          <w:sz w:val="18"/>
          <w:szCs w:val="18"/>
          <w:color w:val="A6A6A6"/>
        </w:rPr>
      </w:pPr>
      <w:r>
        <w:rPr>
          <w:rFonts w:ascii="Arial" w:cs="Arial" w:eastAsia="Arial" w:hAnsi="Arial"/>
          <w:sz w:val="18"/>
          <w:szCs w:val="18"/>
          <w:color w:val="auto"/>
        </w:rPr>
        <w:t>Initiate and complete two parallel Phase III clinical trials of MG01CI for the treatment of ADHD in adults, and, if they are successful, file for marketing approval for adults initially in the United States and the European Union.</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
        </w:numPr>
        <w:rPr>
          <w:rFonts w:ascii="Arial" w:cs="Arial" w:eastAsia="Arial" w:hAnsi="Arial"/>
          <w:sz w:val="17"/>
          <w:szCs w:val="17"/>
          <w:color w:val="A6A6A6"/>
        </w:rPr>
      </w:pPr>
      <w:r>
        <w:rPr>
          <w:rFonts w:ascii="Arial" w:cs="Arial" w:eastAsia="Arial" w:hAnsi="Arial"/>
          <w:sz w:val="17"/>
          <w:szCs w:val="17"/>
          <w:color w:val="auto"/>
        </w:rPr>
        <w:t>Initiate and complete clinical trials in a pediatric ADHD population, and, if successful, file for marketing approval for that use in the U.S. and EU.</w:t>
      </w:r>
    </w:p>
    <w:p>
      <w:pPr>
        <w:spacing w:after="0" w:line="236" w:lineRule="exact"/>
        <w:rPr>
          <w:rFonts w:ascii="Arial" w:cs="Arial" w:eastAsia="Arial" w:hAnsi="Arial"/>
          <w:sz w:val="17"/>
          <w:szCs w:val="17"/>
          <w:color w:val="A6A6A6"/>
        </w:rPr>
      </w:pPr>
    </w:p>
    <w:p>
      <w:pPr>
        <w:ind w:left="660" w:right="260" w:hanging="328"/>
        <w:spacing w:after="0" w:line="277" w:lineRule="auto"/>
        <w:tabs>
          <w:tab w:leader="none" w:pos="660" w:val="left"/>
        </w:tabs>
        <w:numPr>
          <w:ilvl w:val="0"/>
          <w:numId w:val="1"/>
        </w:numPr>
        <w:rPr>
          <w:rFonts w:ascii="Arial" w:cs="Arial" w:eastAsia="Arial" w:hAnsi="Arial"/>
          <w:sz w:val="18"/>
          <w:szCs w:val="18"/>
          <w:color w:val="A6A6A6"/>
        </w:rPr>
      </w:pPr>
      <w:r>
        <w:rPr>
          <w:rFonts w:ascii="Arial" w:cs="Arial" w:eastAsia="Arial" w:hAnsi="Arial"/>
          <w:sz w:val="18"/>
          <w:szCs w:val="18"/>
          <w:color w:val="auto"/>
        </w:rPr>
        <w:t>Initiate and complete clinical trials in Japan for both adult and pediatric ADHD, and, if successful, file for marketing approval of such uses in that country.</w:t>
      </w:r>
    </w:p>
    <w:p>
      <w:pPr>
        <w:spacing w:after="0" w:line="170"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1"/>
        </w:numPr>
        <w:rPr>
          <w:rFonts w:ascii="Arial" w:cs="Arial" w:eastAsia="Arial" w:hAnsi="Arial"/>
          <w:sz w:val="18"/>
          <w:szCs w:val="18"/>
          <w:color w:val="A6A6A6"/>
        </w:rPr>
      </w:pPr>
      <w:r>
        <w:rPr>
          <w:rFonts w:ascii="Arial" w:cs="Arial" w:eastAsia="Arial" w:hAnsi="Arial"/>
          <w:sz w:val="18"/>
          <w:szCs w:val="18"/>
          <w:color w:val="auto"/>
        </w:rPr>
        <w:t>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1"/>
        </w:numPr>
        <w:rPr>
          <w:rFonts w:ascii="Arial" w:cs="Arial" w:eastAsia="Arial" w:hAnsi="Arial"/>
          <w:sz w:val="18"/>
          <w:szCs w:val="18"/>
          <w:color w:val="A6A6A6"/>
        </w:rPr>
      </w:pPr>
      <w:r>
        <w:rPr>
          <w:rFonts w:ascii="Arial" w:cs="Arial" w:eastAsia="Arial" w:hAnsi="Arial"/>
          <w:sz w:val="18"/>
          <w:szCs w:val="18"/>
          <w:color w:val="auto"/>
        </w:rPr>
        <w:t>Conduct clinical investigations into the possible use of MG01CI to treat other cognitive disorders and impairments such as mood disorders, memory impairment, autism and shift work/jet lag.</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our pipeline that are protected by patents, or in-license products in similar therapeutic areas.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are an Israeli corporation based in Tel Aviv and were incorporated in 2008. Our principal executive offices are located at 65 Rothschild Blvd., Tel Aviv, Israel, and our telephone number is +972 (0)72 220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4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these risks before you invest in our ordinary shares. In particular, our risks include, but are not limited to, the following:</w:t>
      </w:r>
    </w:p>
    <w:p>
      <w:pPr>
        <w:spacing w:after="0" w:line="211" w:lineRule="exact"/>
        <w:rPr>
          <w:sz w:val="20"/>
          <w:szCs w:val="20"/>
          <w:color w:val="auto"/>
        </w:rPr>
      </w:pPr>
    </w:p>
    <w:p>
      <w:pPr>
        <w:ind w:left="660" w:right="20" w:hanging="328"/>
        <w:spacing w:after="0" w:line="259"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We depend entirely on the success of our only current product candidate, MG01CI, for the treatment of ADHD and other cognitive disorders. We require additional and more complex clinical trials of MG01CI that must be successful if we are to seek regulatory clearances. Advanced clinical trials are often not successful, and even if our clinical trials are successful, we may not obtain regulatory approvals for MG01CI or we may be unable to successfully commercialize it even if we receive the necessary regulatory approvals.</w:t>
      </w:r>
    </w:p>
    <w:p>
      <w:pPr>
        <w:spacing w:after="0" w:line="186" w:lineRule="exact"/>
        <w:rPr>
          <w:rFonts w:ascii="Arial" w:cs="Arial" w:eastAsia="Arial" w:hAnsi="Arial"/>
          <w:sz w:val="18"/>
          <w:szCs w:val="18"/>
          <w:color w:val="A6A6A6"/>
        </w:rPr>
      </w:pPr>
    </w:p>
    <w:p>
      <w:pPr>
        <w:ind w:left="660" w:right="26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Our data from future clinical trials may not satisfy the FDA, or the FDA may require additional time or studies to assess the safety and efficacy of MG01CI.</w:t>
      </w:r>
    </w:p>
    <w:p>
      <w:pPr>
        <w:spacing w:after="0" w:line="170" w:lineRule="exact"/>
        <w:rPr>
          <w:rFonts w:ascii="Arial" w:cs="Arial" w:eastAsia="Arial" w:hAnsi="Arial"/>
          <w:sz w:val="18"/>
          <w:szCs w:val="18"/>
          <w:color w:val="A6A6A6"/>
        </w:rPr>
      </w:pPr>
    </w:p>
    <w:p>
      <w:pPr>
        <w:ind w:left="660" w:right="40" w:hanging="328"/>
        <w:spacing w:after="0" w:line="279" w:lineRule="auto"/>
        <w:tabs>
          <w:tab w:leader="none" w:pos="660" w:val="left"/>
        </w:tabs>
        <w:numPr>
          <w:ilvl w:val="0"/>
          <w:numId w:val="2"/>
        </w:numPr>
        <w:rPr>
          <w:rFonts w:ascii="Arial" w:cs="Arial" w:eastAsia="Arial" w:hAnsi="Arial"/>
          <w:sz w:val="17"/>
          <w:szCs w:val="17"/>
          <w:color w:val="A6A6A6"/>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MG01CI. We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71" w:lineRule="exact"/>
        <w:rPr>
          <w:rFonts w:ascii="Arial" w:cs="Arial" w:eastAsia="Arial" w:hAnsi="Arial"/>
          <w:sz w:val="17"/>
          <w:szCs w:val="17"/>
          <w:color w:val="A6A6A6"/>
        </w:rPr>
      </w:pPr>
    </w:p>
    <w:p>
      <w:pPr>
        <w:ind w:left="660" w:right="4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We have no sources of revenue and will need to raise substantial additional capital to successfully commercialize MG01CI, and such capital may not be available to us or available only on unfavorable terms.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660" w:right="60" w:hanging="328"/>
        <w:spacing w:after="0" w:line="259"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We do not have any issued patents relating to our MG01CI technology. Our current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86" w:lineRule="exact"/>
        <w:rPr>
          <w:rFonts w:ascii="Arial" w:cs="Arial" w:eastAsia="Arial" w:hAnsi="Arial"/>
          <w:sz w:val="18"/>
          <w:szCs w:val="18"/>
          <w:color w:val="A6A6A6"/>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As a public company following the conclusion of this offering, we will need to comply with extensive additional governmental regulations, which will be expensive and which will require significant management attention.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420"/>
          </w:cols>
          <w:pgMar w:left="240" w:top="908"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2">
            <w:col w:w="4340" w:space="720"/>
            <w:col w:w="6360"/>
          </w:cols>
          <w:pgMar w:left="240" w:top="908"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2">
            <w:col w:w="4340" w:space="720"/>
            <w:col w:w="6360"/>
          </w:cols>
          <w:pgMar w:left="240" w:top="908"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underwriters have an option for a period of 45 days to purchase up to ordinary shares to cover over-allotments, if 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additional</w:t>
      </w:r>
    </w:p>
    <w:p>
      <w:pPr>
        <w:spacing w:after="0" w:line="463" w:lineRule="exact"/>
        <w:rPr>
          <w:sz w:val="20"/>
          <w:szCs w:val="20"/>
          <w:color w:val="auto"/>
        </w:rPr>
      </w:pPr>
    </w:p>
    <w:p>
      <w:pPr>
        <w:sectPr>
          <w:pgSz w:w="11900" w:h="16838" w:orient="portrait"/>
          <w:cols w:equalWidth="0" w:num="3">
            <w:col w:w="3620" w:space="720"/>
            <w:col w:w="5300" w:space="640"/>
            <w:col w:w="1140"/>
          </w:cols>
          <w:pgMar w:left="240" w:top="908"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We expect to receive approximately $ million in net proceeds from the sale of ordinary shares offered by us in this offering (approximately $ million if the underwriters exercise their over-allotment option in full), after deducting estimated underwriting discounts and commissions and estimated offering expenses payable by us, assuming the shares are offered at $ per share, the midpoint of the estimated price range set forth on the cover of this prospectus. We currently expect to use the net proceeds from this offering for:</w:t>
      </w:r>
    </w:p>
    <w:p>
      <w:pPr>
        <w:spacing w:after="0" w:line="193" w:lineRule="exact"/>
        <w:rPr>
          <w:sz w:val="20"/>
          <w:szCs w:val="20"/>
          <w:color w:val="auto"/>
        </w:rPr>
      </w:pPr>
    </w:p>
    <w:p>
      <w:pPr>
        <w:sectPr>
          <w:pgSz w:w="11900" w:h="16838" w:orient="portrait"/>
          <w:cols w:equalWidth="0" w:num="2">
            <w:col w:w="3620" w:space="720"/>
            <w:col w:w="7080"/>
          </w:cols>
          <w:pgMar w:left="240" w:top="908" w:right="239" w:bottom="1440" w:gutter="0" w:footer="0" w:header="0"/>
          <w:type w:val="continuous"/>
        </w:sectPr>
      </w:pPr>
    </w:p>
    <w:p>
      <w:pPr>
        <w:ind w:left="4800" w:hanging="133"/>
        <w:spacing w:after="0"/>
        <w:tabs>
          <w:tab w:leader="none" w:pos="4800" w:val="left"/>
        </w:tabs>
        <w:numPr>
          <w:ilvl w:val="0"/>
          <w:numId w:val="4"/>
        </w:numPr>
        <w:rPr>
          <w:rFonts w:ascii="Arial" w:cs="Arial" w:eastAsia="Arial" w:hAnsi="Arial"/>
          <w:sz w:val="18"/>
          <w:szCs w:val="18"/>
          <w:color w:val="A6A6A6"/>
        </w:rPr>
      </w:pPr>
      <w:r>
        <w:rPr>
          <w:rFonts w:ascii="Arial" w:cs="Arial" w:eastAsia="Arial" w:hAnsi="Arial"/>
          <w:sz w:val="18"/>
          <w:szCs w:val="18"/>
          <w:color w:val="auto"/>
        </w:rPr>
        <w:t>completing a Phase II/III trial of MG01CI for adult ADHD, estimated at $6,000,000;</w:t>
      </w:r>
    </w:p>
    <w:p>
      <w:pPr>
        <w:spacing w:after="0" w:line="225" w:lineRule="exact"/>
        <w:rPr>
          <w:rFonts w:ascii="Arial" w:cs="Arial" w:eastAsia="Arial" w:hAnsi="Arial"/>
          <w:sz w:val="18"/>
          <w:szCs w:val="18"/>
          <w:color w:val="A6A6A6"/>
        </w:rPr>
      </w:pPr>
    </w:p>
    <w:p>
      <w:pPr>
        <w:ind w:left="5000" w:right="140" w:hanging="333"/>
        <w:spacing w:after="0" w:line="264" w:lineRule="auto"/>
        <w:tabs>
          <w:tab w:leader="none" w:pos="4991" w:val="left"/>
        </w:tabs>
        <w:numPr>
          <w:ilvl w:val="0"/>
          <w:numId w:val="4"/>
        </w:numPr>
        <w:rPr>
          <w:rFonts w:ascii="Arial" w:cs="Arial" w:eastAsia="Arial" w:hAnsi="Arial"/>
          <w:sz w:val="18"/>
          <w:szCs w:val="18"/>
          <w:color w:val="A6A6A6"/>
        </w:rPr>
      </w:pPr>
      <w:r>
        <w:rPr>
          <w:rFonts w:ascii="Arial" w:cs="Arial" w:eastAsia="Arial" w:hAnsi="Arial"/>
          <w:sz w:val="18"/>
          <w:szCs w:val="18"/>
          <w:color w:val="auto"/>
        </w:rPr>
        <w:t>preparing for our proposed Phase III clinical trials for MG01CI, including engaging the FDA in discussions related to protocols for the trials, estimated at $1,000,000 to $3,000,000;</w:t>
      </w:r>
    </w:p>
    <w:p>
      <w:pPr>
        <w:spacing w:after="0" w:line="181" w:lineRule="exact"/>
        <w:rPr>
          <w:rFonts w:ascii="Arial" w:cs="Arial" w:eastAsia="Arial" w:hAnsi="Arial"/>
          <w:sz w:val="18"/>
          <w:szCs w:val="18"/>
          <w:color w:val="A6A6A6"/>
        </w:rPr>
      </w:pPr>
    </w:p>
    <w:p>
      <w:pPr>
        <w:ind w:left="5000" w:right="20" w:hanging="329"/>
        <w:spacing w:after="0" w:line="277" w:lineRule="auto"/>
        <w:tabs>
          <w:tab w:leader="none" w:pos="4991" w:val="left"/>
        </w:tabs>
        <w:numPr>
          <w:ilvl w:val="0"/>
          <w:numId w:val="4"/>
        </w:numPr>
        <w:rPr>
          <w:rFonts w:ascii="Arial" w:cs="Arial" w:eastAsia="Arial" w:hAnsi="Arial"/>
          <w:sz w:val="18"/>
          <w:szCs w:val="18"/>
          <w:color w:val="A6A6A6"/>
        </w:rPr>
      </w:pPr>
      <w:r>
        <w:rPr>
          <w:rFonts w:ascii="Arial" w:cs="Arial" w:eastAsia="Arial" w:hAnsi="Arial"/>
          <w:sz w:val="18"/>
          <w:szCs w:val="18"/>
          <w:color w:val="auto"/>
        </w:rPr>
        <w:t>evaluating MG01CI in additional disorders of cognitive function estimated at $1,000,000 to $2,000,000; and</w:t>
      </w:r>
    </w:p>
    <w:p>
      <w:pPr>
        <w:spacing w:after="0" w:line="170" w:lineRule="exact"/>
        <w:rPr>
          <w:rFonts w:ascii="Arial" w:cs="Arial" w:eastAsia="Arial" w:hAnsi="Arial"/>
          <w:sz w:val="18"/>
          <w:szCs w:val="18"/>
          <w:color w:val="A6A6A6"/>
        </w:rPr>
      </w:pPr>
    </w:p>
    <w:p>
      <w:pPr>
        <w:ind w:left="4980" w:hanging="313"/>
        <w:spacing w:after="0"/>
        <w:tabs>
          <w:tab w:leader="none" w:pos="4980" w:val="left"/>
        </w:tabs>
        <w:numPr>
          <w:ilvl w:val="0"/>
          <w:numId w:val="4"/>
        </w:numPr>
        <w:rPr>
          <w:rFonts w:ascii="Arial" w:cs="Arial" w:eastAsia="Arial" w:hAnsi="Arial"/>
          <w:sz w:val="18"/>
          <w:szCs w:val="18"/>
          <w:color w:val="A6A6A6"/>
        </w:rPr>
      </w:pPr>
      <w:r>
        <w:rPr>
          <w:rFonts w:ascii="Arial" w:cs="Arial" w:eastAsia="Arial" w:hAnsi="Arial"/>
          <w:sz w:val="18"/>
          <w:szCs w:val="18"/>
          <w:color w:val="auto"/>
        </w:rPr>
        <w:t>the remainder for working capital and general corporate purposes.</w:t>
      </w:r>
    </w:p>
    <w:p>
      <w:pPr>
        <w:sectPr>
          <w:pgSz w:w="11900" w:h="16838" w:orient="portrait"/>
          <w:cols w:equalWidth="0" w:num="1">
            <w:col w:w="11420"/>
          </w:cols>
          <w:pgMar w:left="240" w:top="908"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should read the “Risk Factors” section starting on page 7 of this prospectus for a discussion of factors to consider carefully before deciding to invest in ordinary shares.</w:t>
      </w:r>
    </w:p>
    <w:p>
      <w:pPr>
        <w:spacing w:after="0" w:line="170" w:lineRule="exact"/>
        <w:rPr>
          <w:sz w:val="20"/>
          <w:szCs w:val="20"/>
          <w:color w:val="auto"/>
        </w:rPr>
      </w:pPr>
    </w:p>
    <w:p>
      <w:pPr>
        <w:sectPr>
          <w:pgSz w:w="11900" w:h="16838" w:orient="portrait"/>
          <w:cols w:equalWidth="0" w:num="2">
            <w:col w:w="3620" w:space="720"/>
            <w:col w:w="7080"/>
          </w:cols>
          <w:pgMar w:left="240" w:top="9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“ADHD"</w:t>
      </w:r>
    </w:p>
    <w:p>
      <w:pPr>
        <w:spacing w:after="0" w:line="200" w:lineRule="exact"/>
        <w:rPr>
          <w:sz w:val="20"/>
          <w:szCs w:val="20"/>
          <w:color w:val="auto"/>
        </w:rPr>
      </w:pPr>
    </w:p>
    <w:p>
      <w:pPr>
        <w:sectPr>
          <w:pgSz w:w="11900" w:h="16838" w:orient="portrait"/>
          <w:cols w:equalWidth="0" w:num="2">
            <w:col w:w="3620" w:space="720"/>
            <w:col w:w="7080"/>
          </w:cols>
          <w:pgMar w:left="240" w:top="908" w:right="239" w:bottom="1440" w:gutter="0" w:footer="0" w:header="0"/>
          <w:type w:val="continuous"/>
        </w:sectPr>
      </w:pPr>
    </w:p>
    <w:p>
      <w:pPr>
        <w:spacing w:after="0" w:line="25" w:lineRule="exact"/>
        <w:rPr>
          <w:sz w:val="20"/>
          <w:szCs w:val="20"/>
          <w:color w:val="auto"/>
        </w:rPr>
      </w:pPr>
    </w:p>
    <w:p>
      <w:pPr>
        <w:ind w:right="160" w:firstLine="401"/>
        <w:spacing w:after="0" w:line="277" w:lineRule="auto"/>
        <w:rPr>
          <w:sz w:val="20"/>
          <w:szCs w:val="20"/>
          <w:color w:val="auto"/>
        </w:rPr>
      </w:pPr>
      <w:r>
        <w:rPr>
          <w:rFonts w:ascii="Arial" w:cs="Arial" w:eastAsia="Arial" w:hAnsi="Arial"/>
          <w:sz w:val="18"/>
          <w:szCs w:val="18"/>
          <w:color w:val="auto"/>
        </w:rPr>
        <w:t>The number of our ordinary shares to be outstanding immediately after this offering is based on 1,327,812 ordinary shares outstanding as of December 31, 2012. This number excludes: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130,229 shares issuable upon the exercise of share options outstanding as of December 31, 2012 under our equity incentive plan;</w:t>
      </w:r>
    </w:p>
    <w:p>
      <w:pPr>
        <w:spacing w:after="0" w:line="225" w:lineRule="exact"/>
        <w:rPr>
          <w:rFonts w:ascii="Arial" w:cs="Arial" w:eastAsia="Arial" w:hAnsi="Arial"/>
          <w:sz w:val="18"/>
          <w:szCs w:val="18"/>
          <w:color w:val="A6A6A6"/>
        </w:rPr>
      </w:pPr>
    </w:p>
    <w:p>
      <w:pPr>
        <w:ind w:left="660" w:right="620" w:hanging="328"/>
        <w:spacing w:after="0" w:line="277" w:lineRule="auto"/>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10,000 shares issuable upon the exercise of warrants outstanding as of December 31, 2012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22,020 shares issuable upon the exercise of warrants outstanding as of December 31, 2012 having a weighted average exercise price of $16.02 per share, which shall expire immediately prior to completion of this offering;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1,194 shares reserved as of December 31, 2012 for future grants under our equity incentive plan.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6A6A6"/>
        </w:rPr>
      </w:pPr>
      <w:r>
        <w:rPr>
          <w:rFonts w:ascii="Arial" w:cs="Arial" w:eastAsia="Arial" w:hAnsi="Arial"/>
          <w:sz w:val="18"/>
          <w:szCs w:val="18"/>
          <w:color w:val="auto"/>
        </w:rPr>
        <w:t>the filing of our amended and restated articles of association, which will occur immediately prior to the completion of this offering;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6"/>
        </w:numPr>
        <w:rPr>
          <w:rFonts w:ascii="Arial" w:cs="Arial" w:eastAsia="Arial" w:hAnsi="Arial"/>
          <w:sz w:val="18"/>
          <w:szCs w:val="18"/>
          <w:color w:val="A6A6A6"/>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right="60" w:firstLine="396"/>
        <w:spacing w:after="0" w:line="257"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 share and per share amounts)</w:t>
            </w:r>
          </w:p>
        </w:tc>
        <w:tc>
          <w:tcPr>
            <w:tcW w:w="240" w:type="dxa"/>
            <w:vAlign w:val="bottom"/>
          </w:tcPr>
          <w:p>
            <w:pPr>
              <w:spacing w:after="0"/>
              <w:rPr>
                <w:sz w:val="20"/>
                <w:szCs w:val="20"/>
                <w:color w:val="auto"/>
              </w:rPr>
            </w:pPr>
          </w:p>
        </w:tc>
        <w:tc>
          <w:tcPr>
            <w:tcW w:w="272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1,579</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ordinary shares used in computing basic and diluted net loss per share</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1,327,416</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1,336,182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_____________</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60" w:right="640" w:hanging="262"/>
        <w:spacing w:after="0" w:line="259"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4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U.S. dollars)</w:t>
            </w:r>
          </w:p>
        </w:tc>
        <w:tc>
          <w:tcPr>
            <w:tcW w:w="3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160" w:type="dxa"/>
            <w:vAlign w:val="bottom"/>
            <w:gridSpan w:val="3"/>
          </w:tcPr>
          <w:p>
            <w:pPr>
              <w:ind w:left="520"/>
              <w:spacing w:after="0"/>
              <w:rPr>
                <w:sz w:val="20"/>
                <w:szCs w:val="20"/>
                <w:color w:val="auto"/>
              </w:rPr>
            </w:pPr>
            <w:r>
              <w:rPr>
                <w:rFonts w:ascii="Arial" w:cs="Arial" w:eastAsia="Arial" w:hAnsi="Arial"/>
                <w:sz w:val="18"/>
                <w:szCs w:val="18"/>
                <w:b w:val="1"/>
                <w:bCs w:val="1"/>
                <w:color w:val="auto"/>
              </w:rPr>
              <w:t>As of 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ind w:left="140"/>
              <w:spacing w:after="0" w:line="191" w:lineRule="exact"/>
              <w:rPr>
                <w:sz w:val="20"/>
                <w:szCs w:val="20"/>
                <w:color w:val="auto"/>
              </w:rPr>
            </w:pPr>
            <w:r>
              <w:rPr>
                <w:rFonts w:ascii="Arial" w:cs="Arial" w:eastAsia="Arial" w:hAnsi="Arial"/>
                <w:sz w:val="18"/>
                <w:szCs w:val="18"/>
                <w:b w:val="1"/>
                <w:bCs w:val="1"/>
                <w:color w:val="auto"/>
              </w:rPr>
              <w:t>As Adjusted</w:t>
            </w: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jc w:val="right"/>
              <w:ind w:right="950"/>
              <w:spacing w:after="0"/>
              <w:rPr>
                <w:sz w:val="20"/>
                <w:szCs w:val="20"/>
                <w:color w:val="auto"/>
              </w:rPr>
            </w:pPr>
            <w:r>
              <w:rPr>
                <w:rFonts w:ascii="Arial" w:cs="Arial" w:eastAsia="Arial" w:hAnsi="Arial"/>
                <w:sz w:val="18"/>
                <w:szCs w:val="18"/>
                <w:b w:val="1"/>
                <w:bCs w:val="1"/>
                <w:color w:val="auto"/>
              </w:rPr>
              <w:t>Actual</w:t>
            </w:r>
          </w:p>
        </w:tc>
        <w:tc>
          <w:tcPr>
            <w:tcW w:w="43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FFCC"/>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8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182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21</w:t>
            </w:r>
          </w:p>
        </w:tc>
        <w:tc>
          <w:tcPr>
            <w:tcW w:w="1480" w:type="dxa"/>
            <w:vAlign w:val="bottom"/>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182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768</w:t>
            </w:r>
          </w:p>
        </w:tc>
        <w:tc>
          <w:tcPr>
            <w:tcW w:w="1480" w:type="dxa"/>
            <w:vAlign w:val="bottom"/>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18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(567)</w:t>
            </w:r>
          </w:p>
        </w:tc>
        <w:tc>
          <w:tcPr>
            <w:tcW w:w="1480" w:type="dxa"/>
            <w:vAlign w:val="bottom"/>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60" w:type="dxa"/>
            <w:vAlign w:val="bottom"/>
            <w:gridSpan w:val="4"/>
          </w:tcPr>
          <w:p>
            <w:pPr>
              <w:jc w:val="right"/>
              <w:spacing w:after="0"/>
              <w:rPr>
                <w:sz w:val="20"/>
                <w:szCs w:val="20"/>
                <w:color w:val="auto"/>
              </w:rPr>
            </w:pPr>
            <w:r>
              <w:rPr>
                <w:rFonts w:ascii="Arial" w:cs="Arial" w:eastAsia="Arial" w:hAnsi="Arial"/>
                <w:sz w:val="18"/>
                <w:szCs w:val="18"/>
                <w:color w:val="auto"/>
                <w:w w:val="94"/>
              </w:rPr>
              <w:t>The unaudited as adjusted column in the balance sheet data above gives effect to the sale of</w:t>
            </w:r>
          </w:p>
        </w:tc>
        <w:tc>
          <w:tcPr>
            <w:tcW w:w="4340" w:type="dxa"/>
            <w:vAlign w:val="bottom"/>
            <w:gridSpan w:val="2"/>
          </w:tcPr>
          <w:p>
            <w:pPr>
              <w:ind w:left="180"/>
              <w:spacing w:after="0"/>
              <w:rPr>
                <w:sz w:val="20"/>
                <w:szCs w:val="20"/>
                <w:color w:val="auto"/>
              </w:rPr>
            </w:pPr>
            <w:r>
              <w:rPr>
                <w:rFonts w:ascii="Arial" w:cs="Arial" w:eastAsia="Arial" w:hAnsi="Arial"/>
                <w:sz w:val="18"/>
                <w:szCs w:val="18"/>
                <w:color w:val="auto"/>
              </w:rPr>
              <w:t>ordinary shares in this offering at the initial public</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9960" w:type="dxa"/>
            <w:vAlign w:val="bottom"/>
            <w:gridSpan w:val="5"/>
          </w:tcPr>
          <w:p>
            <w:pPr>
              <w:ind w:left="120"/>
              <w:spacing w:after="0"/>
              <w:rPr>
                <w:sz w:val="20"/>
                <w:szCs w:val="20"/>
                <w:color w:val="auto"/>
              </w:rPr>
            </w:pPr>
            <w:r>
              <w:rPr>
                <w:rFonts w:ascii="Arial" w:cs="Arial" w:eastAsia="Arial" w:hAnsi="Arial"/>
                <w:sz w:val="18"/>
                <w:szCs w:val="18"/>
                <w:color w:val="auto"/>
                <w:w w:val="92"/>
              </w:rPr>
              <w:t>per share, after deducting underwriting discounts and commissions and estimated offering expenses payable by us, as if the sale had</w:t>
            </w:r>
          </w:p>
        </w:tc>
        <w:tc>
          <w:tcPr>
            <w:tcW w:w="0" w:type="dxa"/>
            <w:vAlign w:val="bottom"/>
          </w:tcPr>
          <w:p>
            <w:pPr>
              <w:spacing w:after="0"/>
              <w:rPr>
                <w:sz w:val="1"/>
                <w:szCs w:val="1"/>
                <w:color w:val="auto"/>
              </w:rPr>
            </w:pPr>
          </w:p>
        </w:tc>
      </w:tr>
      <w:tr>
        <w:trPr>
          <w:trHeight w:val="230"/>
        </w:trPr>
        <w:tc>
          <w:tcPr>
            <w:tcW w:w="5260" w:type="dxa"/>
            <w:vAlign w:val="bottom"/>
            <w:gridSpan w:val="4"/>
          </w:tcPr>
          <w:p>
            <w:pPr>
              <w:spacing w:after="0"/>
              <w:rPr>
                <w:sz w:val="20"/>
                <w:szCs w:val="20"/>
                <w:color w:val="auto"/>
              </w:rPr>
            </w:pPr>
            <w:r>
              <w:rPr>
                <w:rFonts w:ascii="Arial" w:cs="Arial" w:eastAsia="Arial" w:hAnsi="Arial"/>
                <w:sz w:val="18"/>
                <w:szCs w:val="18"/>
                <w:color w:val="auto"/>
              </w:rPr>
              <w:t>occurred on December 31, 2012.</w:t>
            </w:r>
          </w:p>
        </w:tc>
        <w:tc>
          <w:tcPr>
            <w:tcW w:w="1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4</w:t>
            </w:r>
          </w:p>
        </w:tc>
        <w:tc>
          <w:tcPr>
            <w:tcW w:w="14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16"/>
        <w:spacing w:after="0" w:line="276" w:lineRule="auto"/>
        <w:rPr>
          <w:sz w:val="20"/>
          <w:szCs w:val="20"/>
          <w:color w:val="auto"/>
        </w:rPr>
      </w:pPr>
      <w:r>
        <w:rPr>
          <w:rFonts w:ascii="Arial" w:cs="Arial" w:eastAsia="Arial" w:hAnsi="Arial"/>
          <w:sz w:val="17"/>
          <w:szCs w:val="17"/>
          <w:i w:val="1"/>
          <w:iCs w:val="1"/>
          <w:color w:val="auto"/>
        </w:rPr>
        <w:t>An investment in our ordinary shares involves a high degree of risk. We operate in a dynamic and rapidly changing industry that involves numerous risks and uncertainties. You should consider carefully the risks and uncertanties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70"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87" w:lineRule="exact"/>
        <w:rPr>
          <w:sz w:val="20"/>
          <w:szCs w:val="20"/>
          <w:color w:val="auto"/>
        </w:rPr>
      </w:pPr>
    </w:p>
    <w:p>
      <w:pPr>
        <w:ind w:right="60" w:firstLine="416"/>
        <w:spacing w:after="0" w:line="255" w:lineRule="auto"/>
        <w:rPr>
          <w:sz w:val="20"/>
          <w:szCs w:val="20"/>
          <w:color w:val="auto"/>
        </w:rPr>
      </w:pPr>
      <w:r>
        <w:rPr>
          <w:rFonts w:ascii="Arial" w:cs="Arial" w:eastAsia="Arial" w:hAnsi="Arial"/>
          <w:sz w:val="18"/>
          <w:szCs w:val="18"/>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completed sufficient clinical trials to be able to submit an NDA to the FDA or comparable applications to other regulatory authorities in other countries or received marketing approval for MG01CI. The results of our additional clinical trials may be unsatisfactory, and even if we believe those clinical trials to be successful, there are many reasons why the FDA may not approve our NDA should we be in a position to file one.</w:t>
      </w:r>
    </w:p>
    <w:p>
      <w:pPr>
        <w:spacing w:after="0" w:line="189"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82"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81" w:lineRule="exact"/>
        <w:rPr>
          <w:sz w:val="20"/>
          <w:szCs w:val="20"/>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6A6A6"/>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6A6A6"/>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6A6A6"/>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660" w:hanging="328"/>
        <w:spacing w:after="0"/>
        <w:tabs>
          <w:tab w:leader="none" w:pos="660" w:val="left"/>
        </w:tabs>
        <w:numPr>
          <w:ilvl w:val="0"/>
          <w:numId w:val="9"/>
        </w:numPr>
        <w:rPr>
          <w:rFonts w:ascii="Arial" w:cs="Arial" w:eastAsia="Arial" w:hAnsi="Arial"/>
          <w:sz w:val="18"/>
          <w:szCs w:val="18"/>
          <w:color w:val="A6A6A6"/>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9"/>
        </w:numPr>
        <w:rPr>
          <w:rFonts w:ascii="Arial" w:cs="Arial" w:eastAsia="Arial" w:hAnsi="Arial"/>
          <w:sz w:val="18"/>
          <w:szCs w:val="18"/>
          <w:color w:val="A6A6A6"/>
        </w:rPr>
      </w:pPr>
      <w:r>
        <w:rPr>
          <w:rFonts w:ascii="Arial" w:cs="Arial" w:eastAsia="Arial" w:hAnsi="Arial"/>
          <w:sz w:val="18"/>
          <w:szCs w:val="18"/>
          <w:color w:val="auto"/>
        </w:rPr>
        <w:t>difficulties obtaining institutional review board, or IRB, approval to conduct a clinical trial at a prospective site; and</w:t>
      </w:r>
    </w:p>
    <w:p>
      <w:pPr>
        <w:spacing w:after="0" w:line="225" w:lineRule="exact"/>
        <w:rPr>
          <w:rFonts w:ascii="Arial" w:cs="Arial" w:eastAsia="Arial" w:hAnsi="Arial"/>
          <w:sz w:val="18"/>
          <w:szCs w:val="18"/>
          <w:color w:val="A6A6A6"/>
        </w:rPr>
      </w:pPr>
    </w:p>
    <w:p>
      <w:pPr>
        <w:ind w:left="660" w:right="160" w:hanging="328"/>
        <w:spacing w:after="0" w:line="264" w:lineRule="auto"/>
        <w:tabs>
          <w:tab w:leader="none" w:pos="660" w:val="left"/>
        </w:tabs>
        <w:numPr>
          <w:ilvl w:val="0"/>
          <w:numId w:val="9"/>
        </w:numPr>
        <w:rPr>
          <w:rFonts w:ascii="Arial" w:cs="Arial" w:eastAsia="Arial" w:hAnsi="Arial"/>
          <w:sz w:val="18"/>
          <w:szCs w:val="18"/>
          <w:color w:val="A6A6A6"/>
        </w:rPr>
      </w:pPr>
      <w:r>
        <w:rPr>
          <w:rFonts w:ascii="Arial" w:cs="Arial" w:eastAsia="Arial" w:hAnsi="Arial"/>
          <w:sz w:val="18"/>
          <w:szCs w:val="18"/>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inspection of the clinical trial operations or trial sites by the FDA or other regulatory authorities;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unforeseen safety issues or lack of effectiveness;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lack of adequate funding to continue the clinical trial.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we may not be able to demonstrate to the satisfaction of the FDA that MG01CI is safe and effective for any indication;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6A6A6"/>
        </w:rPr>
      </w:pPr>
    </w:p>
    <w:p>
      <w:pPr>
        <w:ind w:left="660" w:right="660" w:hanging="328"/>
        <w:spacing w:after="0" w:line="277" w:lineRule="auto"/>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not find the data from preclinical studies and clinical trials sufficient to demonstrate that MG01CI’s clinical and other benefits outweighs its safety risks;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data collected from preclinical studies and clinical trials of MG01CI may not be sufficient to support the submission of an NDA;</w:t>
      </w:r>
    </w:p>
    <w:p>
      <w:pPr>
        <w:spacing w:after="0" w:line="225" w:lineRule="exact"/>
        <w:rPr>
          <w:rFonts w:ascii="Arial" w:cs="Arial" w:eastAsia="Arial" w:hAnsi="Arial"/>
          <w:sz w:val="18"/>
          <w:szCs w:val="18"/>
          <w:color w:val="A6A6A6"/>
        </w:rPr>
      </w:pPr>
    </w:p>
    <w:p>
      <w:pPr>
        <w:ind w:left="660" w:right="300" w:hanging="328"/>
        <w:spacing w:after="0" w:line="264" w:lineRule="auto"/>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require development of a risk evaluation and mitigation strategy as a condition of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660" w:right="80" w:hanging="328"/>
        <w:spacing w:after="0" w:line="277" w:lineRule="auto"/>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change its approval policies or adopt new regulations; and</w:t>
      </w:r>
    </w:p>
    <w:p>
      <w:pPr>
        <w:spacing w:after="0" w:line="225"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require simultaneous approval for both adults and children delaying needed approvals, or we may have successful clinical trial results for adults but not children, or vice versa.</w:t>
      </w:r>
    </w:p>
    <w:p>
      <w:pPr>
        <w:spacing w:after="0" w:line="170" w:lineRule="exact"/>
        <w:rPr>
          <w:sz w:val="20"/>
          <w:szCs w:val="20"/>
          <w:color w:val="auto"/>
        </w:rPr>
      </w:pPr>
    </w:p>
    <w:p>
      <w:pPr>
        <w:ind w:right="80" w:firstLine="288"/>
        <w:spacing w:after="0" w:line="271" w:lineRule="auto"/>
        <w:rPr>
          <w:sz w:val="20"/>
          <w:szCs w:val="20"/>
          <w:color w:val="auto"/>
        </w:rPr>
      </w:pPr>
      <w:r>
        <w:rPr>
          <w:rFonts w:ascii="Arial" w:cs="Arial" w:eastAsia="Arial" w:hAnsi="Arial"/>
          <w:sz w:val="17"/>
          <w:szCs w:val="17"/>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79" w:lineRule="exact"/>
        <w:rPr>
          <w:sz w:val="20"/>
          <w:szCs w:val="20"/>
          <w:color w:val="auto"/>
        </w:rPr>
      </w:pPr>
    </w:p>
    <w:p>
      <w:pPr>
        <w:jc w:val="both"/>
        <w:ind w:right="120" w:firstLine="416"/>
        <w:spacing w:after="0" w:line="264" w:lineRule="auto"/>
        <w:rPr>
          <w:sz w:val="20"/>
          <w:szCs w:val="20"/>
          <w:color w:val="auto"/>
        </w:rPr>
      </w:pPr>
      <w:r>
        <w:rPr>
          <w:rFonts w:ascii="Arial" w:cs="Arial" w:eastAsia="Arial" w:hAnsi="Arial"/>
          <w:sz w:val="18"/>
          <w:szCs w:val="18"/>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MG01CI may produce undesirable side effects after approval of an NDA.</w:t>
      </w:r>
    </w:p>
    <w:p>
      <w:pPr>
        <w:spacing w:after="0" w:line="225" w:lineRule="exact"/>
        <w:rPr>
          <w:sz w:val="20"/>
          <w:szCs w:val="20"/>
          <w:color w:val="auto"/>
        </w:rPr>
      </w:pPr>
    </w:p>
    <w:p>
      <w:pPr>
        <w:ind w:firstLine="415"/>
        <w:spacing w:after="0" w:line="277" w:lineRule="auto"/>
        <w:rPr>
          <w:sz w:val="20"/>
          <w:szCs w:val="20"/>
          <w:color w:val="auto"/>
        </w:rPr>
      </w:pPr>
      <w:r>
        <w:rPr>
          <w:rFonts w:ascii="Arial" w:cs="Arial" w:eastAsia="Arial" w:hAnsi="Arial"/>
          <w:sz w:val="18"/>
          <w:szCs w:val="18"/>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48" w:lineRule="exact"/>
        <w:rPr>
          <w:rFonts w:ascii="Arial" w:cs="Arial" w:eastAsia="Arial" w:hAnsi="Arial"/>
          <w:sz w:val="16"/>
          <w:szCs w:val="16"/>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6A6A6"/>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00" w:firstLine="35"/>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70" w:lineRule="exact"/>
        <w:rPr>
          <w:sz w:val="20"/>
          <w:szCs w:val="20"/>
          <w:color w:val="auto"/>
        </w:rPr>
      </w:pPr>
    </w:p>
    <w:p>
      <w:pPr>
        <w:ind w:right="80" w:firstLine="416"/>
        <w:spacing w:after="0" w:line="286" w:lineRule="auto"/>
        <w:rPr>
          <w:sz w:val="20"/>
          <w:szCs w:val="20"/>
          <w:color w:val="auto"/>
        </w:rPr>
      </w:pPr>
      <w:r>
        <w:rPr>
          <w:rFonts w:ascii="Arial" w:cs="Arial" w:eastAsia="Arial" w:hAnsi="Arial"/>
          <w:sz w:val="17"/>
          <w:szCs w:val="17"/>
          <w:color w:val="auto"/>
        </w:rPr>
        <w:t>We intend to investigate the use of MG01CI to treat other cognitive disorders and impairments. These efforts have just commenced, and very little data regarding such uses have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4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1" w:name="page12"/>
    <w:bookmarkEnd w:id="11"/>
    <w:p>
      <w:pPr>
        <w:ind w:right="2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70" w:lineRule="exact"/>
        <w:rPr>
          <w:sz w:val="20"/>
          <w:szCs w:val="20"/>
          <w:color w:val="auto"/>
        </w:rPr>
      </w:pPr>
    </w:p>
    <w:p>
      <w:pPr>
        <w:ind w:right="6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66"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0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firstLine="416"/>
        <w:spacing w:after="0" w:line="289" w:lineRule="auto"/>
        <w:rPr>
          <w:sz w:val="20"/>
          <w:szCs w:val="20"/>
          <w:color w:val="auto"/>
        </w:rPr>
      </w:pPr>
      <w:r>
        <w:rPr>
          <w:rFonts w:ascii="Arial" w:cs="Arial" w:eastAsia="Arial" w:hAnsi="Arial"/>
          <w:sz w:val="16"/>
          <w:szCs w:val="16"/>
          <w:color w:val="auto"/>
        </w:rPr>
        <w:t>More recently, President Obama signed into law the Health Care Reform Law,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The Health Care Reform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the Health Care Reform Law until applicable federal and state agencies issue regulations or guidance under the new law. Although it is too early to determine the effect of the Health Care Reform Law, the new law appears likely to continue the pressure on pharmaceutical pricing, especially under the Medicare program, and may also increase our regulatory burdens and operating costs.</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83" w:lineRule="exact"/>
        <w:rPr>
          <w:sz w:val="20"/>
          <w:szCs w:val="20"/>
          <w:color w:val="auto"/>
        </w:rPr>
      </w:pPr>
    </w:p>
    <w:p>
      <w:pPr>
        <w:ind w:right="50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100" w:firstLine="45"/>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70"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81" w:lineRule="exact"/>
        <w:rPr>
          <w:sz w:val="20"/>
          <w:szCs w:val="20"/>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6A6A6"/>
        </w:rPr>
      </w:pPr>
    </w:p>
    <w:p>
      <w:pPr>
        <w:ind w:left="1080" w:hanging="316"/>
        <w:spacing w:after="0" w:line="277" w:lineRule="auto"/>
        <w:tabs>
          <w:tab w:leader="none" w:pos="108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6A6A6"/>
        </w:rPr>
      </w:pPr>
    </w:p>
    <w:p>
      <w:pPr>
        <w:ind w:left="1080" w:hanging="316"/>
        <w:spacing w:after="0"/>
        <w:tabs>
          <w:tab w:leader="none" w:pos="108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280" w:firstLine="441"/>
        <w:spacing w:after="0" w:line="297"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 Additionally, if we are unable to generate revenues from the sale of Ravicti, and BUPHENYL and AMMONUL if purchased from Ucyclyd, our potential for achieving profitability will be diminished and the capital necessary to fund our operations will be increased.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receive marketing approval for MG01CI, sales will be limited unless the product achieves broad market acceptance.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ind w:right="320" w:firstLine="415"/>
        <w:spacing w:after="0" w:line="264" w:lineRule="auto"/>
        <w:rPr>
          <w:sz w:val="20"/>
          <w:szCs w:val="20"/>
          <w:color w:val="auto"/>
        </w:rPr>
      </w:pPr>
      <w:r>
        <w:rPr>
          <w:rFonts w:ascii="Arial" w:cs="Arial" w:eastAsia="Arial" w:hAnsi="Arial"/>
          <w:sz w:val="18"/>
          <w:szCs w:val="18"/>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25" w:lineRule="exact"/>
        <w:rPr>
          <w:rFonts w:ascii="Arial" w:cs="Arial" w:eastAsia="Arial" w:hAnsi="Arial"/>
          <w:sz w:val="18"/>
          <w:szCs w:val="18"/>
          <w:color w:val="A6A6A6"/>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availability of alternative treatments, including, in the case of MG01CI, a number of competitive products already approved for the treatment of ADHD or expected to be commercially launched in the near future;</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MG01CI if reimbursement for the product is limited.</w:t>
      </w:r>
    </w:p>
    <w:p>
      <w:pPr>
        <w:spacing w:after="0" w:line="225"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79"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14" w:name="page15"/>
    <w:bookmarkEnd w:id="14"/>
    <w:p>
      <w:pPr>
        <w:ind w:firstLine="441"/>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2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rely primarily on third parties to market and sell MG01CI.</w:t>
      </w:r>
    </w:p>
    <w:p>
      <w:pPr>
        <w:spacing w:after="0" w:line="225" w:lineRule="exact"/>
        <w:rPr>
          <w:sz w:val="20"/>
          <w:szCs w:val="20"/>
          <w:color w:val="auto"/>
        </w:rPr>
      </w:pPr>
    </w:p>
    <w:p>
      <w:pPr>
        <w:ind w:right="240" w:firstLine="416"/>
        <w:spacing w:after="0" w:line="302"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70" w:lineRule="exact"/>
        <w:rPr>
          <w:sz w:val="20"/>
          <w:szCs w:val="20"/>
          <w:color w:val="auto"/>
        </w:rPr>
      </w:pPr>
    </w:p>
    <w:p>
      <w:pPr>
        <w:ind w:firstLine="415"/>
        <w:spacing w:after="0" w:line="289"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the Company.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67"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jc w:val="both"/>
        <w:ind w:right="20" w:firstLine="415"/>
        <w:spacing w:after="0" w:line="312" w:lineRule="auto"/>
        <w:rPr>
          <w:sz w:val="20"/>
          <w:szCs w:val="20"/>
          <w:color w:val="auto"/>
        </w:rPr>
      </w:pPr>
      <w:r>
        <w:rPr>
          <w:rFonts w:ascii="Arial" w:cs="Arial" w:eastAsia="Arial" w:hAnsi="Arial"/>
          <w:sz w:val="16"/>
          <w:szCs w:val="16"/>
          <w:color w:val="auto"/>
        </w:rPr>
        <w:t>The use of MG01CI or other drugs expose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decreased demand for MG01CI or any other product candidate for which we obtain marketing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the inability to successfully commercialize MG01CI or any other product candidate for which we obtain marketing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66" w:lineRule="exact"/>
        <w:rPr>
          <w:sz w:val="20"/>
          <w:szCs w:val="20"/>
          <w:color w:val="auto"/>
        </w:rPr>
      </w:pPr>
    </w:p>
    <w:p>
      <w:pPr>
        <w:ind w:right="44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are a emerging biopharmetical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6" w:name="page17"/>
    <w:bookmarkEnd w:id="16"/>
    <w:p>
      <w:pPr>
        <w:ind w:right="60" w:firstLine="416"/>
        <w:spacing w:after="0" w:line="273" w:lineRule="auto"/>
        <w:rPr>
          <w:sz w:val="20"/>
          <w:szCs w:val="20"/>
          <w:color w:val="auto"/>
        </w:rPr>
      </w:pPr>
      <w:r>
        <w:rPr>
          <w:rFonts w:ascii="Arial" w:cs="Arial" w:eastAsia="Arial" w:hAnsi="Arial"/>
          <w:sz w:val="17"/>
          <w:szCs w:val="17"/>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in the period following this offering, we expect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MG01CI or any other product candidate and may never be profitable.</w:t>
      </w:r>
    </w:p>
    <w:p>
      <w:pPr>
        <w:spacing w:after="0" w:line="225" w:lineRule="exact"/>
        <w:rPr>
          <w:sz w:val="20"/>
          <w:szCs w:val="20"/>
          <w:color w:val="auto"/>
        </w:rPr>
      </w:pPr>
    </w:p>
    <w:p>
      <w:pPr>
        <w:jc w:val="both"/>
        <w:ind w:right="20" w:firstLine="416"/>
        <w:spacing w:after="0" w:line="312"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4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obtain favorable results from and progress the clinical development of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develop and obtain regulatory approval for a protocol for a Phase III clinical trial of MG01CI;</w:t>
      </w:r>
    </w:p>
    <w:p>
      <w:pPr>
        <w:spacing w:after="0" w:line="225" w:lineRule="exact"/>
        <w:rPr>
          <w:rFonts w:ascii="Arial" w:cs="Arial" w:eastAsia="Arial" w:hAnsi="Arial"/>
          <w:sz w:val="18"/>
          <w:szCs w:val="18"/>
          <w:color w:val="A6A6A6"/>
        </w:rPr>
      </w:pPr>
    </w:p>
    <w:p>
      <w:pPr>
        <w:ind w:left="660" w:right="320" w:hanging="328"/>
        <w:spacing w:after="0" w:line="277" w:lineRule="auto"/>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subject to successful completion of the a Phase III clinical trial and perhaps additional clinical trials of MG01CI, apply for and obtain marketing approval;</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contract for the manufacture of commercial quantities of MG01CI at acceptable cost levels if marketing approval is received;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48" w:lineRule="exact"/>
        <w:rPr>
          <w:sz w:val="20"/>
          <w:szCs w:val="20"/>
          <w:color w:val="auto"/>
        </w:rPr>
      </w:pPr>
    </w:p>
    <w:p>
      <w:pPr>
        <w:ind w:firstLine="416"/>
        <w:spacing w:after="0" w:line="312" w:lineRule="auto"/>
        <w:rPr>
          <w:sz w:val="20"/>
          <w:szCs w:val="20"/>
          <w:color w:val="auto"/>
        </w:rPr>
      </w:pPr>
      <w:r>
        <w:rPr>
          <w:rFonts w:ascii="Arial" w:cs="Arial" w:eastAsia="Arial" w:hAnsi="Arial"/>
          <w:sz w:val="16"/>
          <w:szCs w:val="16"/>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substantial additional capital in the future. If additional capital is not available, we will have to delay, reduce or cease operations.</w:t>
      </w:r>
    </w:p>
    <w:p>
      <w:pPr>
        <w:spacing w:after="0" w:line="248"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will need to raise substantial additional capital to fund our operations and to develop and commercialize MG01CI. As of December 31, 2012, we had negative working capital of $(588,000) and cash and cash equivalents of $97,000. Our future capital requirements may be substantial and will depend on many factors including:</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our clinical trial results;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 timing and outcomes of seeking marketing approval of MG01CI;</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 of filing and prosecuting patent applications and the cost of defending our patents;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exploration and possible label expansion of MG01CI for the treatment of other conditions;</w:t>
      </w:r>
    </w:p>
    <w:p>
      <w:pPr>
        <w:spacing w:after="0" w:line="225" w:lineRule="exact"/>
        <w:rPr>
          <w:rFonts w:ascii="Arial" w:cs="Arial" w:eastAsia="Arial" w:hAnsi="Arial"/>
          <w:sz w:val="18"/>
          <w:szCs w:val="18"/>
          <w:color w:val="BFBFBF"/>
        </w:rPr>
      </w:pPr>
    </w:p>
    <w:p>
      <w:pPr>
        <w:ind w:left="660" w:right="560" w:hanging="328"/>
        <w:spacing w:after="0" w:line="277" w:lineRule="auto"/>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costs associated with commercializing MG01CI if we receive marketing approval, including the cost and timing of establishing sales and marketing capabilities to market and sell MG01CI;</w:t>
      </w:r>
    </w:p>
    <w:p>
      <w:pPr>
        <w:spacing w:after="0" w:line="170"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any product liability or other lawsuits related to our products;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costs associated with being a public company;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7" w:name="page18"/>
    <w:bookmarkEnd w:id="17"/>
    <w:p>
      <w:pPr>
        <w:ind w:right="40" w:firstLine="405"/>
        <w:spacing w:after="0" w:line="273" w:lineRule="auto"/>
        <w:rPr>
          <w:sz w:val="20"/>
          <w:szCs w:val="20"/>
          <w:color w:val="auto"/>
        </w:rPr>
      </w:pPr>
      <w:r>
        <w:rPr>
          <w:rFonts w:ascii="Arial" w:cs="Arial" w:eastAsia="Arial" w:hAnsi="Arial"/>
          <w:sz w:val="17"/>
          <w:szCs w:val="17"/>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2014. We believe these funds will enable us to complete any preparatory clinical and non-clinical work, as well as one of two Phase III clinical trials.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7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6A6A6"/>
        </w:rPr>
      </w:pPr>
      <w:r>
        <w:rPr>
          <w:rFonts w:ascii="Arial" w:cs="Arial" w:eastAsia="Arial" w:hAnsi="Arial"/>
          <w:sz w:val="18"/>
          <w:szCs w:val="18"/>
          <w:color w:val="auto"/>
        </w:rPr>
        <w:t>terminate or delay clinical trials or other development activities for MG01CI; or</w:t>
      </w:r>
    </w:p>
    <w:p>
      <w:pPr>
        <w:spacing w:after="0" w:line="225" w:lineRule="exact"/>
        <w:rPr>
          <w:rFonts w:ascii="Arial" w:cs="Arial" w:eastAsia="Arial" w:hAnsi="Arial"/>
          <w:sz w:val="18"/>
          <w:szCs w:val="18"/>
          <w:color w:val="A6A6A6"/>
        </w:rPr>
      </w:pPr>
    </w:p>
    <w:p>
      <w:pPr>
        <w:ind w:left="660" w:right="660" w:hanging="328"/>
        <w:spacing w:after="0" w:line="277" w:lineRule="auto"/>
        <w:tabs>
          <w:tab w:leader="none" w:pos="660" w:val="left"/>
        </w:tabs>
        <w:numPr>
          <w:ilvl w:val="0"/>
          <w:numId w:val="21"/>
        </w:numPr>
        <w:rPr>
          <w:rFonts w:ascii="Arial" w:cs="Arial" w:eastAsia="Arial" w:hAnsi="Arial"/>
          <w:sz w:val="18"/>
          <w:szCs w:val="18"/>
          <w:color w:val="A6A6A6"/>
        </w:rPr>
      </w:pPr>
      <w:r>
        <w:rPr>
          <w:rFonts w:ascii="Arial" w:cs="Arial" w:eastAsia="Arial" w:hAnsi="Arial"/>
          <w:sz w:val="18"/>
          <w:szCs w:val="18"/>
          <w:color w:val="auto"/>
        </w:rPr>
        <w:t>delay our establishment of sales and marketing capabilities or other activities that may be necessary to commercialize MG01CI, if we obtain marketing approval.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recurring operating losses have raised substantial doubt regarding our ability to continue as a going concern.</w:t>
      </w:r>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March 31, 2013. The perception of our ability to continue as a going concern may make it more difficult for us to obtain financing for the continuation of our operations and could result in the loss of confidence by investors, suppliers and employees.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anticipate reliance on third-party manufacturers for our products.</w:t>
      </w:r>
    </w:p>
    <w:p>
      <w:pPr>
        <w:spacing w:after="0" w:line="225"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40" w:firstLine="416"/>
        <w:spacing w:after="0" w:line="264" w:lineRule="auto"/>
        <w:rPr>
          <w:sz w:val="20"/>
          <w:szCs w:val="20"/>
          <w:color w:val="auto"/>
        </w:rPr>
      </w:pPr>
      <w:r>
        <w:rPr>
          <w:rFonts w:ascii="Arial" w:cs="Arial" w:eastAsia="Arial" w:hAnsi="Arial"/>
          <w:sz w:val="18"/>
          <w:szCs w:val="18"/>
          <w:color w:val="auto"/>
        </w:rPr>
        <w:t>Our existing manufacturer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81" w:lineRule="exact"/>
        <w:rPr>
          <w:sz w:val="20"/>
          <w:szCs w:val="20"/>
          <w:color w:val="auto"/>
        </w:rPr>
      </w:pPr>
    </w:p>
    <w:p>
      <w:pPr>
        <w:ind w:right="760" w:firstLine="416"/>
        <w:spacing w:after="0" w:line="264" w:lineRule="auto"/>
        <w:rPr>
          <w:sz w:val="20"/>
          <w:szCs w:val="20"/>
          <w:color w:val="auto"/>
        </w:rPr>
      </w:pPr>
      <w:r>
        <w:rPr>
          <w:rFonts w:ascii="Arial" w:cs="Arial" w:eastAsia="Arial" w:hAnsi="Arial"/>
          <w:sz w:val="18"/>
          <w:szCs w:val="18"/>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chose to enter into such arrangements. The terms of any collaborations or other arrangements that we may establish may not be favorable to us.</w:t>
      </w:r>
    </w:p>
    <w:p>
      <w:pPr>
        <w:spacing w:after="0" w:line="16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have filed multiple patent applications but have no issued patents, and there can be no assurance that any of our patent applications will result in issued patents. As a result, we may not be able to protect our proprietary technology in the marketplace.</w:t>
      </w:r>
    </w:p>
    <w:p>
      <w:pPr>
        <w:spacing w:after="0" w:line="147" w:lineRule="exact"/>
        <w:rPr>
          <w:sz w:val="20"/>
          <w:szCs w:val="20"/>
          <w:color w:val="auto"/>
        </w:rPr>
      </w:pPr>
    </w:p>
    <w:p>
      <w:pPr>
        <w:ind w:right="100" w:firstLine="416"/>
        <w:spacing w:after="0" w:line="257" w:lineRule="auto"/>
        <w:rPr>
          <w:sz w:val="20"/>
          <w:szCs w:val="20"/>
          <w:color w:val="auto"/>
        </w:rPr>
      </w:pPr>
      <w:r>
        <w:rPr>
          <w:rFonts w:ascii="Arial" w:cs="Arial" w:eastAsia="Arial" w:hAnsi="Arial"/>
          <w:sz w:val="18"/>
          <w:szCs w:val="18"/>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we currently seek.</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70" w:lineRule="exact"/>
        <w:rPr>
          <w:sz w:val="20"/>
          <w:szCs w:val="20"/>
          <w:color w:val="auto"/>
        </w:rPr>
      </w:pPr>
    </w:p>
    <w:p>
      <w:pPr>
        <w:ind w:right="320" w:firstLine="416"/>
        <w:spacing w:after="0" w:line="277" w:lineRule="auto"/>
        <w:rPr>
          <w:sz w:val="20"/>
          <w:szCs w:val="20"/>
          <w:color w:val="auto"/>
        </w:rPr>
      </w:pPr>
      <w:r>
        <w:rPr>
          <w:rFonts w:ascii="Arial" w:cs="Arial" w:eastAsia="Arial" w:hAnsi="Arial"/>
          <w:sz w:val="18"/>
          <w:szCs w:val="18"/>
          <w:color w:val="auto"/>
        </w:rPr>
        <w:t>Any patents that may issue to use will not ensure the protection of our intellectual property for a number of reasons, including without limitation the following:</w:t>
      </w:r>
    </w:p>
    <w:p>
      <w:pPr>
        <w:spacing w:after="0" w:line="170" w:lineRule="exact"/>
        <w:rPr>
          <w:sz w:val="20"/>
          <w:szCs w:val="20"/>
          <w:color w:val="auto"/>
        </w:rPr>
      </w:pPr>
    </w:p>
    <w:p>
      <w:pPr>
        <w:ind w:left="720" w:hanging="307"/>
        <w:spacing w:after="0"/>
        <w:tabs>
          <w:tab w:leader="none" w:pos="720" w:val="left"/>
        </w:tabs>
        <w:numPr>
          <w:ilvl w:val="0"/>
          <w:numId w:val="22"/>
        </w:numPr>
        <w:rPr>
          <w:rFonts w:ascii="Arial" w:cs="Arial" w:eastAsia="Arial" w:hAnsi="Arial"/>
          <w:sz w:val="17"/>
          <w:szCs w:val="17"/>
          <w:color w:val="A6A6A6"/>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if we are not issued patents or if issued patents expire, there would be no protections against competitors making generic equivalents;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there may be other patents existing in the patent landscape for MG01CI that will affect our freedom to operate;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if our patents are challenged, a court could determine that they are not valid or enforceable;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a court could determine that a competitor’s technology or product does not infringe our patents;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our patents could irretrievably lapse due to failure to pay fees or otherwise comply with regulations, or could be subject to compulsory licensing;</w:t>
      </w:r>
    </w:p>
    <w:p>
      <w:pPr>
        <w:spacing w:after="0" w:line="46" w:lineRule="exact"/>
        <w:rPr>
          <w:rFonts w:ascii="Arial" w:cs="Arial" w:eastAsia="Arial" w:hAnsi="Arial"/>
          <w:sz w:val="16"/>
          <w:szCs w:val="16"/>
          <w:color w:val="A6A6A6"/>
        </w:rPr>
      </w:pPr>
    </w:p>
    <w:p>
      <w:pPr>
        <w:ind w:left="420"/>
        <w:spacing w:after="0"/>
        <w:rPr>
          <w:rFonts w:ascii="Arial" w:cs="Arial" w:eastAsia="Arial" w:hAnsi="Arial"/>
          <w:sz w:val="16"/>
          <w:szCs w:val="16"/>
          <w:color w:val="A6A6A6"/>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6A6A6"/>
        </w:rPr>
      </w:pPr>
    </w:p>
    <w:p>
      <w:pPr>
        <w:ind w:left="420" w:right="160" w:hanging="7"/>
        <w:spacing w:after="0" w:line="277" w:lineRule="auto"/>
        <w:tabs>
          <w:tab w:leader="none" w:pos="735"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20" w:firstLine="416"/>
        <w:spacing w:after="0" w:line="302"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54"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right="140" w:firstLine="416"/>
        <w:spacing w:after="0" w:line="276"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63" w:lineRule="exact"/>
        <w:rPr>
          <w:sz w:val="20"/>
          <w:szCs w:val="20"/>
          <w:color w:val="auto"/>
        </w:rPr>
      </w:pPr>
    </w:p>
    <w:p>
      <w:pPr>
        <w:ind w:right="120" w:firstLine="389"/>
        <w:spacing w:after="0" w:line="273" w:lineRule="auto"/>
        <w:rPr>
          <w:sz w:val="20"/>
          <w:szCs w:val="20"/>
          <w:color w:val="auto"/>
        </w:rPr>
      </w:pPr>
      <w:r>
        <w:rPr>
          <w:rFonts w:ascii="Arial" w:cs="Arial" w:eastAsia="Arial" w:hAnsi="Arial"/>
          <w:sz w:val="19"/>
          <w:szCs w:val="19"/>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Our key employees include our Chief Executive Officer, Dr. Yaron Daniely, who has been with us since 2010. Key consultants include our Chief Financial Officer/Chief Accounting Officer, Udi Gilboa, who co-founded us in 2008 and has been with us since our founding; our Director of Non-Clinical Development, Hanna Ron, who has been with us since 2011; and our Clinical Advisory Board chairperson, Dr. Lenard A. Adler, who has been with us since 2011. 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89" w:lineRule="exact"/>
        <w:rPr>
          <w:sz w:val="20"/>
          <w:szCs w:val="20"/>
          <w:color w:val="auto"/>
        </w:rPr>
      </w:pPr>
    </w:p>
    <w:p>
      <w:pPr>
        <w:ind w:right="12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70" w:lineRule="exact"/>
        <w:rPr>
          <w:sz w:val="20"/>
          <w:szCs w:val="20"/>
          <w:color w:val="auto"/>
        </w:rPr>
      </w:pPr>
    </w:p>
    <w:p>
      <w:pPr>
        <w:ind w:right="60" w:firstLine="415"/>
        <w:spacing w:after="0" w:line="269" w:lineRule="auto"/>
        <w:rPr>
          <w:sz w:val="20"/>
          <w:szCs w:val="20"/>
          <w:color w:val="auto"/>
        </w:rPr>
      </w:pPr>
      <w:r>
        <w:rPr>
          <w:rFonts w:ascii="Arial" w:cs="Arial" w:eastAsia="Arial" w:hAnsi="Arial"/>
          <w:sz w:val="17"/>
          <w:szCs w:val="17"/>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To build our finance infrastructure, we will need to hire additional accounting personnel and improve our accounting systems, disclosure policies, procedures and controls. We are currently in the process of:</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initiating our plans to upgrade our computer systems, including hardware and software;</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establishing written policies and procedures;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enhancing internal controls and our financial statement review process.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right="20" w:firstLine="648"/>
        <w:spacing w:after="0" w:line="257" w:lineRule="auto"/>
        <w:rPr>
          <w:sz w:val="20"/>
          <w:szCs w:val="20"/>
          <w:color w:val="auto"/>
        </w:rPr>
      </w:pPr>
      <w:r>
        <w:rPr>
          <w:rFonts w:ascii="Arial" w:cs="Arial" w:eastAsia="Arial" w:hAnsi="Arial"/>
          <w:sz w:val="18"/>
          <w:szCs w:val="18"/>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25" w:lineRule="exact"/>
        <w:rPr>
          <w:sz w:val="20"/>
          <w:szCs w:val="20"/>
          <w:color w:val="auto"/>
        </w:rPr>
      </w:pPr>
    </w:p>
    <w:p>
      <w:pPr>
        <w:ind w:right="480" w:firstLine="416"/>
        <w:spacing w:after="0" w:line="312" w:lineRule="auto"/>
        <w:rPr>
          <w:sz w:val="20"/>
          <w:szCs w:val="20"/>
          <w:color w:val="auto"/>
        </w:rPr>
      </w:pPr>
      <w:r>
        <w:rPr>
          <w:rFonts w:ascii="Arial" w:cs="Arial" w:eastAsia="Arial" w:hAnsi="Arial"/>
          <w:sz w:val="16"/>
          <w:szCs w:val="16"/>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4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manage our clinical trials and the regulatory process effectively;</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develop our administrative, accounting and management information systems and controls;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hire and train additional qualified personnel;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integrate current and additional management, administrative, financial and sales and marketing personnel.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8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ordinary shares may be highly volatile, and you may not be able to resell your shares at or above the initial public offering price.</w:t>
      </w:r>
    </w:p>
    <w:p>
      <w:pPr>
        <w:spacing w:after="0" w:line="260" w:lineRule="exact"/>
        <w:rPr>
          <w:sz w:val="20"/>
          <w:szCs w:val="20"/>
          <w:color w:val="auto"/>
        </w:rPr>
      </w:pPr>
    </w:p>
    <w:p>
      <w:pPr>
        <w:ind w:right="320" w:firstLine="415"/>
        <w:spacing w:after="0" w:line="312" w:lineRule="auto"/>
        <w:rPr>
          <w:sz w:val="20"/>
          <w:szCs w:val="20"/>
          <w:color w:val="auto"/>
        </w:rPr>
      </w:pPr>
      <w:r>
        <w:rPr>
          <w:rFonts w:ascii="Arial" w:cs="Arial" w:eastAsia="Arial" w:hAnsi="Arial"/>
          <w:sz w:val="16"/>
          <w:szCs w:val="16"/>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47" w:lineRule="exact"/>
        <w:rPr>
          <w:sz w:val="20"/>
          <w:szCs w:val="20"/>
          <w:color w:val="auto"/>
        </w:rPr>
      </w:pPr>
    </w:p>
    <w:p>
      <w:pPr>
        <w:ind w:right="380" w:firstLine="415"/>
        <w:spacing w:after="0" w:line="277" w:lineRule="auto"/>
        <w:rPr>
          <w:sz w:val="20"/>
          <w:szCs w:val="20"/>
          <w:color w:val="auto"/>
        </w:rPr>
      </w:pPr>
      <w:r>
        <w:rPr>
          <w:rFonts w:ascii="Arial" w:cs="Arial" w:eastAsia="Arial" w:hAnsi="Arial"/>
          <w:sz w:val="18"/>
          <w:szCs w:val="18"/>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6A6A6"/>
        </w:rPr>
      </w:pPr>
    </w:p>
    <w:p>
      <w:pPr>
        <w:ind w:left="660" w:right="180" w:hanging="328"/>
        <w:spacing w:after="0" w:line="277" w:lineRule="auto"/>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7"/>
          <w:szCs w:val="17"/>
          <w:color w:val="A6A6A6"/>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36" w:lineRule="exact"/>
        <w:rPr>
          <w:rFonts w:ascii="Arial" w:cs="Arial" w:eastAsia="Arial" w:hAnsi="Arial"/>
          <w:sz w:val="17"/>
          <w:szCs w:val="17"/>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changes or developments in laws or regulations applicable to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any intellectual property infringement actions in which we may become involved;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any major changes in our board of directors or management;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legislation in the United States relating to the sale or pricing of pharmaceuticals.</w:t>
      </w:r>
    </w:p>
    <w:p>
      <w:pPr>
        <w:spacing w:after="0" w:line="225"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416"/>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principal shareholders, chief executive officer and directors currently own over 80% of our outstanding ordinary shares and will own approximately</w:t>
      </w:r>
    </w:p>
    <w:p>
      <w:pPr>
        <w:spacing w:after="0" w:line="58" w:lineRule="exact"/>
        <w:rPr>
          <w:sz w:val="20"/>
          <w:szCs w:val="20"/>
          <w:color w:val="auto"/>
        </w:rPr>
      </w:pPr>
    </w:p>
    <w:p>
      <w:pPr>
        <w:ind w:right="440" w:firstLine="368"/>
        <w:spacing w:after="0" w:line="261" w:lineRule="auto"/>
        <w:tabs>
          <w:tab w:leader="none" w:pos="555"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of our ordinary shares upon the closing of this offering. They will therefore be able to exert significant control over matters submitted to our shareholders for approval.</w:t>
      </w:r>
    </w:p>
    <w:p>
      <w:pPr>
        <w:spacing w:after="0" w:line="184"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After this offering, our chief executive officer and directors, and shareholders who own more than 5% of our outstanding ordinary shares before this offering will, in the aggregate, beneficially own approximately %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ordinary shares in this offering, you will incur immediate and substantial dilution in the book value of your shares.</w:t>
      </w:r>
    </w:p>
    <w:p>
      <w:pPr>
        <w:spacing w:after="0" w:line="237" w:lineRule="exact"/>
        <w:rPr>
          <w:sz w:val="20"/>
          <w:szCs w:val="20"/>
          <w:color w:val="auto"/>
        </w:rPr>
      </w:pPr>
    </w:p>
    <w:p>
      <w:pPr>
        <w:ind w:right="20" w:firstLine="416"/>
        <w:spacing w:after="0" w:line="272"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 per share, based on the initial public offering price of $ per share, and our pro forma net tangible book value as of December 31, 2012. In addition, as of that date, options to purchase 127,923 of our ordinary shares at a weighted average exercise price of $4.00 per share were outstanding. The exercise of these options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ordinary shares in the public market by our existing shareholders could cause our share price to fall.</w:t>
      </w:r>
    </w:p>
    <w:p>
      <w:pPr>
        <w:spacing w:after="0" w:line="24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63" w:lineRule="exact"/>
        <w:rPr>
          <w:sz w:val="20"/>
          <w:szCs w:val="20"/>
          <w:color w:val="auto"/>
        </w:rPr>
      </w:pPr>
    </w:p>
    <w:p>
      <w:pPr>
        <w:jc w:val="both"/>
        <w:ind w:right="180" w:firstLine="389"/>
        <w:spacing w:after="0" w:line="287" w:lineRule="auto"/>
        <w:rPr>
          <w:sz w:val="20"/>
          <w:szCs w:val="20"/>
          <w:color w:val="auto"/>
        </w:rPr>
      </w:pPr>
      <w:r>
        <w:rPr>
          <w:rFonts w:ascii="Arial" w:cs="Arial" w:eastAsia="Arial" w:hAnsi="Arial"/>
          <w:sz w:val="19"/>
          <w:szCs w:val="19"/>
          <w:color w:val="auto"/>
        </w:rPr>
        <w:t>If we were to be characterized as a passive foreign investment company (PFIC) under the U.S. Internal Revenue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5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jc w:val="both"/>
        <w:ind w:right="80" w:firstLine="416"/>
        <w:spacing w:after="0" w:line="264"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As a result, only appreciation of the price of our ordinary shares, if any, will provide a return to investors in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25"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the Sarbanes-Oxley Act, the listing requirements of the securities exchange on which our ordinary shares is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6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12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660" w:right="520" w:hanging="328"/>
        <w:spacing w:after="0" w:line="277" w:lineRule="auto"/>
        <w:tabs>
          <w:tab w:leader="none" w:pos="660" w:val="left"/>
        </w:tabs>
        <w:numPr>
          <w:ilvl w:val="0"/>
          <w:numId w:val="28"/>
        </w:numPr>
        <w:rPr>
          <w:rFonts w:ascii="Arial" w:cs="Arial" w:eastAsia="Arial" w:hAnsi="Arial"/>
          <w:sz w:val="18"/>
          <w:szCs w:val="18"/>
          <w:color w:val="A6A6A6"/>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5" w:name="page26"/>
    <w:bookmarkEnd w:id="25"/>
    <w:p>
      <w:pPr>
        <w:ind w:left="660" w:right="40" w:hanging="328"/>
        <w:spacing w:after="0" w:line="259" w:lineRule="auto"/>
        <w:tabs>
          <w:tab w:leader="none" w:pos="660" w:val="left"/>
        </w:tabs>
        <w:numPr>
          <w:ilvl w:val="0"/>
          <w:numId w:val="29"/>
        </w:numPr>
        <w:rPr>
          <w:rFonts w:ascii="Arial" w:cs="Arial" w:eastAsia="Arial" w:hAnsi="Arial"/>
          <w:sz w:val="18"/>
          <w:szCs w:val="18"/>
          <w:color w:val="A6A6A6"/>
        </w:rPr>
      </w:pPr>
      <w:r>
        <w:rPr>
          <w:rFonts w:ascii="Arial" w:cs="Arial" w:eastAsia="Arial" w:hAnsi="Arial"/>
          <w:sz w:val="18"/>
          <w:szCs w:val="18"/>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86" w:lineRule="exact"/>
        <w:rPr>
          <w:rFonts w:ascii="Arial" w:cs="Arial" w:eastAsia="Arial" w:hAnsi="Arial"/>
          <w:sz w:val="18"/>
          <w:szCs w:val="18"/>
          <w:color w:val="A6A6A6"/>
        </w:rPr>
      </w:pPr>
    </w:p>
    <w:p>
      <w:pPr>
        <w:ind w:left="660" w:hanging="328"/>
        <w:spacing w:after="0" w:line="277" w:lineRule="auto"/>
        <w:tabs>
          <w:tab w:leader="none" w:pos="660" w:val="left"/>
        </w:tabs>
        <w:numPr>
          <w:ilvl w:val="0"/>
          <w:numId w:val="29"/>
        </w:numPr>
        <w:rPr>
          <w:rFonts w:ascii="Arial" w:cs="Arial" w:eastAsia="Arial" w:hAnsi="Arial"/>
          <w:sz w:val="18"/>
          <w:szCs w:val="18"/>
          <w:color w:val="A6A6A6"/>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w:t>
      </w:r>
    </w:p>
    <w:p>
      <w:pPr>
        <w:spacing w:after="0" w:line="170"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29"/>
        </w:numPr>
        <w:rPr>
          <w:rFonts w:ascii="Arial" w:cs="Arial" w:eastAsia="Arial" w:hAnsi="Arial"/>
          <w:sz w:val="18"/>
          <w:szCs w:val="18"/>
          <w:color w:val="A6A6A6"/>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9"/>
        </w:numPr>
        <w:rPr>
          <w:rFonts w:ascii="Arial" w:cs="Arial" w:eastAsia="Arial" w:hAnsi="Arial"/>
          <w:sz w:val="18"/>
          <w:szCs w:val="18"/>
          <w:color w:val="A6A6A6"/>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w:t>
      </w:r>
    </w:p>
    <w:p>
      <w:pPr>
        <w:ind w:right="100"/>
        <w:spacing w:after="0" w:line="205" w:lineRule="auto"/>
        <w:rPr>
          <w:sz w:val="20"/>
          <w:szCs w:val="20"/>
          <w:color w:val="auto"/>
        </w:rPr>
      </w:pPr>
      <w:r>
        <w:rPr>
          <w:rFonts w:ascii="Arial" w:cs="Arial" w:eastAsia="Arial" w:hAnsi="Arial"/>
          <w:sz w:val="18"/>
          <w:szCs w:val="18"/>
          <w:color w:val="auto"/>
        </w:rPr>
        <w:t>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3" w:lineRule="exact"/>
        <w:rPr>
          <w:sz w:val="20"/>
          <w:szCs w:val="20"/>
          <w:color w:val="auto"/>
        </w:rPr>
      </w:pPr>
    </w:p>
    <w:p>
      <w:pPr>
        <w:jc w:val="both"/>
        <w:ind w:right="140" w:firstLine="324"/>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4"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60" w:firstLine="389"/>
        <w:spacing w:after="0" w:line="270" w:lineRule="auto"/>
        <w:rPr>
          <w:sz w:val="20"/>
          <w:szCs w:val="20"/>
          <w:color w:val="auto"/>
        </w:rPr>
      </w:pPr>
      <w:r>
        <w:rPr>
          <w:rFonts w:ascii="Arial" w:cs="Arial" w:eastAsia="Arial" w:hAnsi="Arial"/>
          <w:sz w:val="17"/>
          <w:szCs w:val="17"/>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60" w:firstLine="389"/>
        <w:spacing w:after="0" w:line="297" w:lineRule="auto"/>
        <w:rPr>
          <w:sz w:val="20"/>
          <w:szCs w:val="20"/>
          <w:color w:val="auto"/>
        </w:rPr>
      </w:pPr>
      <w:r>
        <w:rPr>
          <w:rFonts w:ascii="Arial" w:cs="Arial" w:eastAsia="Arial" w:hAnsi="Arial"/>
          <w:sz w:val="16"/>
          <w:szCs w:val="16"/>
          <w:color w:val="auto"/>
        </w:rPr>
        <w:t>In addition, as a foreign private issuer,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56"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operations may be disrupted as a result of the obligation of management or key personnel to perform military service.</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37 years old. In the event of a military conflict, he and other of our officers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negatively affect our earnings.</w:t>
      </w:r>
    </w:p>
    <w:p>
      <w:pPr>
        <w:spacing w:after="0" w:line="22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We incur expenses both in U.S. dollars and New Israeli Shekels. Our functional currency is the U.S. dollar. As a result, we are exposed to the risks that the New Israeli Shekel may appreciate relative to the U.S. dollar, or, if the New Israeli Shekel instead devalues relative to the U.S. dollar, that the inflation rate in Israel may exceed such rate of devaluation of the New Israeli Shekel, or that the timing of such devaluation may lag behind inflation in Israel. In any such event, the U.S. dollar cost of our operations in Israel would increase and our U.S. dollar-denominated results of operations would be adversely affected. We cannot predict any future trends in the rate of inflation in Israel or the rate of devaluation (if any) of the New Israeli Shekel against the U.S. dollar.</w:t>
      </w:r>
    </w:p>
    <w:p>
      <w:pPr>
        <w:spacing w:after="0" w:line="1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 how or manufacturing or manufacturing rights related to those aspects of such technologies. We may not receive those approvals. Furthermore, the OCS may impose certain conditions on any arrangement under which it permits us to transfer technology or development out of Israel.</w:t>
      </w:r>
    </w:p>
    <w:p>
      <w:pPr>
        <w:spacing w:after="0" w:line="1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transfer of OCS-supported technology or know-how outside of Israel may involve the payment of significant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development or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93"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7" w:name="page28"/>
    <w:bookmarkEnd w:id="27"/>
    <w:p>
      <w:pPr>
        <w:ind w:right="220" w:firstLine="405"/>
        <w:spacing w:after="0" w:line="342"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2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81"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7"/>
          <w:szCs w:val="17"/>
          <w:color w:val="A6A6A6"/>
        </w:rPr>
      </w:pPr>
      <w:r>
        <w:rPr>
          <w:rFonts w:ascii="Arial" w:cs="Arial" w:eastAsia="Arial" w:hAnsi="Arial"/>
          <w:sz w:val="17"/>
          <w:szCs w:val="17"/>
          <w:color w:val="auto"/>
        </w:rPr>
        <w:t>no cumulative voting in the election of directors, which limits the ability of minority stockholders to elect director candidates; and</w:t>
      </w:r>
    </w:p>
    <w:p>
      <w:pPr>
        <w:spacing w:after="0" w:line="236" w:lineRule="exact"/>
        <w:rPr>
          <w:rFonts w:ascii="Arial" w:cs="Arial" w:eastAsia="Arial" w:hAnsi="Arial"/>
          <w:sz w:val="17"/>
          <w:szCs w:val="17"/>
          <w:color w:val="A6A6A6"/>
        </w:rPr>
      </w:pPr>
    </w:p>
    <w:p>
      <w:pPr>
        <w:ind w:left="1300" w:right="380" w:hanging="320"/>
        <w:spacing w:after="0" w:line="342" w:lineRule="auto"/>
        <w:tabs>
          <w:tab w:leader="none" w:pos="130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8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7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 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15"/>
        <w:spacing w:after="0" w:line="259" w:lineRule="auto"/>
        <w:rPr>
          <w:sz w:val="20"/>
          <w:szCs w:val="20"/>
          <w:color w:val="auto"/>
        </w:rPr>
      </w:pPr>
      <w:r>
        <w:rPr>
          <w:rFonts w:ascii="Arial" w:cs="Arial" w:eastAsia="Arial" w:hAnsi="Arial"/>
          <w:sz w:val="18"/>
          <w:szCs w:val="18"/>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FDA approval of, or other regulatory action with respect to,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commercial launch and future sales of MG01CI or any other future products or product candidates;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our ability to achieve favorable pricing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our expectations regarding the commercial supply of our ADHD products;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third-party payor reimbursement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our estimates regarding anticipated capital requirements and our needs for additional financing;</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ADHD patient market size and market adoption of MG01CI by physicians and patients;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timing, cost or other aspects of the commercial launch of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timing and cost of Phase III trials for MG01CI or whether such trials will be conducted at all;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completion and receiving favorable results of Phase III trials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development and approval of the use of MG01CI for additional indications or in combination therapy;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our expectations regarding licensing, acquisitions and strategic operations.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firstLine="416"/>
        <w:spacing w:after="0" w:line="264" w:lineRule="auto"/>
        <w:rPr>
          <w:sz w:val="20"/>
          <w:szCs w:val="20"/>
          <w:color w:val="auto"/>
        </w:rPr>
      </w:pPr>
      <w:r>
        <w:rPr>
          <w:rFonts w:ascii="Arial" w:cs="Arial" w:eastAsia="Arial" w:hAnsi="Arial"/>
          <w:sz w:val="18"/>
          <w:szCs w:val="18"/>
          <w:color w:val="auto"/>
        </w:rPr>
        <w:t>We expect to receive approximately $ million in net proceeds from the sale of ordinary shares offered by us in this offering (approximately $ million if the underwriters exercise their over-allotment option in full), after deducting the underwriting discounts and commissions and estimated offering expenses payable by us.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expect to use the net proceeds from this offering for:</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completing a Phase II/III trial of MG01CI for adult ADHD, estimated at $6,000,000;</w:t>
      </w:r>
    </w:p>
    <w:p>
      <w:pPr>
        <w:spacing w:after="0" w:line="225" w:lineRule="exact"/>
        <w:rPr>
          <w:rFonts w:ascii="Arial" w:cs="Arial" w:eastAsia="Arial" w:hAnsi="Arial"/>
          <w:sz w:val="18"/>
          <w:szCs w:val="18"/>
          <w:color w:val="A6A6A6"/>
        </w:rPr>
      </w:pPr>
    </w:p>
    <w:p>
      <w:pPr>
        <w:ind w:left="660" w:right="540" w:hanging="328"/>
        <w:spacing w:after="0" w:line="277" w:lineRule="auto"/>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preparing for our proposed Phase III clinical trials for MG01CI, including engaging the FDA in discussions related to protocols for the trials, estimated at $1,000,000 to $3,000,000;</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evaluating MG01CI in additional disorders of cognitive function, estimated at $1,000,000 to $2,000,000;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the remainder for working capital and general corporate purposes.</w:t>
      </w:r>
    </w:p>
    <w:p>
      <w:pPr>
        <w:spacing w:after="0" w:line="225" w:lineRule="exact"/>
        <w:rPr>
          <w:sz w:val="20"/>
          <w:szCs w:val="20"/>
          <w:color w:val="auto"/>
        </w:rPr>
      </w:pPr>
    </w:p>
    <w:p>
      <w:pPr>
        <w:ind w:right="440" w:firstLine="416"/>
        <w:spacing w:after="0" w:line="312"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no current understandings, commitments or agreements with respect to any material acquisition of or investment in any technologies, products or companies.</w:t>
      </w:r>
    </w:p>
    <w:p>
      <w:pPr>
        <w:spacing w:after="0" w:line="170" w:lineRule="exact"/>
        <w:rPr>
          <w:sz w:val="20"/>
          <w:szCs w:val="20"/>
          <w:color w:val="auto"/>
        </w:rPr>
      </w:pPr>
    </w:p>
    <w:p>
      <w:pPr>
        <w:ind w:right="340" w:firstLine="416"/>
        <w:spacing w:after="0" w:line="277" w:lineRule="auto"/>
        <w:rPr>
          <w:sz w:val="20"/>
          <w:szCs w:val="20"/>
          <w:color w:val="auto"/>
        </w:rPr>
      </w:pPr>
      <w:r>
        <w:rPr>
          <w:rFonts w:ascii="Arial" w:cs="Arial" w:eastAsia="Arial" w:hAnsi="Arial"/>
          <w:sz w:val="18"/>
          <w:szCs w:val="18"/>
          <w:color w:val="auto"/>
        </w:rPr>
        <w:t>We do not expect that these funds will be adequate to complete our proposed Phase III trials, which will require us to raise additional funds for this purpose.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 xml:space="preserve">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w:t>
      </w:r>
      <w:r>
        <w:rPr>
          <w:rFonts w:ascii="Arial" w:cs="Arial" w:eastAsia="Arial" w:hAnsi="Arial"/>
          <w:sz w:val="18"/>
          <w:szCs w:val="18"/>
          <w:b w:val="1"/>
          <w:bCs w:val="1"/>
          <w:color w:val="auto"/>
        </w:rPr>
        <w:t>relevant</w:t>
      </w:r>
      <w:r>
        <w:rPr>
          <w:rFonts w:ascii="Arial" w:cs="Arial" w:eastAsia="Arial" w:hAnsi="Arial"/>
          <w:sz w:val="18"/>
          <w:szCs w:val="18"/>
          <w:color w:val="auto"/>
        </w:rPr>
        <w:t>.</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“Taxation—Israeli Tax Considerations” for additional information.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2012:</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on a pro forma basis to give effect to the mandatory conversion of our Convertible Notes at the closing of this offering; and</w:t>
      </w:r>
    </w:p>
    <w:p>
      <w:pPr>
        <w:spacing w:after="0" w:line="225" w:lineRule="exact"/>
        <w:rPr>
          <w:sz w:val="20"/>
          <w:szCs w:val="20"/>
          <w:color w:val="auto"/>
        </w:rPr>
      </w:pPr>
    </w:p>
    <w:p>
      <w:pPr>
        <w:ind w:left="660" w:right="120" w:hanging="319"/>
        <w:spacing w:after="0" w:line="279" w:lineRule="auto"/>
        <w:tabs>
          <w:tab w:leader="none" w:pos="640" w:val="left"/>
        </w:tabs>
        <w:rPr>
          <w:sz w:val="20"/>
          <w:szCs w:val="20"/>
          <w:color w:val="auto"/>
        </w:rPr>
      </w:pPr>
      <w:r>
        <w:rPr>
          <w:rFonts w:ascii="Arial" w:cs="Arial" w:eastAsia="Arial" w:hAnsi="Arial"/>
          <w:sz w:val="17"/>
          <w:szCs w:val="17"/>
          <w:color w:val="A6A6A6"/>
        </w:rPr>
        <w:t>·</w:t>
      </w:r>
      <w:r>
        <w:rPr>
          <w:sz w:val="20"/>
          <w:szCs w:val="20"/>
          <w:color w:val="auto"/>
        </w:rPr>
        <w:tab/>
      </w:r>
      <w:r>
        <w:rPr>
          <w:rFonts w:ascii="Arial" w:cs="Arial" w:eastAsia="Arial" w:hAnsi="Arial"/>
          <w:sz w:val="17"/>
          <w:szCs w:val="17"/>
          <w:color w:val="auto"/>
        </w:rPr>
        <w:t>on a pro forma, as adjusted, basis to also give effect to the sale of ordinary shares in this offering at the initial public offering price of $ per share (the midpoint of the range set forth on the cover page of this prospectus), after deducting underwriting discounts and commissions and estimated offering expenses payable by us, and the conversion of Convertible Notes in the principal amount of $600,000 (as of December 31, 2012) at the closing of the offering, as if the sale of the shares in each case had occurred on December 31, 2012.</w:t>
      </w:r>
    </w:p>
    <w:p>
      <w:pPr>
        <w:spacing w:after="0" w:line="171" w:lineRule="exact"/>
        <w:rPr>
          <w:sz w:val="20"/>
          <w:szCs w:val="20"/>
          <w:color w:val="auto"/>
        </w:rPr>
      </w:pPr>
    </w:p>
    <w:p>
      <w:pPr>
        <w:ind w:right="240" w:firstLine="416"/>
        <w:spacing w:after="0" w:line="277" w:lineRule="auto"/>
        <w:rPr>
          <w:sz w:val="20"/>
          <w:szCs w:val="20"/>
          <w:color w:val="auto"/>
        </w:rPr>
      </w:pPr>
      <w:r>
        <w:rPr>
          <w:rFonts w:ascii="Arial" w:cs="Arial" w:eastAsia="Arial" w:hAnsi="Arial"/>
          <w:sz w:val="18"/>
          <w:szCs w:val="18"/>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December 31, 2012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6"/>
                <w:szCs w:val="16"/>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Pro Forma</w:t>
            </w:r>
          </w:p>
        </w:tc>
        <w:tc>
          <w:tcPr>
            <w:tcW w:w="2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adjusted</w:t>
            </w: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Actual</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w:t>
            </w:r>
          </w:p>
        </w:tc>
        <w:tc>
          <w:tcPr>
            <w:tcW w:w="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662</w:t>
            </w:r>
          </w:p>
        </w:tc>
        <w:tc>
          <w:tcPr>
            <w:tcW w:w="1540" w:type="dxa"/>
            <w:vAlign w:val="bottom"/>
            <w:shd w:val="clear" w:color="auto" w:fill="CCFFCC"/>
          </w:tcPr>
          <w:p>
            <w:pPr>
              <w:jc w:val="right"/>
              <w:ind w:right="12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ind w:left="1020"/>
              <w:spacing w:after="0"/>
              <w:rPr>
                <w:sz w:val="20"/>
                <w:szCs w:val="20"/>
                <w:color w:val="auto"/>
              </w:rPr>
            </w:pPr>
            <w:r>
              <w:rPr>
                <w:rFonts w:ascii="Arial" w:cs="Arial" w:eastAsia="Arial" w:hAnsi="Arial"/>
                <w:sz w:val="18"/>
                <w:szCs w:val="18"/>
                <w:color w:val="auto"/>
              </w:rPr>
              <w:t>–</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Ordinary shares of NIS 0.01 par value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w w:val="94"/>
              </w:rPr>
              <w:t>10,000,000 shares authorized at December 31, 2012 and 2011; 1,379,656 and 1,379,235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w w:val="90"/>
              </w:rPr>
              <w:t>issued shares at December 31, 2012 and 2011, respectively; 1,327,812 and 1,379,235 shares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outstanding at December 31, 2012 and 2011,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7,615</w:t>
            </w:r>
          </w:p>
        </w:tc>
        <w:tc>
          <w:tcPr>
            <w:tcW w:w="1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(8,186)</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Total shareholders’ equity (deficiency)</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1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Total capitalization</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54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outstanding share information above excludes:</w:t>
      </w:r>
    </w:p>
    <w:p>
      <w:pPr>
        <w:spacing w:after="0" w:line="225" w:lineRule="exact"/>
        <w:rPr>
          <w:sz w:val="20"/>
          <w:szCs w:val="20"/>
          <w:color w:val="auto"/>
        </w:rPr>
      </w:pPr>
    </w:p>
    <w:p>
      <w:pPr>
        <w:ind w:left="740" w:hanging="327"/>
        <w:spacing w:after="0"/>
        <w:tabs>
          <w:tab w:leader="none" w:pos="74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130,229 shares issuable upon the exercise of share options outstanding as of December 31, 2012 under our equity incentive plan;</w:t>
      </w:r>
    </w:p>
    <w:p>
      <w:pPr>
        <w:spacing w:after="0" w:line="225" w:lineRule="exact"/>
        <w:rPr>
          <w:rFonts w:ascii="Arial" w:cs="Arial" w:eastAsia="Arial" w:hAnsi="Arial"/>
          <w:sz w:val="18"/>
          <w:szCs w:val="18"/>
          <w:color w:val="A6A6A6"/>
        </w:rPr>
      </w:pPr>
    </w:p>
    <w:p>
      <w:pPr>
        <w:ind w:left="740" w:right="540" w:hanging="327"/>
        <w:spacing w:after="0" w:line="277" w:lineRule="auto"/>
        <w:tabs>
          <w:tab w:leader="none" w:pos="74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10,000 shares issuable upon the exercise of warrants outstanding as of December 31, 2012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740" w:right="160" w:hanging="327"/>
        <w:spacing w:after="0" w:line="277" w:lineRule="auto"/>
        <w:tabs>
          <w:tab w:leader="none" w:pos="74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22,020 shares issuable upon the exercise of warrants outstanding as of December 31, 2012 having a weighted average exercise price of $16.02 per share, which shall expire immediately prior to completion of this offering; and</w:t>
      </w:r>
    </w:p>
    <w:p>
      <w:pPr>
        <w:spacing w:after="0" w:line="170" w:lineRule="exact"/>
        <w:rPr>
          <w:rFonts w:ascii="Arial" w:cs="Arial" w:eastAsia="Arial" w:hAnsi="Arial"/>
          <w:sz w:val="18"/>
          <w:szCs w:val="18"/>
          <w:color w:val="A6A6A6"/>
        </w:rPr>
      </w:pPr>
    </w:p>
    <w:p>
      <w:pPr>
        <w:ind w:left="740" w:hanging="327"/>
        <w:spacing w:after="0"/>
        <w:tabs>
          <w:tab w:leader="none" w:pos="74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1,194 shares reserved as of December 31, 2012 for future grants under our equity incentive plan.</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360" w:firstLine="416"/>
        <w:spacing w:after="0" w:line="264" w:lineRule="auto"/>
        <w:rPr>
          <w:sz w:val="20"/>
          <w:szCs w:val="20"/>
          <w:color w:val="auto"/>
        </w:rPr>
      </w:pPr>
      <w:r>
        <w:rPr>
          <w:rFonts w:ascii="Arial" w:cs="Arial" w:eastAsia="Arial" w:hAnsi="Arial"/>
          <w:sz w:val="18"/>
          <w:szCs w:val="18"/>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81" w:lineRule="exact"/>
        <w:rPr>
          <w:sz w:val="20"/>
          <w:szCs w:val="20"/>
          <w:color w:val="auto"/>
        </w:rPr>
      </w:pPr>
    </w:p>
    <w:p>
      <w:pPr>
        <w:ind w:right="80" w:firstLine="416"/>
        <w:spacing w:after="0" w:line="264" w:lineRule="auto"/>
        <w:rPr>
          <w:sz w:val="20"/>
          <w:szCs w:val="20"/>
          <w:color w:val="auto"/>
        </w:rPr>
      </w:pPr>
      <w:r>
        <w:rPr>
          <w:rFonts w:ascii="Arial" w:cs="Arial" w:eastAsia="Arial" w:hAnsi="Arial"/>
          <w:sz w:val="18"/>
          <w:szCs w:val="18"/>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 or $(0.43) per share.</w:t>
      </w:r>
    </w:p>
    <w:p>
      <w:pPr>
        <w:spacing w:after="0" w:line="181" w:lineRule="exact"/>
        <w:rPr>
          <w:sz w:val="20"/>
          <w:szCs w:val="20"/>
          <w:color w:val="auto"/>
        </w:rPr>
      </w:pPr>
    </w:p>
    <w:p>
      <w:pPr>
        <w:ind w:left="420"/>
        <w:spacing w:after="0"/>
        <w:tabs>
          <w:tab w:leader="none" w:pos="9620" w:val="left"/>
        </w:tabs>
        <w:rPr>
          <w:sz w:val="20"/>
          <w:szCs w:val="20"/>
          <w:color w:val="auto"/>
        </w:rPr>
      </w:pPr>
      <w:r>
        <w:rPr>
          <w:rFonts w:ascii="Arial" w:cs="Arial" w:eastAsia="Arial" w:hAnsi="Arial"/>
          <w:sz w:val="18"/>
          <w:szCs w:val="18"/>
          <w:color w:val="auto"/>
        </w:rPr>
        <w:t>The pro forma as adjusted net tangible book value (deficit) of our ordinary shares as of December 31, 2012 was $_____, or $</w:t>
      </w:r>
      <w:r>
        <w:rPr>
          <w:sz w:val="20"/>
          <w:szCs w:val="20"/>
          <w:color w:val="auto"/>
        </w:rPr>
        <w:tab/>
      </w:r>
      <w:r>
        <w:rPr>
          <w:rFonts w:ascii="Arial" w:cs="Arial" w:eastAsia="Arial" w:hAnsi="Arial"/>
          <w:sz w:val="16"/>
          <w:szCs w:val="16"/>
          <w:color w:val="auto"/>
        </w:rPr>
        <w:t>per share. The pro forma</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adjusted net tangible book value (deficit) gives effect to the sale of ordinary shares in this offering at the initial public offering price of $ per share (the midpoint of the range set forth on the cover page of this prospectus), after deducting underwriting discounts and commissions and estimated offering expenses payable by us. The difference between the initial public offering price and the pro forma as adjusted net tangible book value (deficit) per share represents an immediate dilution of $ per share to new investors purchasing ordinary shares in this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gridSpan w:val="3"/>
          </w:tcPr>
          <w:p>
            <w:pPr>
              <w:ind w:left="46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Assumed initial public offering price per share</w:t>
            </w:r>
          </w:p>
        </w:tc>
        <w:tc>
          <w:tcPr>
            <w:tcW w:w="21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540" w:type="dxa"/>
            <w:vAlign w:val="bottom"/>
            <w:gridSpan w:val="4"/>
            <w:shd w:val="clear" w:color="auto" w:fill="CCFFCC"/>
          </w:tcPr>
          <w:p>
            <w:pPr>
              <w:jc w:val="right"/>
              <w:ind w:right="104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Net tangible book value per share before this offering, as of</w:t>
            </w:r>
          </w:p>
        </w:tc>
        <w:tc>
          <w:tcPr>
            <w:tcW w:w="2100" w:type="dxa"/>
            <w:vAlign w:val="bottom"/>
          </w:tcPr>
          <w:p>
            <w:pPr>
              <w:ind w:left="160"/>
              <w:spacing w:after="0"/>
              <w:rPr>
                <w:sz w:val="20"/>
                <w:szCs w:val="20"/>
                <w:color w:val="auto"/>
              </w:rPr>
            </w:pPr>
            <w:r>
              <w:rPr>
                <w:rFonts w:ascii="Arial" w:cs="Arial" w:eastAsia="Arial" w:hAnsi="Arial"/>
                <w:sz w:val="18"/>
                <w:szCs w:val="18"/>
                <w:color w:val="auto"/>
              </w:rPr>
              <w:t>December 31, 2012</w:t>
            </w:r>
          </w:p>
        </w:tc>
        <w:tc>
          <w:tcPr>
            <w:tcW w:w="1240" w:type="dxa"/>
            <w:vAlign w:val="bottom"/>
          </w:tcPr>
          <w:p>
            <w:pPr>
              <w:spacing w:after="0"/>
              <w:rPr>
                <w:sz w:val="18"/>
                <w:szCs w:val="18"/>
                <w:color w:val="auto"/>
              </w:rPr>
            </w:pPr>
          </w:p>
        </w:tc>
        <w:tc>
          <w:tcPr>
            <w:tcW w:w="1220" w:type="dxa"/>
            <w:vAlign w:val="bottom"/>
            <w:gridSpan w:val="2"/>
          </w:tcPr>
          <w:p>
            <w:pPr>
              <w:jc w:val="right"/>
              <w:ind w:right="10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7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124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1200" w:type="dxa"/>
            <w:vAlign w:val="bottom"/>
            <w:tcBorders>
              <w:bottom w:val="single" w:sz="8" w:color="auto"/>
            </w:tcBorders>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0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Pro forma net tangible book value per share after offering</w:t>
            </w:r>
          </w:p>
        </w:tc>
        <w:tc>
          <w:tcPr>
            <w:tcW w:w="2100" w:type="dxa"/>
            <w:vAlign w:val="bottom"/>
            <w:tcBorders>
              <w:bottom w:val="single" w:sz="8" w:color="CCFFCC"/>
            </w:tcBorders>
          </w:tcPr>
          <w:p>
            <w:pPr>
              <w:spacing w:after="0"/>
              <w:rPr>
                <w:sz w:val="18"/>
                <w:szCs w:val="18"/>
                <w:color w:val="auto"/>
              </w:rPr>
            </w:pPr>
          </w:p>
        </w:tc>
        <w:tc>
          <w:tcPr>
            <w:tcW w:w="124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4"/>
              </w:rPr>
              <w:t>Dilution in pro forma tangible book value per share to new investors</w:t>
            </w:r>
          </w:p>
        </w:tc>
        <w:tc>
          <w:tcPr>
            <w:tcW w:w="210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spacing w:after="0"/>
              <w:rPr>
                <w:sz w:val="19"/>
                <w:szCs w:val="19"/>
                <w:color w:val="auto"/>
              </w:rPr>
            </w:pPr>
          </w:p>
        </w:tc>
        <w:tc>
          <w:tcPr>
            <w:tcW w:w="2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ind w:right="1045"/>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
        </w:trPr>
        <w:tc>
          <w:tcPr>
            <w:tcW w:w="89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8"/>
          </w:tcPr>
          <w:p>
            <w:pPr>
              <w:ind w:left="420"/>
              <w:spacing w:after="0"/>
              <w:rPr>
                <w:sz w:val="20"/>
                <w:szCs w:val="20"/>
                <w:color w:val="auto"/>
              </w:rPr>
            </w:pPr>
            <w:r>
              <w:rPr>
                <w:rFonts w:ascii="Arial" w:cs="Arial" w:eastAsia="Arial" w:hAnsi="Arial"/>
                <w:sz w:val="18"/>
                <w:szCs w:val="18"/>
                <w:color w:val="auto"/>
                <w:w w:val="94"/>
              </w:rPr>
              <w:t>If the underwriters’ over-allotment option to purchase additional shares from us is exercised in full, and based on the initial public offering price of $</w:t>
            </w:r>
          </w:p>
        </w:tc>
        <w:tc>
          <w:tcPr>
            <w:tcW w:w="0" w:type="dxa"/>
            <w:vAlign w:val="bottom"/>
          </w:tcPr>
          <w:p>
            <w:pPr>
              <w:spacing w:after="0"/>
              <w:rPr>
                <w:sz w:val="1"/>
                <w:szCs w:val="1"/>
                <w:color w:val="auto"/>
              </w:rPr>
            </w:pPr>
          </w:p>
        </w:tc>
      </w:tr>
      <w:tr>
        <w:trPr>
          <w:trHeight w:val="216"/>
        </w:trPr>
        <w:tc>
          <w:tcPr>
            <w:tcW w:w="8880" w:type="dxa"/>
            <w:vAlign w:val="bottom"/>
            <w:gridSpan w:val="4"/>
          </w:tcPr>
          <w:p>
            <w:pPr>
              <w:spacing w:after="0"/>
              <w:rPr>
                <w:sz w:val="20"/>
                <w:szCs w:val="20"/>
                <w:color w:val="auto"/>
              </w:rPr>
            </w:pPr>
            <w:r>
              <w:rPr>
                <w:rFonts w:ascii="Arial" w:cs="Arial" w:eastAsia="Arial" w:hAnsi="Arial"/>
                <w:sz w:val="18"/>
                <w:szCs w:val="18"/>
                <w:color w:val="auto"/>
                <w:w w:val="91"/>
              </w:rPr>
              <w:t>per share, the pro forma as adjusted net tangible book value (deficit) per share after this offering would be approximately $</w:t>
            </w:r>
          </w:p>
        </w:tc>
        <w:tc>
          <w:tcPr>
            <w:tcW w:w="2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w w:val="94"/>
              </w:rPr>
              <w:t>per share, the increase in the pro</w:t>
            </w: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8"/>
                <w:szCs w:val="18"/>
                <w:color w:val="auto"/>
                <w:w w:val="92"/>
              </w:rPr>
              <w:t>forma net tangible book value (deficit) per share attributable to new investors would be approximately $</w:t>
            </w:r>
          </w:p>
        </w:tc>
        <w:tc>
          <w:tcPr>
            <w:tcW w:w="3780" w:type="dxa"/>
            <w:vAlign w:val="bottom"/>
            <w:gridSpan w:val="5"/>
          </w:tcPr>
          <w:p>
            <w:pPr>
              <w:jc w:val="right"/>
              <w:ind w:right="505"/>
              <w:spacing w:after="0"/>
              <w:rPr>
                <w:sz w:val="20"/>
                <w:szCs w:val="20"/>
                <w:color w:val="auto"/>
              </w:rPr>
            </w:pPr>
            <w:r>
              <w:rPr>
                <w:rFonts w:ascii="Arial" w:cs="Arial" w:eastAsia="Arial" w:hAnsi="Arial"/>
                <w:sz w:val="18"/>
                <w:szCs w:val="18"/>
                <w:color w:val="auto"/>
                <w:w w:val="94"/>
              </w:rPr>
              <w:t>per share and the dilution to new investors</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w w:val="96"/>
              </w:rPr>
              <w:t>purchasing shares in this offering would be approximately $   per share.</w:t>
            </w:r>
          </w:p>
        </w:tc>
        <w:tc>
          <w:tcPr>
            <w:tcW w:w="2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 per share, before deducting underwriting discounts and commissions and estimated offering expenses payable by us.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8"/>
        </w:trPr>
        <w:tc>
          <w:tcPr>
            <w:tcW w:w="37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200" w:type="dxa"/>
            <w:vAlign w:val="bottom"/>
            <w:gridSpan w:val="4"/>
          </w:tcPr>
          <w:p>
            <w:pPr>
              <w:ind w:left="520"/>
              <w:spacing w:after="0"/>
              <w:rPr>
                <w:sz w:val="20"/>
                <w:szCs w:val="20"/>
                <w:color w:val="auto"/>
              </w:rPr>
            </w:pPr>
            <w:r>
              <w:rPr>
                <w:rFonts w:ascii="Arial" w:cs="Arial" w:eastAsia="Arial" w:hAnsi="Arial"/>
                <w:sz w:val="18"/>
                <w:szCs w:val="18"/>
                <w:b w:val="1"/>
                <w:bCs w:val="1"/>
                <w:color w:val="auto"/>
              </w:rPr>
              <w:t>Shares Purchased</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5"/>
          </w:tcPr>
          <w:p>
            <w:pPr>
              <w:ind w:left="60"/>
              <w:spacing w:after="0"/>
              <w:rPr>
                <w:sz w:val="20"/>
                <w:szCs w:val="20"/>
                <w:color w:val="auto"/>
              </w:rPr>
            </w:pPr>
            <w:r>
              <w:rPr>
                <w:rFonts w:ascii="Arial" w:cs="Arial" w:eastAsia="Arial" w:hAnsi="Arial"/>
                <w:sz w:val="18"/>
                <w:szCs w:val="18"/>
                <w:b w:val="1"/>
                <w:bCs w:val="1"/>
                <w:color w:val="auto"/>
              </w:rPr>
              <w:t>Consideration</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6"/>
              </w:rPr>
              <w:t>Per</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b w:val="1"/>
                <w:bCs w:val="1"/>
                <w:color w:val="auto"/>
                <w:w w:val="90"/>
              </w:rPr>
              <w:t>Percent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rPr>
              <w:t>Amount Percent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Existing shareholders</w:t>
            </w:r>
          </w:p>
        </w:tc>
        <w:tc>
          <w:tcPr>
            <w:tcW w:w="22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___</w:t>
            </w:r>
          </w:p>
        </w:tc>
        <w:tc>
          <w:tcPr>
            <w:tcW w:w="2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___</w:t>
            </w:r>
          </w:p>
        </w:tc>
        <w:tc>
          <w:tcPr>
            <w:tcW w:w="2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___</w:t>
            </w:r>
          </w:p>
        </w:tc>
        <w:tc>
          <w:tcPr>
            <w:tcW w:w="220" w:type="dxa"/>
            <w:vAlign w:val="bottom"/>
            <w:tcBorders>
              <w:top w:val="single" w:sz="8" w:color="auto"/>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___</w:t>
            </w:r>
          </w:p>
        </w:tc>
        <w:tc>
          <w:tcPr>
            <w:tcW w:w="220" w:type="dxa"/>
            <w:vAlign w:val="bottom"/>
            <w:tcBorders>
              <w:top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FFCC"/>
          </w:tcPr>
          <w:p>
            <w:pPr>
              <w:jc w:val="right"/>
              <w:ind w:right="495"/>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New investors</w:t>
            </w:r>
          </w:p>
        </w:tc>
        <w:tc>
          <w:tcPr>
            <w:tcW w:w="2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000000"/>
          </w:tcPr>
          <w:p>
            <w:pPr>
              <w:spacing w:after="0" w:line="20" w:lineRule="exact"/>
              <w:rPr>
                <w:sz w:val="1"/>
                <w:szCs w:val="1"/>
                <w:color w:val="auto"/>
              </w:rPr>
            </w:pPr>
          </w:p>
        </w:tc>
        <w:tc>
          <w:tcPr>
            <w:tcW w:w="480" w:type="dxa"/>
            <w:vAlign w:val="bottom"/>
            <w:tcBorders>
              <w:right w:val="single" w:sz="8" w:color="CCFFCC"/>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vMerge w:val="restart"/>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vMerge w:val="continue"/>
            <w:shd w:val="clear" w:color="auto" w:fill="CCFFCC"/>
          </w:tcPr>
          <w:p>
            <w:pPr>
              <w:spacing w:after="0"/>
              <w:rPr>
                <w:sz w:val="20"/>
                <w:szCs w:val="20"/>
                <w:color w:val="auto"/>
              </w:rPr>
            </w:pPr>
          </w:p>
        </w:tc>
        <w:tc>
          <w:tcPr>
            <w:tcW w:w="3260" w:type="dxa"/>
            <w:vAlign w:val="bottom"/>
            <w:gridSpan w:val="2"/>
            <w:shd w:val="clear" w:color="auto" w:fill="CCFFCC"/>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100</w:t>
            </w:r>
          </w:p>
        </w:tc>
        <w:tc>
          <w:tcPr>
            <w:tcW w:w="220" w:type="dxa"/>
            <w:vAlign w:val="bottom"/>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right w:val="single" w:sz="8" w:color="CCFFCC"/>
            </w:tcBorders>
            <w:vMerge w:val="continue"/>
            <w:shd w:val="clear" w:color="auto" w:fill="CCFFCC"/>
          </w:tcPr>
          <w:p>
            <w:pPr>
              <w:spacing w:after="0"/>
              <w:rPr>
                <w:sz w:val="20"/>
                <w:szCs w:val="20"/>
                <w:color w:val="auto"/>
              </w:rPr>
            </w:pPr>
          </w:p>
        </w:tc>
        <w:tc>
          <w:tcPr>
            <w:tcW w:w="660" w:type="dxa"/>
            <w:vAlign w:val="bottom"/>
            <w:shd w:val="clear" w:color="auto" w:fill="CCFFCC"/>
          </w:tcPr>
          <w:p>
            <w:pPr>
              <w:jc w:val="right"/>
              <w:ind w:right="495"/>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CFFCC"/>
            </w:tcBorders>
          </w:tcPr>
          <w:p>
            <w:pPr>
              <w:spacing w:after="0" w:line="20" w:lineRule="exact"/>
              <w:rPr>
                <w:sz w:val="1"/>
                <w:szCs w:val="1"/>
                <w:color w:val="auto"/>
              </w:rPr>
            </w:pPr>
          </w:p>
        </w:tc>
        <w:tc>
          <w:tcPr>
            <w:tcW w:w="222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firstLine="416"/>
        <w:spacing w:after="0" w:line="277" w:lineRule="auto"/>
        <w:rPr>
          <w:sz w:val="20"/>
          <w:szCs w:val="20"/>
          <w:color w:val="auto"/>
        </w:rPr>
      </w:pPr>
      <w:r>
        <w:rPr>
          <w:rFonts w:ascii="Arial" w:cs="Arial" w:eastAsia="Arial" w:hAnsi="Arial"/>
          <w:sz w:val="18"/>
          <w:szCs w:val="18"/>
          <w:color w:val="auto"/>
        </w:rPr>
        <w:t>The number of ordinary shares outstanding immediately after this offering is based on 1,327,812 ordinary shares outstanding as of December 31, 2012 and giving effect to the pro forma transactions described above. This number excludes:</w:t>
      </w:r>
    </w:p>
    <w:p>
      <w:pPr>
        <w:spacing w:after="0" w:line="170" w:lineRule="exact"/>
        <w:rPr>
          <w:sz w:val="20"/>
          <w:szCs w:val="20"/>
          <w:color w:val="auto"/>
        </w:rPr>
      </w:pPr>
    </w:p>
    <w:p>
      <w:pPr>
        <w:ind w:left="1060" w:hanging="323"/>
        <w:spacing w:after="0"/>
        <w:tabs>
          <w:tab w:leader="none" w:pos="106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130,229 shares issuable upon the exercise of share options outstanding as of December 31, 2012 under our equity incentive plan;</w:t>
      </w:r>
    </w:p>
    <w:p>
      <w:pPr>
        <w:spacing w:after="0" w:line="225" w:lineRule="exact"/>
        <w:rPr>
          <w:rFonts w:ascii="Arial" w:cs="Arial" w:eastAsia="Arial" w:hAnsi="Arial"/>
          <w:sz w:val="18"/>
          <w:szCs w:val="18"/>
          <w:color w:val="A6A6A6"/>
        </w:rPr>
      </w:pPr>
    </w:p>
    <w:p>
      <w:pPr>
        <w:ind w:left="1060" w:right="220" w:hanging="323"/>
        <w:spacing w:after="0" w:line="277" w:lineRule="auto"/>
        <w:tabs>
          <w:tab w:leader="none" w:pos="106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10,000 shares issuable upon the exercise of warrants outstanding as of December 31, 2012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1060" w:right="100" w:hanging="323"/>
        <w:spacing w:after="0" w:line="277" w:lineRule="auto"/>
        <w:tabs>
          <w:tab w:leader="none" w:pos="106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22,020 shares issuable upon the exercise of warrants outstanding as of December 31, 2012 having a weighted average exercise price of $16.02 per share, which shall expire immediately prior to completion of this offering; and</w:t>
      </w:r>
    </w:p>
    <w:p>
      <w:pPr>
        <w:spacing w:after="0" w:line="170" w:lineRule="exact"/>
        <w:rPr>
          <w:rFonts w:ascii="Arial" w:cs="Arial" w:eastAsia="Arial" w:hAnsi="Arial"/>
          <w:sz w:val="18"/>
          <w:szCs w:val="18"/>
          <w:color w:val="A6A6A6"/>
        </w:rPr>
      </w:pPr>
    </w:p>
    <w:p>
      <w:pPr>
        <w:ind w:left="1060" w:hanging="323"/>
        <w:spacing w:after="0"/>
        <w:tabs>
          <w:tab w:leader="none" w:pos="106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1,194 shares reserved as of December 31, 2012 for future grants under our equity incentive plan.</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To the extent that new options are granted under our equity benefit plans, there will be further dilution to investors purchasing ordinary shares in this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60" w:firstLine="396"/>
        <w:spacing w:after="0" w:line="257"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of U.S. dollars,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of U.S. dollars,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8"/>
        </w:trPr>
        <w:tc>
          <w:tcPr>
            <w:tcW w:w="2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gridSpan w:val="2"/>
            <w:vMerge w:val="continue"/>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3"/>
              </w:rPr>
              <w:t>Research and development expenses</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818</w:t>
            </w:r>
          </w:p>
        </w:tc>
        <w:tc>
          <w:tcPr>
            <w:tcW w:w="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4"/>
              </w:rPr>
              <w:t>General and administrative expenses</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Financial expense, net</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Deemed dividend</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2"/>
              </w:rPr>
              <w:t>Loss attributable to holders of ordinary</w:t>
            </w:r>
          </w:p>
        </w:tc>
        <w:tc>
          <w:tcPr>
            <w:tcW w:w="36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shares</w:t>
            </w:r>
          </w:p>
        </w:tc>
        <w:tc>
          <w:tcPr>
            <w:tcW w:w="5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1,579</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gridSpan w:val="2"/>
          </w:tcPr>
          <w:p>
            <w:pPr>
              <w:spacing w:after="0"/>
              <w:rPr>
                <w:sz w:val="18"/>
                <w:szCs w:val="18"/>
                <w:color w:val="auto"/>
              </w:rPr>
            </w:pPr>
          </w:p>
        </w:tc>
        <w:tc>
          <w:tcPr>
            <w:tcW w:w="234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6"/>
            <w:shd w:val="clear" w:color="auto" w:fill="CCFFCC"/>
          </w:tcPr>
          <w:p>
            <w:pPr>
              <w:spacing w:after="0"/>
              <w:rPr>
                <w:sz w:val="20"/>
                <w:szCs w:val="20"/>
                <w:color w:val="auto"/>
              </w:rPr>
            </w:pPr>
            <w:r>
              <w:rPr>
                <w:rFonts w:ascii="Arial" w:cs="Arial" w:eastAsia="Arial" w:hAnsi="Arial"/>
                <w:sz w:val="18"/>
                <w:szCs w:val="18"/>
                <w:color w:val="auto"/>
                <w:w w:val="96"/>
              </w:rPr>
              <w:t>Weighted average number of ordinary shares used in computing basic and diluted net loss per share</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1,327,416</w:t>
            </w: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1,336,182</w:t>
            </w:r>
          </w:p>
        </w:tc>
        <w:tc>
          <w:tcPr>
            <w:tcW w:w="100" w:type="dxa"/>
            <w:vAlign w:val="bottom"/>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8"/>
          </w:tcPr>
          <w:p>
            <w:pPr>
              <w:ind w:left="20"/>
              <w:spacing w:after="0"/>
              <w:rPr>
                <w:sz w:val="20"/>
                <w:szCs w:val="20"/>
                <w:color w:val="auto"/>
              </w:rPr>
            </w:pPr>
            <w:r>
              <w:rPr>
                <w:rFonts w:ascii="Arial" w:cs="Arial" w:eastAsia="Arial" w:hAnsi="Arial"/>
                <w:sz w:val="18"/>
                <w:szCs w:val="18"/>
                <w:b w:val="1"/>
                <w:bCs w:val="1"/>
                <w:color w:val="auto"/>
              </w:rPr>
              <w:t>Year Ended 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Pro forma</w:t>
            </w:r>
          </w:p>
        </w:tc>
        <w:tc>
          <w:tcPr>
            <w:tcW w:w="38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720"/>
              <w:spacing w:after="0" w:line="191"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rPr>
              <w:t>(unaudited)</w:t>
            </w:r>
          </w:p>
        </w:tc>
        <w:tc>
          <w:tcPr>
            <w:tcW w:w="380" w:type="dxa"/>
            <w:vAlign w:val="bottom"/>
          </w:tcPr>
          <w:p>
            <w:pPr>
              <w:spacing w:after="0"/>
              <w:rPr>
                <w:sz w:val="18"/>
                <w:szCs w:val="18"/>
                <w:color w:val="auto"/>
              </w:rPr>
            </w:pPr>
          </w:p>
        </w:tc>
        <w:tc>
          <w:tcPr>
            <w:tcW w:w="2120" w:type="dxa"/>
            <w:vAlign w:val="bottom"/>
            <w:gridSpan w:val="4"/>
          </w:tcPr>
          <w:p>
            <w:pPr>
              <w:ind w:left="72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Pr>
          <w:p>
            <w:pPr>
              <w:ind w:left="600"/>
              <w:spacing w:after="0"/>
              <w:rPr>
                <w:sz w:val="20"/>
                <w:szCs w:val="20"/>
                <w:color w:val="auto"/>
              </w:rPr>
            </w:pPr>
            <w:r>
              <w:rPr>
                <w:rFonts w:ascii="Arial" w:cs="Arial" w:eastAsia="Arial" w:hAnsi="Arial"/>
                <w:sz w:val="18"/>
                <w:szCs w:val="18"/>
                <w:b w:val="1"/>
                <w:bCs w:val="1"/>
                <w:color w:val="auto"/>
              </w:rPr>
              <w:t>Actual</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20"/>
                <w:szCs w:val="20"/>
                <w:color w:val="auto"/>
              </w:rPr>
            </w:pPr>
          </w:p>
        </w:tc>
        <w:tc>
          <w:tcPr>
            <w:tcW w:w="2120" w:type="dxa"/>
            <w:vAlign w:val="bottom"/>
            <w:gridSpan w:val="4"/>
          </w:tcPr>
          <w:p>
            <w:pPr>
              <w:ind w:left="7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500" w:type="dxa"/>
            <w:vAlign w:val="bottom"/>
            <w:gridSpan w:val="3"/>
          </w:tcPr>
          <w:p>
            <w:pPr>
              <w:ind w:left="1680"/>
              <w:spacing w:after="0"/>
              <w:rPr>
                <w:sz w:val="20"/>
                <w:szCs w:val="20"/>
                <w:color w:val="auto"/>
              </w:rPr>
            </w:pPr>
            <w:r>
              <w:rPr>
                <w:rFonts w:ascii="Arial" w:cs="Arial" w:eastAsia="Arial" w:hAnsi="Arial"/>
                <w:sz w:val="18"/>
                <w:szCs w:val="18"/>
                <w:b w:val="1"/>
                <w:bCs w:val="1"/>
                <w:color w:val="auto"/>
              </w:rPr>
              <w:t>Balance Sheet Data:</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2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w:t>
            </w: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Gives effect to the mandatory conversion of our outstanding Convertible Notes on the closing of this offering.</w:t>
      </w:r>
    </w:p>
    <w:p>
      <w:pPr>
        <w:spacing w:after="0" w:line="23" w:lineRule="exact"/>
        <w:rPr>
          <w:sz w:val="20"/>
          <w:szCs w:val="20"/>
          <w:color w:val="auto"/>
        </w:rPr>
      </w:pPr>
    </w:p>
    <w:p>
      <w:pPr>
        <w:ind w:right="600" w:firstLine="405"/>
        <w:spacing w:after="0" w:line="290" w:lineRule="auto"/>
        <w:rPr>
          <w:sz w:val="20"/>
          <w:szCs w:val="20"/>
          <w:color w:val="auto"/>
        </w:rPr>
      </w:pPr>
      <w:r>
        <w:rPr>
          <w:rFonts w:ascii="Arial" w:cs="Arial" w:eastAsia="Arial" w:hAnsi="Arial"/>
          <w:sz w:val="17"/>
          <w:szCs w:val="17"/>
          <w:color w:val="auto"/>
        </w:rPr>
        <w:t>(2) Gives effect to the sale of ordinary shares in this offering at the initial public offering price of $ per share, after deducting underwriting discounts and commissions and estimated offering expenses payable by us, as if the sale had occurred on December 31, 2012.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We plan to initiate discussions with the FDA within six months, and if these discussions are successful, we plan to conduct advanced clinical trials in order to obtain marketing approval for MG01CI for adults in these regions, followed by clinical trials in order to obtain marketing approval for pediatrics in these regions. If these discussions are not successful, we will have to re-design and conduct additional preliminary trials.</w:t>
      </w:r>
    </w:p>
    <w:p>
      <w:pPr>
        <w:spacing w:after="0" w:line="166"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70"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Our financing activities are described below under “Liquidity and Capital Resources.” We will need to raise substantial additional funds to achieve our long-term strategic objectives, including at least two Phase III clinical trials. If the results of our Phase III trials are successful, we plan to submit an NDA to the FDA. Obtaining approval of an NDA is an extensive, lengthy, expensive and uncertain process, and the FDA (and other regulatory agencies) may delay, limit or deny approval of MG01CI.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current operating expenses consist of two components— research and development expenses, and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Our research and development expenses consist primarily of payments to third party clinical consultants, expenses related to conducting clinical trials, salaries and related personnel expenses, travel expenses, and share-based compensation expenses to research and development employees.</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expect that our research and development expenses will increase as we conduct at least two Phase III clinical trials that are broader than our Phase II trial prior to submitting an NDA to the FDA. The Company plans to conduct two Phase III trials in adults with ADHD, each including 250 patients, in 2014, as well as a Phase I/II pediatric study in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our general and administrative expenses to increase after we become a U.S. public company, such as accounting and legal fees, and expected increases in the number of our executive, accounting and administrative personnel due to the expected growth of our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Expense and Income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Financial expense and income consist of bank fees and other transactional costs, exchange rate differences, financial expenses related to our outstanding convertible notes and interest earned on our cash, cash equivalents and short-bank deposits.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 our financial statements in accordance with accounting principles generally accepted in the United States ("U.S. GAAP").</w:t>
      </w:r>
    </w:p>
    <w:p>
      <w:pPr>
        <w:spacing w:after="0" w:line="22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15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Fair Value of Ordinary Shares</w:t>
      </w:r>
    </w:p>
    <w:p>
      <w:pPr>
        <w:spacing w:after="0" w:line="225" w:lineRule="exact"/>
        <w:rPr>
          <w:sz w:val="20"/>
          <w:szCs w:val="20"/>
          <w:color w:val="auto"/>
        </w:rPr>
      </w:pPr>
    </w:p>
    <w:p>
      <w:pPr>
        <w:ind w:right="140" w:firstLine="389"/>
        <w:spacing w:after="0" w:line="259"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87" w:lineRule="exact"/>
        <w:rPr>
          <w:sz w:val="20"/>
          <w:szCs w:val="20"/>
          <w:color w:val="auto"/>
        </w:rPr>
      </w:pPr>
    </w:p>
    <w:p>
      <w:pPr>
        <w:ind w:right="60" w:firstLine="389"/>
        <w:spacing w:after="0" w:line="277" w:lineRule="auto"/>
        <w:rPr>
          <w:sz w:val="20"/>
          <w:szCs w:val="20"/>
          <w:color w:val="auto"/>
        </w:rPr>
      </w:pPr>
      <w:r>
        <w:rPr>
          <w:rFonts w:ascii="Arial" w:cs="Arial" w:eastAsia="Arial" w:hAnsi="Arial"/>
          <w:sz w:val="18"/>
          <w:szCs w:val="18"/>
          <w:color w:val="auto"/>
        </w:rPr>
        <w:t>We selected the Black-Scholes-Merton ("Black-Scholes") option-pricing model as a fair value method for our options awards. The option-pricing model requires a number of assumptions: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The expected dividend yield assumption is based on our historical experience and expectation of no future dividend payouts.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historically not paid cash dividends and have no foreseeable plans to pay cash dividends in the future.</w:t>
      </w:r>
    </w:p>
    <w:p>
      <w:pPr>
        <w:spacing w:after="0" w:line="211" w:lineRule="exact"/>
        <w:rPr>
          <w:sz w:val="20"/>
          <w:szCs w:val="20"/>
          <w:color w:val="auto"/>
        </w:rPr>
      </w:pPr>
    </w:p>
    <w:p>
      <w:pPr>
        <w:ind w:left="640" w:right="200"/>
        <w:spacing w:after="0" w:line="308" w:lineRule="auto"/>
        <w:rPr>
          <w:sz w:val="20"/>
          <w:szCs w:val="20"/>
          <w:color w:val="auto"/>
        </w:rPr>
      </w:pPr>
      <w:r>
        <w:rPr>
          <w:rFonts w:ascii="Arial" w:cs="Arial" w:eastAsia="Arial" w:hAnsi="Arial"/>
          <w:sz w:val="17"/>
          <w:szCs w:val="17"/>
          <w:i w:val="1"/>
          <w:iCs w:val="1"/>
          <w:color w:val="auto"/>
        </w:rPr>
        <w:t xml:space="preserve">Volatility - </w:t>
      </w:r>
      <w:r>
        <w:rPr>
          <w:rFonts w:ascii="Arial" w:cs="Arial" w:eastAsia="Arial" w:hAnsi="Arial"/>
          <w:sz w:val="17"/>
          <w:szCs w:val="17"/>
          <w:color w:val="auto"/>
        </w:rPr>
        <w:t>Since the Company is not traded on any stock exchange market, quoted prices of our shares are unavailable. According to ASC 718-10-30-20, in case of no historical data for a company, the expected volatility was based on similar companies' stock volatility.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 free interest rate is based on the yield of U.S. Treasury bonds with equivalent terms.</w:t>
      </w:r>
    </w:p>
    <w:p>
      <w:pPr>
        <w:spacing w:after="0" w:line="225"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ind w:left="640"/>
        <w:spacing w:after="0" w:line="277" w:lineRule="auto"/>
        <w:rPr>
          <w:sz w:val="20"/>
          <w:szCs w:val="20"/>
          <w:color w:val="auto"/>
        </w:rPr>
      </w:pPr>
      <w:r>
        <w:rPr>
          <w:rFonts w:ascii="Arial" w:cs="Arial" w:eastAsia="Arial" w:hAnsi="Arial"/>
          <w:sz w:val="18"/>
          <w:szCs w:val="18"/>
          <w:i w:val="1"/>
          <w:iCs w:val="1"/>
          <w:color w:val="auto"/>
        </w:rPr>
        <w:t xml:space="preserve">Share price </w:t>
      </w:r>
      <w:r>
        <w:rPr>
          <w:rFonts w:ascii="Arial" w:cs="Arial" w:eastAsia="Arial" w:hAnsi="Arial"/>
          <w:sz w:val="18"/>
          <w:szCs w:val="18"/>
          <w:color w:val="auto"/>
        </w:rPr>
        <w:t>- Because there has been no public market for our ordinary shares, the fair value of the ordinary shares underlying the options had been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Company's management, using the assistance of an independent valuation firm.</w:t>
      </w:r>
    </w:p>
    <w:p>
      <w:pPr>
        <w:spacing w:after="0" w:line="170" w:lineRule="exact"/>
        <w:rPr>
          <w:sz w:val="20"/>
          <w:szCs w:val="20"/>
          <w:color w:val="auto"/>
        </w:rPr>
      </w:pPr>
    </w:p>
    <w:p>
      <w:pPr>
        <w:jc w:val="both"/>
        <w:ind w:left="640"/>
        <w:spacing w:after="0" w:line="297"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the Company shares in order to evaluate the Company's present value of the total shareholders' equity.</w:t>
      </w:r>
    </w:p>
    <w:p>
      <w:pPr>
        <w:spacing w:after="0" w:line="158" w:lineRule="exact"/>
        <w:rPr>
          <w:sz w:val="20"/>
          <w:szCs w:val="20"/>
          <w:color w:val="auto"/>
        </w:rPr>
      </w:pPr>
    </w:p>
    <w:p>
      <w:pPr>
        <w:ind w:left="640" w:right="140"/>
        <w:spacing w:after="0" w:line="276" w:lineRule="auto"/>
        <w:rPr>
          <w:sz w:val="20"/>
          <w:szCs w:val="20"/>
          <w:color w:val="auto"/>
        </w:rPr>
      </w:pPr>
      <w:r>
        <w:rPr>
          <w:rFonts w:ascii="Arial" w:cs="Arial" w:eastAsia="Arial" w:hAnsi="Arial"/>
          <w:sz w:val="17"/>
          <w:szCs w:val="17"/>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860"/>
              <w:spacing w:after="0"/>
              <w:rPr>
                <w:sz w:val="20"/>
                <w:szCs w:val="20"/>
                <w:color w:val="auto"/>
              </w:rPr>
            </w:pPr>
            <w:r>
              <w:rPr>
                <w:rFonts w:ascii="Arial" w:cs="Arial" w:eastAsia="Arial" w:hAnsi="Arial"/>
                <w:sz w:val="18"/>
                <w:szCs w:val="18"/>
                <w:b w:val="1"/>
                <w:bCs w:val="1"/>
                <w:color w:val="auto"/>
              </w:rPr>
              <w:t>Results of Operations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December 31, 2012</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(in thousands US$)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818</w:t>
            </w:r>
          </w:p>
        </w:tc>
        <w:tc>
          <w:tcPr>
            <w:tcW w:w="98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2,084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1,501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3,906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8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1,579</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840" w:type="dxa"/>
            <w:vAlign w:val="bottom"/>
            <w:tcBorders>
              <w:bottom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1,579</w:t>
            </w: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4,109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 Ended December 31, 2012 to the Year Ended December 31, 2011</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research and development expenses amounted to $818,000 for the year ended December 31, 2012, representing a decrease of $1,004,000, or 55%, compared to $1,822,000 for the year ended December 31, 2011. The decrease in our research and development expenses in 2012 resulted partially from a decrease in available funds, but primarily from a decrease in research and development activity that took place once our clinical trials were completed. Following clinical trial completion, research and development is limited to clinical study report writing, regulatory preparation and document collection, and study data presentations. Payroll related expenses decreased $105,000, reflecting a decrease in the number of employees engaged in research and development related activities from four to one, and third party clinical consultants and expenses related to conducting clinical trials decreased $801,000 due to a decrease in our clinical trials.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$113,000 in professional services and an additional increase of $52,000 in travel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the foregoing, our operating loss for the year ended December 31, 2012 was $1,501,000, as compared to an operating loss of $3,906,000 for the year ended December 31, 2011, an decrease of $2,405,000, or 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recognized financial expenses of $78,000 for the year ended December 31, 2012, representing an increase of $55,000, or 239%, compared to financial expenses of $23,000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2603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25" w:lineRule="exact"/>
        <w:rPr>
          <w:sz w:val="20"/>
          <w:szCs w:val="20"/>
          <w:color w:val="auto"/>
        </w:rPr>
      </w:pPr>
    </w:p>
    <w:p>
      <w:pPr>
        <w:jc w:val="both"/>
        <w:ind w:firstLine="694"/>
        <w:spacing w:after="0" w:line="277" w:lineRule="auto"/>
        <w:rPr>
          <w:sz w:val="20"/>
          <w:szCs w:val="20"/>
          <w:color w:val="auto"/>
        </w:rPr>
      </w:pPr>
      <w:r>
        <w:rPr>
          <w:rFonts w:ascii="Arial" w:cs="Arial" w:eastAsia="Arial" w:hAnsi="Arial"/>
          <w:sz w:val="18"/>
          <w:szCs w:val="18"/>
          <w:color w:val="auto"/>
        </w:rPr>
        <w:t>As a result of the foregoing, our loss for the year ended December 31, 2012 was $1,579,000, as compared to $3,929,000 for the year ended December 31, 2011, a decrease of $2,350,000, or 62%.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Years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 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(1,585)</w:t>
            </w:r>
          </w:p>
        </w:tc>
        <w:tc>
          <w:tcPr>
            <w:tcW w:w="5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1,026</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601</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in the year ended December 31, 2011 consisted of $2.1 million of net proceeds from issuance of ordinary shares, and $0.5 million proceeds from loan. Net cash provided by financing activities in the year ended December 31, 2012 consisted of $0.6 million of net proceeds from convertible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March 31, 2013. Even if we are able to raise funds in the offering contemplated herein, we believe that we will need to raise additional funds before we have any cash flow from operations.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our existing cash resources and the net proceeds from the current offering will be sufficient to fund our projected cash requirements approximately through the conclusion of 2014.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$6 million for clinical trial activities over the course of the next 18 months. We also anticipate utilizing approximately between $1 million to $3 million for capital expenditures over such 18-month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980" w:hanging="324"/>
        <w:spacing w:after="0"/>
        <w:tabs>
          <w:tab w:leader="none" w:pos="98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the progress and costs of our preclinical studies, clinical trials and other research and development activities;</w:t>
      </w:r>
    </w:p>
    <w:p>
      <w:pPr>
        <w:spacing w:after="0" w:line="23" w:lineRule="exact"/>
        <w:rPr>
          <w:rFonts w:ascii="Arial" w:cs="Arial" w:eastAsia="Arial" w:hAnsi="Arial"/>
          <w:sz w:val="18"/>
          <w:szCs w:val="18"/>
          <w:color w:val="A6A6A6"/>
        </w:rPr>
      </w:pPr>
    </w:p>
    <w:p>
      <w:pPr>
        <w:ind w:left="980" w:hanging="324"/>
        <w:spacing w:after="0"/>
        <w:tabs>
          <w:tab w:leader="none" w:pos="98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the scope, prioritization and number of our clinical trials and other research and development programs;</w:t>
      </w:r>
    </w:p>
    <w:p>
      <w:pPr>
        <w:spacing w:after="0" w:line="9" w:lineRule="exact"/>
        <w:rPr>
          <w:rFonts w:ascii="Arial" w:cs="Arial" w:eastAsia="Arial" w:hAnsi="Arial"/>
          <w:sz w:val="18"/>
          <w:szCs w:val="18"/>
          <w:color w:val="A6A6A6"/>
        </w:rPr>
      </w:pPr>
    </w:p>
    <w:p>
      <w:pPr>
        <w:ind w:left="980" w:hanging="324"/>
        <w:spacing w:after="0"/>
        <w:tabs>
          <w:tab w:leader="none" w:pos="98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the costs and timing of obtaining regulatory approval for our drug candidate;</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costs of filing, prosecuting, enforcing and defending patent claims and other intellectual property rights;</w:t>
      </w:r>
    </w:p>
    <w:p>
      <w:pPr>
        <w:spacing w:after="0" w:line="9" w:lineRule="exact"/>
        <w:rPr>
          <w:rFonts w:ascii="Arial" w:cs="Arial" w:eastAsia="Arial" w:hAnsi="Arial"/>
          <w:sz w:val="18"/>
          <w:szCs w:val="18"/>
          <w:color w:val="A6A6A6"/>
        </w:rPr>
      </w:pPr>
    </w:p>
    <w:p>
      <w:pPr>
        <w:ind w:left="1000" w:hanging="317"/>
        <w:spacing w:after="0" w:line="250" w:lineRule="auto"/>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ind w:left="1000" w:hanging="317"/>
        <w:spacing w:after="0" w:line="250" w:lineRule="auto"/>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potential costs of contracting with third parties to provide marketing and distribution services for us or for building such capacities internally;</w:t>
      </w:r>
    </w:p>
    <w:p>
      <w:pPr>
        <w:ind w:left="1000" w:right="20" w:hanging="317"/>
        <w:spacing w:after="0" w:line="250" w:lineRule="auto"/>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costs of acquiring or undertaking the development and commercialization efforts for additional, future therapeutic applications of our drug candidate;</w:t>
      </w:r>
    </w:p>
    <w:p>
      <w:pPr>
        <w:ind w:left="1000" w:hanging="317"/>
        <w:spacing w:after="0"/>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magnitude of our general and administrative expenses;</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any cost that we may incur under current and future in- and out-licensing arrangements relating to our drug candidate; and</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payments that are owed to the OCS.</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Contractual Obligations</w:t>
            </w: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00" w:type="dxa"/>
            <w:vAlign w:val="bottom"/>
            <w:gridSpan w:val="5"/>
          </w:tcPr>
          <w:p>
            <w:pPr>
              <w:jc w:val="right"/>
              <w:ind w:right="1230"/>
              <w:spacing w:after="0"/>
              <w:rPr>
                <w:sz w:val="20"/>
                <w:szCs w:val="20"/>
                <w:color w:val="auto"/>
              </w:rPr>
            </w:pPr>
            <w:r>
              <w:rPr>
                <w:rFonts w:ascii="Arial" w:cs="Arial" w:eastAsia="Arial" w:hAnsi="Arial"/>
                <w:sz w:val="18"/>
                <w:szCs w:val="18"/>
                <w:color w:val="auto"/>
                <w:w w:val="96"/>
              </w:rPr>
              <w:t>The following table summarizes our significant contractual obligations at December 31, 2012:</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More than 5</w:t>
            </w:r>
          </w:p>
        </w:tc>
      </w:tr>
      <w:tr>
        <w:trPr>
          <w:trHeight w:val="230"/>
        </w:trPr>
        <w:tc>
          <w:tcPr>
            <w:tcW w:w="366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Less than 1 year</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1-3 years</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3-5 years</w:t>
            </w:r>
          </w:p>
        </w:tc>
        <w:tc>
          <w:tcPr>
            <w:tcW w:w="142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years</w:t>
            </w:r>
          </w:p>
        </w:tc>
      </w:tr>
      <w:tr>
        <w:trPr>
          <w:trHeight w:val="210"/>
        </w:trPr>
        <w:tc>
          <w:tcPr>
            <w:tcW w:w="36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(in thousands US$)</w:t>
            </w:r>
          </w:p>
        </w:tc>
        <w:tc>
          <w:tcPr>
            <w:tcW w:w="15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620" w:type="dxa"/>
            <w:vAlign w:val="bottom"/>
            <w:gridSpan w:val="2"/>
          </w:tcPr>
          <w:p>
            <w:pPr>
              <w:ind w:left="100"/>
              <w:spacing w:after="0"/>
              <w:rPr>
                <w:sz w:val="20"/>
                <w:szCs w:val="20"/>
                <w:color w:val="auto"/>
              </w:rPr>
            </w:pPr>
            <w:r>
              <w:rPr>
                <w:rFonts w:ascii="Arial" w:cs="Arial" w:eastAsia="Arial" w:hAnsi="Arial"/>
                <w:sz w:val="18"/>
                <w:szCs w:val="18"/>
                <w:color w:val="auto"/>
              </w:rPr>
              <w:t>Facility</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Motor Vehicles</w:t>
            </w:r>
          </w:p>
        </w:tc>
        <w:tc>
          <w:tcPr>
            <w:tcW w:w="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17</w:t>
            </w:r>
          </w:p>
        </w:tc>
        <w:tc>
          <w:tcPr>
            <w:tcW w:w="15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14</w:t>
            </w:r>
          </w:p>
        </w:tc>
        <w:tc>
          <w:tcPr>
            <w:tcW w:w="18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Approximately 40% of our expenses are denominated in New Israeli Shekel. Changes of 5% and 10% in the USD/NIS exchange rate will increase/decrease the operation expenses by 2% and 4%,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right="40" w:firstLine="389"/>
        <w:spacing w:after="0" w:line="259" w:lineRule="auto"/>
        <w:rPr>
          <w:sz w:val="20"/>
          <w:szCs w:val="20"/>
          <w:color w:val="auto"/>
        </w:rPr>
      </w:pPr>
      <w:r>
        <w:rPr>
          <w:rFonts w:ascii="Arial" w:cs="Arial" w:eastAsia="Arial" w:hAnsi="Arial"/>
          <w:sz w:val="18"/>
          <w:szCs w:val="18"/>
          <w:color w:val="auto"/>
        </w:rPr>
        <w:t>We plan to initiate regulatory discussions with the FDA within six months from the date of this prospectus, and if these discussions are successful, we plan to conduct advanced clinical trials in order to obtain marketing approval for MG01CI for adults in these regions, followed by clinical trials in order to obtain marketing approval for pediatrics in these regions. If these discussions are not successful, we will have to re-design and conduct additional preliminary clinical trials.</w:t>
      </w:r>
    </w:p>
    <w:p>
      <w:pPr>
        <w:spacing w:after="0" w:line="187" w:lineRule="exact"/>
        <w:rPr>
          <w:sz w:val="20"/>
          <w:szCs w:val="20"/>
          <w:color w:val="auto"/>
        </w:rPr>
      </w:pPr>
    </w:p>
    <w:p>
      <w:pPr>
        <w:ind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20" w:firstLine="389"/>
        <w:spacing w:after="0" w:line="272"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the effectiveness of treatment for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w:t>
      </w:r>
    </w:p>
    <w:p>
      <w:pPr>
        <w:spacing w:after="0" w:line="171" w:lineRule="exact"/>
        <w:rPr>
          <w:sz w:val="20"/>
          <w:szCs w:val="20"/>
          <w:color w:val="auto"/>
        </w:rPr>
      </w:pPr>
    </w:p>
    <w:p>
      <w:pPr>
        <w:ind w:right="140" w:firstLine="312"/>
        <w:spacing w:after="0" w:line="246" w:lineRule="auto"/>
        <w:rPr>
          <w:sz w:val="20"/>
          <w:szCs w:val="20"/>
          <w:color w:val="auto"/>
        </w:rPr>
      </w:pPr>
      <w:r>
        <w:rPr>
          <w:rFonts w:ascii="Arial" w:cs="Arial" w:eastAsia="Arial" w:hAnsi="Arial"/>
          <w:sz w:val="21"/>
          <w:szCs w:val="21"/>
          <w:color w:val="auto"/>
        </w:rPr>
        <w:t xml:space="preserve">The only non-stimulant drug approved to treat adult ADHD is Strattera. Strattera affects the chemical norepinephrine, which is a stress hormone that </w:t>
      </w:r>
      <w:r>
        <w:rPr>
          <w:rFonts w:ascii="Arial" w:cs="Arial" w:eastAsia="Arial" w:hAnsi="Arial"/>
          <w:sz w:val="17"/>
          <w:szCs w:val="17"/>
          <w:color w:val="auto"/>
        </w:rPr>
        <w:t>affects parts of the brain where attention and responses are controlled.</w:t>
      </w:r>
      <w:r>
        <w:rPr>
          <w:rFonts w:ascii="Arial" w:cs="Arial" w:eastAsia="Arial" w:hAnsi="Arial"/>
          <w:sz w:val="21"/>
          <w:szCs w:val="21"/>
          <w:color w:val="auto"/>
        </w:rPr>
        <w:t xml:space="preserve"> This drug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88" w:lineRule="exact"/>
        <w:rPr>
          <w:sz w:val="20"/>
          <w:szCs w:val="20"/>
          <w:color w:val="auto"/>
        </w:rPr>
      </w:pPr>
    </w:p>
    <w:p>
      <w:pPr>
        <w:ind w:right="80" w:firstLine="389"/>
        <w:spacing w:after="0" w:line="254" w:lineRule="auto"/>
        <w:rPr>
          <w:sz w:val="20"/>
          <w:szCs w:val="20"/>
          <w:color w:val="auto"/>
        </w:rPr>
      </w:pPr>
      <w:r>
        <w:rPr>
          <w:rFonts w:ascii="Arial" w:cs="Arial" w:eastAsia="Arial" w:hAnsi="Arial"/>
          <w:sz w:val="18"/>
          <w:szCs w:val="18"/>
          <w:color w:val="auto"/>
        </w:rPr>
        <w:t>In contrast to all available treatments, MG01CI is a non-stimulant with a differentiated mechanism of action that targets neither dopamine nor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 and we plan to use proceeds from this offering to evaluate MG01CI in one or more of such disorders.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About ADHD</w:t>
      </w:r>
    </w:p>
    <w:p>
      <w:pPr>
        <w:spacing w:after="0" w:line="225"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420"/>
        <w:spacing w:after="0"/>
        <w:rPr>
          <w:sz w:val="20"/>
          <w:szCs w:val="20"/>
          <w:color w:val="auto"/>
        </w:rPr>
      </w:pPr>
      <w:r>
        <w:rPr>
          <w:rFonts w:ascii="Arial" w:cs="Arial" w:eastAsia="Arial" w:hAnsi="Arial"/>
          <w:sz w:val="18"/>
          <w:szCs w:val="18"/>
          <w:b w:val="1"/>
          <w:bCs w:val="1"/>
          <w:i w:val="1"/>
          <w:iCs w:val="1"/>
          <w:color w:val="auto"/>
        </w:rPr>
        <w:t>Development of ADHD Symptoms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graphic illustrates how the nature of ADHD symptoms change with age: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5"/>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4"/>
              </w:rPr>
              <w:t>Adolescents</w:t>
            </w:r>
          </w:p>
        </w:tc>
        <w:tc>
          <w:tcPr>
            <w:tcW w:w="374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344"/>
        </w:trPr>
        <w:tc>
          <w:tcPr>
            <w:tcW w:w="3900" w:type="dxa"/>
            <w:vAlign w:val="bottom"/>
            <w:tcBorders>
              <w:left w:val="single" w:sz="8" w:color="A6A6A6"/>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6A6A6"/>
            </w:tcBorders>
          </w:tcPr>
          <w:p>
            <w:pPr>
              <w:spacing w:after="0"/>
              <w:rPr>
                <w:sz w:val="24"/>
                <w:szCs w:val="24"/>
                <w:color w:val="auto"/>
              </w:rPr>
            </w:pPr>
          </w:p>
        </w:tc>
      </w:tr>
      <w:tr>
        <w:trPr>
          <w:trHeight w:val="191"/>
        </w:trPr>
        <w:tc>
          <w:tcPr>
            <w:tcW w:w="3900" w:type="dxa"/>
            <w:vAlign w:val="bottom"/>
            <w:tcBorders>
              <w:left w:val="single" w:sz="8" w:color="A6A6A6"/>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3780" w:type="dxa"/>
            <w:vAlign w:val="bottom"/>
            <w:tcBorders>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3740" w:type="dxa"/>
            <w:vAlign w:val="bottom"/>
            <w:tcBorders>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4"/>
              </w:rPr>
              <w:t>Aggressive</w:t>
            </w:r>
          </w:p>
        </w:tc>
        <w:tc>
          <w:tcPr>
            <w:tcW w:w="378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3"/>
              </w:rPr>
              <w:t>Inattentive</w:t>
            </w:r>
          </w:p>
        </w:tc>
        <w:tc>
          <w:tcPr>
            <w:tcW w:w="374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1"/>
              </w:rPr>
              <w:t>Low frustration tolerance</w:t>
            </w:r>
          </w:p>
        </w:tc>
        <w:tc>
          <w:tcPr>
            <w:tcW w:w="3780" w:type="dxa"/>
            <w:vAlign w:val="bottom"/>
            <w:tcBorders>
              <w:right w:val="single" w:sz="8" w:color="A6A6A6"/>
            </w:tcBorders>
          </w:tcPr>
          <w:p>
            <w:pPr>
              <w:spacing w:after="0"/>
              <w:rPr>
                <w:sz w:val="18"/>
                <w:szCs w:val="18"/>
                <w:color w:val="auto"/>
              </w:rPr>
            </w:pPr>
          </w:p>
        </w:tc>
        <w:tc>
          <w:tcPr>
            <w:tcW w:w="374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1"/>
              </w:rPr>
              <w:t>Impulsive</w:t>
            </w:r>
          </w:p>
        </w:tc>
        <w:tc>
          <w:tcPr>
            <w:tcW w:w="3780" w:type="dxa"/>
            <w:vAlign w:val="bottom"/>
            <w:tcBorders>
              <w:bottom w:val="single" w:sz="8" w:color="A6A6A6"/>
              <w:right w:val="single" w:sz="8" w:color="A6A6A6"/>
            </w:tcBorders>
          </w:tcPr>
          <w:p>
            <w:pPr>
              <w:spacing w:after="0"/>
              <w:rPr>
                <w:sz w:val="20"/>
                <w:szCs w:val="20"/>
                <w:color w:val="auto"/>
              </w:rPr>
            </w:pPr>
          </w:p>
        </w:tc>
        <w:tc>
          <w:tcPr>
            <w:tcW w:w="374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-1285875</wp:posOffset>
            </wp:positionV>
            <wp:extent cx="7031990" cy="5829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1990" cy="582930"/>
                    </a:xfrm>
                    <a:prstGeom prst="rect">
                      <a:avLst/>
                    </a:prstGeom>
                    <a:noFill/>
                  </pic:spPr>
                </pic:pic>
              </a:graphicData>
            </a:graphic>
          </wp:anchor>
        </w:drawing>
      </w:r>
    </w:p>
    <w:p>
      <w:pPr>
        <w:spacing w:after="0" w:line="18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 recent study showed that approximately 46% of adults who suffered from ADHD as children continue to have symptoms of the disorder as adults, with approximately 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Untreated and Undertreated ADHD</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illustrates the effects on society when ADHD remains untreated:</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20"/>
        </w:trPr>
        <w:tc>
          <w:tcPr>
            <w:tcW w:w="2940" w:type="dxa"/>
            <w:vAlign w:val="bottom"/>
          </w:tcPr>
          <w:p>
            <w:pPr>
              <w:jc w:val="center"/>
              <w:ind w:right="970"/>
              <w:spacing w:after="0"/>
              <w:rPr>
                <w:sz w:val="20"/>
                <w:szCs w:val="20"/>
                <w:color w:val="auto"/>
              </w:rPr>
            </w:pPr>
            <w:r>
              <w:rPr>
                <w:rFonts w:ascii="Arial" w:cs="Arial" w:eastAsia="Arial" w:hAnsi="Arial"/>
                <w:sz w:val="18"/>
                <w:szCs w:val="18"/>
                <w:b w:val="1"/>
                <w:bCs w:val="1"/>
                <w:color w:val="auto"/>
                <w:w w:val="89"/>
              </w:rPr>
              <w:t>Healthcare System</w:t>
            </w:r>
          </w:p>
        </w:tc>
        <w:tc>
          <w:tcPr>
            <w:tcW w:w="414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Patient</w:t>
            </w:r>
          </w:p>
        </w:tc>
        <w:tc>
          <w:tcPr>
            <w:tcW w:w="344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90"/>
              </w:rPr>
              <w:t>ñ 50% in bicycle accidents</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96"/>
              </w:rPr>
              <w:t>ñ criminal activity</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2940" w:type="dxa"/>
            <w:vAlign w:val="bottom"/>
          </w:tcPr>
          <w:p>
            <w:pPr>
              <w:jc w:val="center"/>
              <w:ind w:right="950"/>
              <w:spacing w:after="0"/>
              <w:rPr>
                <w:sz w:val="20"/>
                <w:szCs w:val="20"/>
                <w:color w:val="auto"/>
              </w:rPr>
            </w:pPr>
            <w:r>
              <w:rPr>
                <w:rFonts w:ascii="Arial" w:cs="Arial" w:eastAsia="Arial" w:hAnsi="Arial"/>
                <w:sz w:val="18"/>
                <w:szCs w:val="18"/>
                <w:color w:val="auto"/>
                <w:w w:val="92"/>
              </w:rPr>
              <w:t>ñ 33% in ER visits</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91"/>
              </w:rPr>
              <w:t>ñ incarceration</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2"/>
              </w:rPr>
              <w:t>2-4x more sibling fights</w:t>
            </w:r>
          </w:p>
        </w:tc>
      </w:tr>
      <w:tr>
        <w:trPr>
          <w:trHeight w:val="230"/>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89"/>
              </w:rPr>
              <w:t>2-4x more car accidents</w:t>
            </w:r>
          </w:p>
        </w:tc>
        <w:tc>
          <w:tcPr>
            <w:tcW w:w="41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18"/>
        </w:trPr>
        <w:tc>
          <w:tcPr>
            <w:tcW w:w="294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School and Occupation</w:t>
            </w:r>
          </w:p>
        </w:tc>
        <w:tc>
          <w:tcPr>
            <w:tcW w:w="414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Society</w:t>
            </w:r>
          </w:p>
        </w:tc>
        <w:tc>
          <w:tcPr>
            <w:tcW w:w="344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2940" w:type="dxa"/>
            <w:vAlign w:val="bottom"/>
          </w:tcPr>
          <w:p>
            <w:pPr>
              <w:ind w:left="660"/>
              <w:spacing w:after="0"/>
              <w:rPr>
                <w:sz w:val="20"/>
                <w:szCs w:val="20"/>
                <w:color w:val="auto"/>
              </w:rPr>
            </w:pPr>
            <w:r>
              <w:rPr>
                <w:rFonts w:ascii="Arial" w:cs="Arial" w:eastAsia="Arial" w:hAnsi="Arial"/>
                <w:sz w:val="18"/>
                <w:szCs w:val="18"/>
                <w:color w:val="auto"/>
              </w:rPr>
              <w:t>46% expelled</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86"/>
              </w:rPr>
              <w:t>Substance use disorders:</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87"/>
              </w:rPr>
              <w:t>Increased parental absenteeism and</w:t>
            </w:r>
          </w:p>
        </w:tc>
      </w:tr>
      <w:tr>
        <w:trPr>
          <w:trHeight w:val="216"/>
        </w:trPr>
        <w:tc>
          <w:tcPr>
            <w:tcW w:w="2940" w:type="dxa"/>
            <w:vAlign w:val="bottom"/>
          </w:tcPr>
          <w:p>
            <w:pPr>
              <w:jc w:val="center"/>
              <w:ind w:right="950"/>
              <w:spacing w:after="0"/>
              <w:rPr>
                <w:sz w:val="20"/>
                <w:szCs w:val="20"/>
                <w:color w:val="auto"/>
              </w:rPr>
            </w:pPr>
            <w:r>
              <w:rPr>
                <w:rFonts w:ascii="Arial" w:cs="Arial" w:eastAsia="Arial" w:hAnsi="Arial"/>
                <w:sz w:val="18"/>
                <w:szCs w:val="18"/>
                <w:color w:val="auto"/>
                <w:w w:val="91"/>
              </w:rPr>
              <w:t>35% drop out</w:t>
            </w:r>
          </w:p>
        </w:tc>
        <w:tc>
          <w:tcPr>
            <w:tcW w:w="4140" w:type="dxa"/>
            <w:vAlign w:val="bottom"/>
          </w:tcPr>
          <w:p>
            <w:pPr>
              <w:jc w:val="center"/>
              <w:ind w:left="170"/>
              <w:spacing w:after="0"/>
              <w:rPr>
                <w:sz w:val="20"/>
                <w:szCs w:val="20"/>
                <w:color w:val="auto"/>
              </w:rPr>
            </w:pPr>
            <w:r>
              <w:rPr>
                <w:rFonts w:ascii="Arial" w:cs="Arial" w:eastAsia="Arial" w:hAnsi="Arial"/>
                <w:sz w:val="18"/>
                <w:szCs w:val="18"/>
                <w:color w:val="auto"/>
                <w:w w:val="89"/>
              </w:rPr>
              <w:t>2x risk and earlier onset</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4"/>
              </w:rPr>
              <w:t>lower productivity</w:t>
            </w:r>
          </w:p>
        </w:tc>
      </w:tr>
      <w:tr>
        <w:trPr>
          <w:trHeight w:val="230"/>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90"/>
              </w:rPr>
              <w:t>Lower occupational status</w:t>
            </w:r>
          </w:p>
        </w:tc>
        <w:tc>
          <w:tcPr>
            <w:tcW w:w="4140" w:type="dxa"/>
            <w:vAlign w:val="bottom"/>
          </w:tcPr>
          <w:p>
            <w:pPr>
              <w:ind w:left="1000"/>
              <w:spacing w:after="0"/>
              <w:rPr>
                <w:sz w:val="20"/>
                <w:szCs w:val="20"/>
                <w:color w:val="auto"/>
              </w:rPr>
            </w:pPr>
            <w:r>
              <w:rPr>
                <w:rFonts w:ascii="Arial" w:cs="Arial" w:eastAsia="Arial" w:hAnsi="Arial"/>
                <w:sz w:val="18"/>
                <w:szCs w:val="18"/>
                <w:color w:val="auto"/>
              </w:rPr>
              <w:t>Less likely to quit in adulthood</w:t>
            </w:r>
          </w:p>
        </w:tc>
        <w:tc>
          <w:tcPr>
            <w:tcW w:w="3440" w:type="dxa"/>
            <w:vAlign w:val="bottom"/>
          </w:tcPr>
          <w:p>
            <w:pPr>
              <w:spacing w:after="0"/>
              <w:rPr>
                <w:sz w:val="20"/>
                <w:szCs w:val="20"/>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Diagnosis of ADHD</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(DSM-IV), diagnostic criteria are most widely used to diagnose ADHD.</w:t>
      </w:r>
    </w:p>
    <w:p>
      <w:pPr>
        <w:spacing w:after="0" w:line="181" w:lineRule="exact"/>
        <w:rPr>
          <w:sz w:val="20"/>
          <w:szCs w:val="20"/>
          <w:color w:val="auto"/>
        </w:rPr>
      </w:pPr>
    </w:p>
    <w:p>
      <w:pPr>
        <w:ind w:left="420" w:right="240" w:hanging="7"/>
        <w:spacing w:after="0" w:line="259" w:lineRule="auto"/>
        <w:tabs>
          <w:tab w:leader="none" w:pos="735" w:val="left"/>
        </w:tabs>
        <w:numPr>
          <w:ilvl w:val="0"/>
          <w:numId w:val="37"/>
        </w:numPr>
        <w:rPr>
          <w:rFonts w:ascii="Arial" w:cs="Arial" w:eastAsia="Arial" w:hAnsi="Arial"/>
          <w:sz w:val="18"/>
          <w:szCs w:val="18"/>
          <w:color w:val="A6A6A6"/>
        </w:rPr>
      </w:pPr>
      <w:r>
        <w:rPr>
          <w:rFonts w:ascii="Arial" w:cs="Arial" w:eastAsia="Arial" w:hAnsi="Arial"/>
          <w:sz w:val="18"/>
          <w:szCs w:val="18"/>
          <w:i w:val="1"/>
          <w:iCs w:val="1"/>
          <w:color w:val="auto"/>
        </w:rPr>
        <w:t>DSM-IV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Signs of impairment present before 7 years of age and present in two or more settings (school/work and home)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and Market Participants</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principal pharmaceutical companies marketing drugs to treat ADHD are shown in the following table, together with the drug brand name, patent expiration date, class/method of action and reported 2011 sales.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7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Brand Name</w:t>
            </w: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Company</w:t>
            </w:r>
          </w:p>
        </w:tc>
        <w:tc>
          <w:tcPr>
            <w:tcW w:w="2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Patent Expires</w:t>
            </w:r>
          </w:p>
        </w:tc>
        <w:tc>
          <w:tcPr>
            <w:tcW w:w="840" w:type="dxa"/>
            <w:vAlign w:val="bottom"/>
          </w:tcPr>
          <w:p>
            <w:pPr>
              <w:spacing w:after="0"/>
              <w:rPr>
                <w:sz w:val="17"/>
                <w:szCs w:val="17"/>
                <w:color w:val="auto"/>
              </w:rPr>
            </w:pPr>
          </w:p>
        </w:tc>
        <w:tc>
          <w:tcPr>
            <w:tcW w:w="26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Class/Method of Action</w:t>
            </w:r>
          </w:p>
        </w:tc>
        <w:tc>
          <w:tcPr>
            <w:tcW w:w="24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6"/>
              </w:rPr>
              <w:t>2011 Sales</w:t>
            </w: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Vyvanse</w:t>
            </w:r>
          </w:p>
        </w:tc>
        <w:tc>
          <w:tcPr>
            <w:tcW w:w="120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Shire</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June 2023</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10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ind w:left="720"/>
              <w:spacing w:after="0"/>
              <w:rPr>
                <w:sz w:val="20"/>
                <w:szCs w:val="20"/>
                <w:color w:val="auto"/>
              </w:rPr>
            </w:pPr>
            <w:r>
              <w:rPr>
                <w:rFonts w:ascii="Arial" w:cs="Arial" w:eastAsia="Arial" w:hAnsi="Arial"/>
                <w:sz w:val="18"/>
                <w:szCs w:val="18"/>
                <w:color w:val="auto"/>
              </w:rPr>
              <w:t>$1272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20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0"/>
              </w:rPr>
              <w:t>Concerta</w:t>
            </w:r>
          </w:p>
        </w:tc>
        <w:tc>
          <w:tcPr>
            <w:tcW w:w="1200" w:type="dxa"/>
            <w:vAlign w:val="bottom"/>
            <w:gridSpan w:val="2"/>
            <w:vMerge w:val="restart"/>
            <w:shd w:val="clear" w:color="auto" w:fill="CCFFCC"/>
          </w:tcPr>
          <w:p>
            <w:pPr>
              <w:jc w:val="center"/>
              <w:ind w:right="440"/>
              <w:spacing w:after="0"/>
              <w:rPr>
                <w:sz w:val="20"/>
                <w:szCs w:val="20"/>
                <w:color w:val="auto"/>
              </w:rPr>
            </w:pPr>
            <w:r>
              <w:rPr>
                <w:rFonts w:ascii="Arial" w:cs="Arial" w:eastAsia="Arial" w:hAnsi="Arial"/>
                <w:sz w:val="18"/>
                <w:szCs w:val="18"/>
                <w:color w:val="auto"/>
                <w:w w:val="93"/>
              </w:rPr>
              <w:t>J&amp;J</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w w:val="91"/>
              </w:rPr>
              <w:t>May 2011</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$682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7"/>
              </w:rPr>
              <w:t>Adderall XR</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0"/>
              </w:rPr>
              <w:t>Shire</w:t>
            </w:r>
          </w:p>
        </w:tc>
        <w:tc>
          <w:tcPr>
            <w:tcW w:w="1620" w:type="dxa"/>
            <w:vAlign w:val="bottom"/>
            <w:gridSpan w:val="2"/>
            <w:vMerge w:val="restart"/>
            <w:shd w:val="clear" w:color="auto" w:fill="CCFFCC"/>
          </w:tcPr>
          <w:p>
            <w:pPr>
              <w:jc w:val="center"/>
              <w:ind w:left="410"/>
              <w:spacing w:after="0"/>
              <w:rPr>
                <w:sz w:val="20"/>
                <w:szCs w:val="20"/>
                <w:color w:val="auto"/>
              </w:rPr>
            </w:pPr>
            <w:r>
              <w:rPr>
                <w:rFonts w:ascii="Arial" w:cs="Arial" w:eastAsia="Arial" w:hAnsi="Arial"/>
                <w:sz w:val="18"/>
                <w:szCs w:val="18"/>
                <w:color w:val="auto"/>
                <w:w w:val="89"/>
              </w:rPr>
              <w:t>2012</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$953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89"/>
              </w:rPr>
              <w:t>Strattera</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rPr>
              <w:t>Eli Lilly</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w w:val="90"/>
              </w:rPr>
              <w:t>August 2010</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40"/>
              <w:spacing w:after="0" w:line="201" w:lineRule="exact"/>
              <w:rPr>
                <w:sz w:val="20"/>
                <w:szCs w:val="20"/>
                <w:color w:val="auto"/>
              </w:rPr>
            </w:pPr>
            <w:r>
              <w:rPr>
                <w:rFonts w:ascii="Arial" w:cs="Arial" w:eastAsia="Arial" w:hAnsi="Arial"/>
                <w:sz w:val="18"/>
                <w:szCs w:val="18"/>
                <w:color w:val="auto"/>
                <w:w w:val="94"/>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$620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00"/>
              <w:spacing w:after="0"/>
              <w:rPr>
                <w:sz w:val="20"/>
                <w:szCs w:val="20"/>
                <w:color w:val="auto"/>
              </w:rPr>
            </w:pPr>
            <w:r>
              <w:rPr>
                <w:rFonts w:ascii="Arial" w:cs="Arial" w:eastAsia="Arial" w:hAnsi="Arial"/>
                <w:sz w:val="18"/>
                <w:szCs w:val="18"/>
                <w:color w:val="auto"/>
                <w:w w:val="94"/>
              </w:rPr>
              <w:t>(NE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2"/>
              </w:rPr>
              <w:t>Focalin</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3"/>
              </w:rPr>
              <w:t>Novartis</w:t>
            </w:r>
          </w:p>
        </w:tc>
        <w:tc>
          <w:tcPr>
            <w:tcW w:w="22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88"/>
              </w:rPr>
              <w:t>December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$340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gridSpan w:val="3"/>
            <w:shd w:val="clear" w:color="auto" w:fill="CCFFCC"/>
          </w:tcPr>
          <w:p>
            <w:pPr>
              <w:ind w:left="240"/>
              <w:spacing w:after="0" w:line="201" w:lineRule="exact"/>
              <w:rPr>
                <w:sz w:val="20"/>
                <w:szCs w:val="20"/>
                <w:color w:val="auto"/>
              </w:rPr>
            </w:pPr>
            <w:r>
              <w:rPr>
                <w:rFonts w:ascii="Arial" w:cs="Arial" w:eastAsia="Arial" w:hAnsi="Arial"/>
                <w:sz w:val="18"/>
                <w:szCs w:val="18"/>
                <w:color w:val="auto"/>
              </w:rPr>
              <w:t>Ritalin/ Ritalin</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3"/>
              </w:rPr>
              <w:t>Novartis</w:t>
            </w:r>
          </w:p>
        </w:tc>
        <w:tc>
          <w:tcPr>
            <w:tcW w:w="1620" w:type="dxa"/>
            <w:vAlign w:val="bottom"/>
            <w:gridSpan w:val="2"/>
            <w:vMerge w:val="restart"/>
            <w:shd w:val="clear" w:color="auto" w:fill="CCFFCC"/>
          </w:tcPr>
          <w:p>
            <w:pPr>
              <w:jc w:val="center"/>
              <w:ind w:left="410"/>
              <w:spacing w:after="0"/>
              <w:rPr>
                <w:sz w:val="20"/>
                <w:szCs w:val="20"/>
                <w:color w:val="auto"/>
              </w:rPr>
            </w:pPr>
            <w:r>
              <w:rPr>
                <w:rFonts w:ascii="Arial" w:cs="Arial" w:eastAsia="Arial" w:hAnsi="Arial"/>
                <w:sz w:val="18"/>
                <w:szCs w:val="18"/>
                <w:color w:val="auto"/>
                <w:w w:val="89"/>
              </w:rPr>
              <w:t>2015</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$490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Arial" w:cs="Arial" w:eastAsia="Arial" w:hAnsi="Arial"/>
                <w:sz w:val="18"/>
                <w:szCs w:val="18"/>
                <w:color w:val="auto"/>
              </w:rPr>
              <w:t>LA</w:t>
            </w: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1780" w:type="dxa"/>
            <w:vAlign w:val="bottom"/>
            <w:gridSpan w:val="2"/>
            <w:vMerge w:val="continue"/>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Arial" w:cs="Arial" w:eastAsia="Arial" w:hAnsi="Arial"/>
                <w:sz w:val="18"/>
                <w:szCs w:val="18"/>
                <w:color w:val="auto"/>
                <w:w w:val="97"/>
              </w:rPr>
              <w:t>Intuniv</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0"/>
              </w:rPr>
              <w:t>Shire</w:t>
            </w:r>
          </w:p>
        </w:tc>
        <w:tc>
          <w:tcPr>
            <w:tcW w:w="22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88"/>
              </w:rPr>
              <w:t>September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2"/>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$223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60"/>
              <w:spacing w:after="0"/>
              <w:rPr>
                <w:sz w:val="20"/>
                <w:szCs w:val="20"/>
                <w:color w:val="auto"/>
              </w:rPr>
            </w:pPr>
            <w:r>
              <w:rPr>
                <w:rFonts w:ascii="Arial" w:cs="Arial" w:eastAsia="Arial" w:hAnsi="Arial"/>
                <w:sz w:val="18"/>
                <w:szCs w:val="18"/>
                <w:color w:val="auto"/>
                <w:w w:val="91"/>
              </w:rPr>
              <w:t>(NE receptor agonist)</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shd w:val="clear" w:color="auto" w:fill="CCFFCC"/>
          </w:tcPr>
          <w:p>
            <w:pPr>
              <w:jc w:val="center"/>
              <w:ind w:right="780"/>
              <w:spacing w:after="0" w:line="201" w:lineRule="exact"/>
              <w:rPr>
                <w:sz w:val="20"/>
                <w:szCs w:val="20"/>
                <w:color w:val="auto"/>
              </w:rPr>
            </w:pPr>
            <w:r>
              <w:rPr>
                <w:rFonts w:ascii="Arial" w:cs="Arial" w:eastAsia="Arial" w:hAnsi="Arial"/>
                <w:sz w:val="18"/>
                <w:szCs w:val="18"/>
                <w:color w:val="auto"/>
                <w:w w:val="94"/>
              </w:rPr>
              <w:t>Dextro-</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8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$269 million</w:t>
            </w:r>
          </w:p>
        </w:tc>
        <w:tc>
          <w:tcPr>
            <w:tcW w:w="0" w:type="dxa"/>
            <w:vAlign w:val="bottom"/>
          </w:tcPr>
          <w:p>
            <w:pPr>
              <w:spacing w:after="0"/>
              <w:rPr>
                <w:sz w:val="1"/>
                <w:szCs w:val="1"/>
                <w:color w:val="auto"/>
              </w:rPr>
            </w:pPr>
          </w:p>
        </w:tc>
      </w:tr>
      <w:tr>
        <w:trPr>
          <w:trHeight w:val="122"/>
        </w:trPr>
        <w:tc>
          <w:tcPr>
            <w:tcW w:w="2040" w:type="dxa"/>
            <w:vAlign w:val="bottom"/>
            <w:gridSpan w:val="3"/>
            <w:vMerge w:val="restart"/>
            <w:shd w:val="clear" w:color="auto" w:fill="CCFFCC"/>
          </w:tcPr>
          <w:p>
            <w:pPr>
              <w:jc w:val="center"/>
              <w:ind w:right="540"/>
              <w:spacing w:after="0"/>
              <w:rPr>
                <w:sz w:val="20"/>
                <w:szCs w:val="20"/>
                <w:color w:val="auto"/>
              </w:rPr>
            </w:pPr>
            <w:r>
              <w:rPr>
                <w:rFonts w:ascii="Arial" w:cs="Arial" w:eastAsia="Arial" w:hAnsi="Arial"/>
                <w:sz w:val="18"/>
                <w:szCs w:val="18"/>
                <w:color w:val="auto"/>
                <w:w w:val="90"/>
              </w:rPr>
              <w:t>amphetamine ER</w:t>
            </w: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gridSpan w:val="3"/>
            <w:vMerge w:val="continue"/>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continue"/>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6"/>
              </w:rPr>
              <w:t>Adderall IR</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8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7"/>
              </w:rPr>
              <w:t>$29 million</w:t>
            </w:r>
          </w:p>
        </w:tc>
        <w:tc>
          <w:tcPr>
            <w:tcW w:w="0" w:type="dxa"/>
            <w:vAlign w:val="bottom"/>
          </w:tcPr>
          <w:p>
            <w:pPr>
              <w:spacing w:after="0"/>
              <w:rPr>
                <w:sz w:val="1"/>
                <w:szCs w:val="1"/>
                <w:color w:val="auto"/>
              </w:rPr>
            </w:pPr>
          </w:p>
        </w:tc>
      </w:tr>
      <w:tr>
        <w:trPr>
          <w:trHeight w:val="136"/>
        </w:trPr>
        <w:tc>
          <w:tcPr>
            <w:tcW w:w="260" w:type="dxa"/>
            <w:vAlign w:val="bottom"/>
            <w:shd w:val="clear" w:color="auto" w:fill="CCFFCC"/>
          </w:tcPr>
          <w:p>
            <w:pPr>
              <w:spacing w:after="0"/>
              <w:rPr>
                <w:sz w:val="11"/>
                <w:szCs w:val="11"/>
                <w:color w:val="auto"/>
              </w:rPr>
            </w:pPr>
          </w:p>
        </w:tc>
        <w:tc>
          <w:tcPr>
            <w:tcW w:w="1780" w:type="dxa"/>
            <w:vAlign w:val="bottom"/>
            <w:gridSpan w:val="2"/>
            <w:vMerge w:val="continue"/>
            <w:shd w:val="clear" w:color="auto" w:fill="CCFFCC"/>
          </w:tcPr>
          <w:p>
            <w:pPr>
              <w:spacing w:after="0"/>
              <w:rPr>
                <w:sz w:val="11"/>
                <w:szCs w:val="11"/>
                <w:color w:val="auto"/>
              </w:rPr>
            </w:pPr>
          </w:p>
        </w:tc>
        <w:tc>
          <w:tcPr>
            <w:tcW w:w="1200" w:type="dxa"/>
            <w:vAlign w:val="bottom"/>
            <w:gridSpan w:val="2"/>
            <w:vMerge w:val="continue"/>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720" w:type="dxa"/>
            <w:vAlign w:val="bottom"/>
            <w:gridSpan w:val="2"/>
            <w:vMerge w:val="continue"/>
            <w:shd w:val="clear" w:color="auto" w:fill="CCFFCC"/>
          </w:tcPr>
          <w:p>
            <w:pPr>
              <w:spacing w:after="0"/>
              <w:rPr>
                <w:sz w:val="11"/>
                <w:szCs w:val="11"/>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0" w:type="dxa"/>
            <w:vAlign w:val="bottom"/>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460" w:type="dxa"/>
            <w:vAlign w:val="bottom"/>
            <w:shd w:val="clear" w:color="auto" w:fill="CCFFCC"/>
          </w:tcPr>
          <w:p>
            <w:pPr>
              <w:spacing w:after="0"/>
              <w:rPr>
                <w:sz w:val="8"/>
                <w:szCs w:val="8"/>
                <w:color w:val="auto"/>
              </w:rPr>
            </w:pPr>
          </w:p>
        </w:tc>
        <w:tc>
          <w:tcPr>
            <w:tcW w:w="500" w:type="dxa"/>
            <w:vAlign w:val="bottom"/>
            <w:shd w:val="clear" w:color="auto" w:fill="CCFFCC"/>
          </w:tcPr>
          <w:p>
            <w:pPr>
              <w:spacing w:after="0"/>
              <w:rPr>
                <w:sz w:val="8"/>
                <w:szCs w:val="8"/>
                <w:color w:val="auto"/>
              </w:rPr>
            </w:pPr>
          </w:p>
        </w:tc>
        <w:tc>
          <w:tcPr>
            <w:tcW w:w="1120" w:type="dxa"/>
            <w:vAlign w:val="bottom"/>
            <w:shd w:val="clear" w:color="auto" w:fill="CCFFCC"/>
          </w:tcPr>
          <w:p>
            <w:pPr>
              <w:spacing w:after="0"/>
              <w:rPr>
                <w:sz w:val="8"/>
                <w:szCs w:val="8"/>
                <w:color w:val="auto"/>
              </w:rPr>
            </w:pPr>
          </w:p>
        </w:tc>
        <w:tc>
          <w:tcPr>
            <w:tcW w:w="600" w:type="dxa"/>
            <w:vAlign w:val="bottom"/>
            <w:shd w:val="clear" w:color="auto" w:fill="CCFFCC"/>
          </w:tcPr>
          <w:p>
            <w:pPr>
              <w:spacing w:after="0"/>
              <w:rPr>
                <w:sz w:val="8"/>
                <w:szCs w:val="8"/>
                <w:color w:val="auto"/>
              </w:rPr>
            </w:pPr>
          </w:p>
        </w:tc>
        <w:tc>
          <w:tcPr>
            <w:tcW w:w="3520" w:type="dxa"/>
            <w:vAlign w:val="bottom"/>
            <w:gridSpan w:val="3"/>
            <w:vMerge w:val="continue"/>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140" w:firstLine="401"/>
        <w:spacing w:after="0" w:line="277" w:lineRule="auto"/>
        <w:rPr>
          <w:sz w:val="20"/>
          <w:szCs w:val="20"/>
          <w:color w:val="auto"/>
        </w:rPr>
      </w:pPr>
      <w:r>
        <w:rPr>
          <w:rFonts w:ascii="Arial" w:cs="Arial" w:eastAsia="Arial" w:hAnsi="Arial"/>
          <w:sz w:val="18"/>
          <w:szCs w:val="18"/>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70" w:lineRule="exact"/>
        <w:rPr>
          <w:sz w:val="20"/>
          <w:szCs w:val="20"/>
          <w:color w:val="auto"/>
        </w:rPr>
      </w:pPr>
    </w:p>
    <w:p>
      <w:pPr>
        <w:ind w:right="40" w:firstLine="401"/>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21" w:gutter="0" w:footer="0" w:header="0"/>
        </w:sectPr>
      </w:pPr>
    </w:p>
    <w:bookmarkStart w:id="42" w:name="page43"/>
    <w:bookmarkEnd w:id="42"/>
    <w:p>
      <w:pPr>
        <w:ind w:right="220" w:firstLine="401"/>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80" w:firstLine="376"/>
        <w:spacing w:after="0" w:line="293"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U.S. Food and Drug Administration, or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65" w:lineRule="exact"/>
        <w:rPr>
          <w:sz w:val="20"/>
          <w:szCs w:val="20"/>
          <w:color w:val="auto"/>
        </w:rPr>
      </w:pPr>
    </w:p>
    <w:p>
      <w:pPr>
        <w:ind w:left="660" w:right="580" w:hanging="328"/>
        <w:spacing w:after="0" w:line="264" w:lineRule="auto"/>
        <w:tabs>
          <w:tab w:leader="none" w:pos="660" w:val="left"/>
        </w:tabs>
        <w:numPr>
          <w:ilvl w:val="0"/>
          <w:numId w:val="39"/>
        </w:numPr>
        <w:rPr>
          <w:rFonts w:ascii="Arial" w:cs="Arial" w:eastAsia="Arial" w:hAnsi="Arial"/>
          <w:sz w:val="18"/>
          <w:szCs w:val="18"/>
          <w:color w:val="A6A6A6"/>
        </w:rPr>
      </w:pPr>
      <w:r>
        <w:rPr>
          <w:rFonts w:ascii="Arial" w:cs="Arial" w:eastAsia="Arial" w:hAnsi="Arial"/>
          <w:sz w:val="18"/>
          <w:szCs w:val="18"/>
          <w:color w:val="auto"/>
        </w:rPr>
        <w:t>Initiate and complete two parallel Phase III clinical trials of MG01CI for the treatment of ADHD in adults, and, if they are successful, file for marketing approval for adults initially in the U.S. and the European Union. (Expected initiation in the fourth quarter of 2014 and expected completion in the second quarter of 2015)</w:t>
      </w:r>
    </w:p>
    <w:p>
      <w:pPr>
        <w:spacing w:after="0" w:line="181"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39"/>
        </w:numPr>
        <w:rPr>
          <w:rFonts w:ascii="Arial" w:cs="Arial" w:eastAsia="Arial" w:hAnsi="Arial"/>
          <w:sz w:val="18"/>
          <w:szCs w:val="18"/>
          <w:color w:val="A6A6A6"/>
        </w:rPr>
      </w:pPr>
      <w:r>
        <w:rPr>
          <w:rFonts w:ascii="Arial" w:cs="Arial" w:eastAsia="Arial" w:hAnsi="Arial"/>
          <w:sz w:val="18"/>
          <w:szCs w:val="18"/>
          <w:color w:val="auto"/>
        </w:rPr>
        <w:t>Initiate and complete clinical trials in a pediatric ADHD population, and, if successful, file for marketing approval for that use in the U.S. and EU. (Expected initiation in the third quarter of 2014 and expected completion in the second quarter of 2015)</w:t>
      </w:r>
    </w:p>
    <w:p>
      <w:pPr>
        <w:spacing w:after="0" w:line="170" w:lineRule="exact"/>
        <w:rPr>
          <w:rFonts w:ascii="Arial" w:cs="Arial" w:eastAsia="Arial" w:hAnsi="Arial"/>
          <w:sz w:val="18"/>
          <w:szCs w:val="18"/>
          <w:color w:val="A6A6A6"/>
        </w:rPr>
      </w:pPr>
    </w:p>
    <w:p>
      <w:pPr>
        <w:ind w:left="660" w:right="260" w:hanging="328"/>
        <w:spacing w:after="0" w:line="277" w:lineRule="auto"/>
        <w:tabs>
          <w:tab w:leader="none" w:pos="660" w:val="left"/>
        </w:tabs>
        <w:numPr>
          <w:ilvl w:val="0"/>
          <w:numId w:val="39"/>
        </w:numPr>
        <w:rPr>
          <w:rFonts w:ascii="Arial" w:cs="Arial" w:eastAsia="Arial" w:hAnsi="Arial"/>
          <w:sz w:val="18"/>
          <w:szCs w:val="18"/>
          <w:color w:val="A6A6A6"/>
        </w:rPr>
      </w:pPr>
      <w:r>
        <w:rPr>
          <w:rFonts w:ascii="Arial" w:cs="Arial" w:eastAsia="Arial" w:hAnsi="Arial"/>
          <w:sz w:val="18"/>
          <w:szCs w:val="18"/>
          <w:color w:val="auto"/>
        </w:rPr>
        <w:t>Initiate and complete clinical trials in Japan for both adult and pediatric ADHD, and, if successful, file for marketing approval of such uses in that country. (Expected initiation in the first quarter of 2016 and expected completion in the fourth quarter of 2016)</w:t>
      </w:r>
    </w:p>
    <w:p>
      <w:pPr>
        <w:spacing w:after="0" w:line="170"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39"/>
        </w:numPr>
        <w:rPr>
          <w:rFonts w:ascii="Arial" w:cs="Arial" w:eastAsia="Arial" w:hAnsi="Arial"/>
          <w:sz w:val="18"/>
          <w:szCs w:val="18"/>
          <w:color w:val="A6A6A6"/>
        </w:rPr>
      </w:pPr>
      <w:r>
        <w:rPr>
          <w:rFonts w:ascii="Arial" w:cs="Arial" w:eastAsia="Arial" w:hAnsi="Arial"/>
          <w:sz w:val="18"/>
          <w:szCs w:val="18"/>
          <w:color w:val="auto"/>
        </w:rPr>
        <w:t>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6A6A6"/>
        </w:rPr>
      </w:pPr>
    </w:p>
    <w:p>
      <w:pPr>
        <w:ind w:left="660" w:right="80" w:hanging="328"/>
        <w:spacing w:after="0" w:line="342" w:lineRule="auto"/>
        <w:tabs>
          <w:tab w:leader="none" w:pos="660" w:val="left"/>
        </w:tabs>
        <w:numPr>
          <w:ilvl w:val="0"/>
          <w:numId w:val="39"/>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 (Expected initiation in the fourth quarter of 2014 and expected completion in the fourth quarter of 2015)</w:t>
      </w:r>
    </w:p>
    <w:p>
      <w:pPr>
        <w:spacing w:after="0" w:line="123" w:lineRule="exact"/>
        <w:rPr>
          <w:rFonts w:ascii="Arial" w:cs="Arial" w:eastAsia="Arial" w:hAnsi="Arial"/>
          <w:sz w:val="16"/>
          <w:szCs w:val="16"/>
          <w:color w:val="A6A6A6"/>
        </w:rPr>
      </w:pPr>
    </w:p>
    <w:p>
      <w:pPr>
        <w:ind w:left="660" w:right="260" w:hanging="328"/>
        <w:spacing w:after="0" w:line="277" w:lineRule="auto"/>
        <w:tabs>
          <w:tab w:leader="none" w:pos="660" w:val="left"/>
        </w:tabs>
        <w:numPr>
          <w:ilvl w:val="0"/>
          <w:numId w:val="39"/>
        </w:numPr>
        <w:rPr>
          <w:rFonts w:ascii="Arial" w:cs="Arial" w:eastAsia="Arial" w:hAnsi="Arial"/>
          <w:sz w:val="18"/>
          <w:szCs w:val="18"/>
          <w:color w:val="A6A6A6"/>
        </w:rPr>
      </w:pPr>
      <w:r>
        <w:rPr>
          <w:rFonts w:ascii="Arial" w:cs="Arial" w:eastAsia="Arial" w:hAnsi="Arial"/>
          <w:sz w:val="18"/>
          <w:szCs w:val="18"/>
          <w:color w:val="auto"/>
        </w:rPr>
        <w:t>Conduct development of additional new molecules in Alcobra's pipeline that are protected by patents, or in-license products in similar therapeutic areas.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MG01CI Overview and Mechanism of Action</w:t>
      </w:r>
    </w:p>
    <w:p>
      <w:pPr>
        <w:spacing w:after="0" w:line="229"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that, if issued, would prevent the use by others of Metadoxine to treat ADHD and all other cognitive disorders.</w:t>
      </w:r>
    </w:p>
    <w:p>
      <w:pPr>
        <w:spacing w:after="0" w:line="18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Atomoxetine (Strattera), the only non-stimulant approved for adults, works through modulating norepinephrine. MG01CI has the potential to be the first product approved for ADHD that works on the brain network that is controlled by the serotonin protein, in contrast to the dopamine pathway and the norepinephrine pathway.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right="20" w:firstLine="389"/>
        <w:spacing w:after="0" w:line="269" w:lineRule="auto"/>
        <w:rPr>
          <w:sz w:val="20"/>
          <w:szCs w:val="20"/>
          <w:color w:val="auto"/>
        </w:rPr>
      </w:pPr>
      <w:r>
        <w:rPr>
          <w:rFonts w:ascii="Arial" w:cs="Arial" w:eastAsia="Arial" w:hAnsi="Arial"/>
          <w:sz w:val="17"/>
          <w:szCs w:val="17"/>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 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203" w:lineRule="exact"/>
        <w:rPr>
          <w:sz w:val="20"/>
          <w:szCs w:val="20"/>
          <w:color w:val="auto"/>
        </w:rPr>
      </w:pPr>
    </w:p>
    <w:p>
      <w:pPr>
        <w:ind w:right="240" w:firstLine="389"/>
        <w:spacing w:after="0"/>
        <w:rPr>
          <w:sz w:val="20"/>
          <w:szCs w:val="20"/>
          <w:color w:val="auto"/>
        </w:rPr>
      </w:pPr>
      <w:r>
        <w:rPr>
          <w:rFonts w:ascii="Arial" w:cs="Arial" w:eastAsia="Arial" w:hAnsi="Arial"/>
          <w:sz w:val="22"/>
          <w:szCs w:val="22"/>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194"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Symptom and Clinical Efficacy Measurement</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81" w:lineRule="exact"/>
        <w:rPr>
          <w:sz w:val="20"/>
          <w:szCs w:val="20"/>
          <w:color w:val="auto"/>
        </w:rPr>
      </w:pPr>
    </w:p>
    <w:p>
      <w:pPr>
        <w:jc w:val="both"/>
        <w:ind w:left="420" w:hanging="7"/>
        <w:spacing w:after="0" w:line="257" w:lineRule="auto"/>
        <w:tabs>
          <w:tab w:leader="none" w:pos="510" w:val="left"/>
        </w:tabs>
        <w:numPr>
          <w:ilvl w:val="0"/>
          <w:numId w:val="40"/>
        </w:numPr>
        <w:rPr>
          <w:rFonts w:ascii="Arial" w:cs="Arial" w:eastAsia="Arial" w:hAnsi="Arial"/>
          <w:sz w:val="18"/>
          <w:szCs w:val="18"/>
          <w:color w:val="A6A6A6"/>
        </w:rPr>
      </w:pPr>
      <w:r>
        <w:rPr>
          <w:rFonts w:ascii="Arial" w:cs="Arial" w:eastAsia="Arial" w:hAnsi="Arial"/>
          <w:sz w:val="18"/>
          <w:szCs w:val="18"/>
          <w:i w:val="1"/>
          <w:iCs w:val="1"/>
          <w:color w:val="auto"/>
        </w:rPr>
        <w:t xml:space="preserve">Conners’ Adult ADHD Rating Scales (CAARS). </w:t>
      </w:r>
      <w:r>
        <w:rPr>
          <w:rFonts w:ascii="Arial" w:cs="Arial" w:eastAsia="Arial" w:hAnsi="Arial"/>
          <w:sz w:val="18"/>
          <w:szCs w:val="18"/>
          <w:color w:val="auto"/>
        </w:rPr>
        <w:t>CAARS measure the presence and severity of ADHD symptoms to determine whether or not ADHD is</w:t>
      </w:r>
      <w:r>
        <w:rPr>
          <w:rFonts w:ascii="Arial" w:cs="Arial" w:eastAsia="Arial" w:hAnsi="Arial"/>
          <w:sz w:val="18"/>
          <w:szCs w:val="18"/>
          <w:i w:val="1"/>
          <w:iCs w:val="1"/>
          <w:color w:val="auto"/>
        </w:rPr>
        <w:t xml:space="preserve"> </w:t>
      </w:r>
      <w:r>
        <w:rPr>
          <w:rFonts w:ascii="Arial" w:cs="Arial" w:eastAsia="Arial" w:hAnsi="Arial"/>
          <w:sz w:val="18"/>
          <w:szCs w:val="18"/>
          <w:color w:val="auto"/>
        </w:rPr>
        <w:t>a contributing 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88" w:lineRule="exact"/>
        <w:rPr>
          <w:rFonts w:ascii="Arial" w:cs="Arial" w:eastAsia="Arial" w:hAnsi="Arial"/>
          <w:sz w:val="18"/>
          <w:szCs w:val="18"/>
          <w:color w:val="A6A6A6"/>
        </w:rPr>
      </w:pPr>
    </w:p>
    <w:p>
      <w:pPr>
        <w:jc w:val="both"/>
        <w:ind w:left="420" w:hanging="7"/>
        <w:spacing w:after="0" w:line="259" w:lineRule="auto"/>
        <w:tabs>
          <w:tab w:leader="none" w:pos="510" w:val="left"/>
        </w:tabs>
        <w:numPr>
          <w:ilvl w:val="0"/>
          <w:numId w:val="40"/>
        </w:numPr>
        <w:rPr>
          <w:rFonts w:ascii="Arial" w:cs="Arial" w:eastAsia="Arial" w:hAnsi="Arial"/>
          <w:sz w:val="18"/>
          <w:szCs w:val="18"/>
          <w:color w:val="A6A6A6"/>
        </w:rPr>
      </w:pPr>
      <w:r>
        <w:rPr>
          <w:rFonts w:ascii="Arial" w:cs="Arial" w:eastAsia="Arial" w:hAnsi="Arial"/>
          <w:sz w:val="18"/>
          <w:szCs w:val="18"/>
          <w:i w:val="1"/>
          <w:iCs w:val="1"/>
          <w:color w:val="auto"/>
        </w:rPr>
        <w:t xml:space="preserve">Adult ADHD Quality of Life Questionnaire (AAQoL). </w:t>
      </w:r>
      <w:r>
        <w:rPr>
          <w:rFonts w:ascii="Arial" w:cs="Arial" w:eastAsia="Arial" w:hAnsi="Arial"/>
          <w:sz w:val="18"/>
          <w:szCs w:val="18"/>
          <w:color w:val="auto"/>
        </w:rPr>
        <w:t>AAQoL provides a validated disease-specific measure of the impact of ADHD on the quality of</w:t>
      </w:r>
      <w:r>
        <w:rPr>
          <w:rFonts w:ascii="Arial" w:cs="Arial" w:eastAsia="Arial" w:hAnsi="Arial"/>
          <w:sz w:val="18"/>
          <w:szCs w:val="18"/>
          <w:i w:val="1"/>
          <w:iCs w:val="1"/>
          <w:color w:val="auto"/>
        </w:rPr>
        <w:t xml:space="preserve"> </w:t>
      </w:r>
      <w:r>
        <w:rPr>
          <w:rFonts w:ascii="Arial" w:cs="Arial" w:eastAsia="Arial" w:hAnsi="Arial"/>
          <w:sz w:val="18"/>
          <w:szCs w:val="18"/>
          <w:color w:val="auto"/>
        </w:rPr>
        <w:t>life. It is measured 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86" w:lineRule="exact"/>
        <w:rPr>
          <w:rFonts w:ascii="Arial" w:cs="Arial" w:eastAsia="Arial" w:hAnsi="Arial"/>
          <w:sz w:val="18"/>
          <w:szCs w:val="18"/>
          <w:color w:val="A6A6A6"/>
        </w:rPr>
      </w:pPr>
    </w:p>
    <w:p>
      <w:pPr>
        <w:jc w:val="both"/>
        <w:ind w:left="420" w:hanging="7"/>
        <w:spacing w:after="0" w:line="257" w:lineRule="auto"/>
        <w:tabs>
          <w:tab w:leader="none" w:pos="523" w:val="left"/>
        </w:tabs>
        <w:numPr>
          <w:ilvl w:val="0"/>
          <w:numId w:val="40"/>
        </w:numPr>
        <w:rPr>
          <w:rFonts w:ascii="Arial" w:cs="Arial" w:eastAsia="Arial" w:hAnsi="Arial"/>
          <w:sz w:val="18"/>
          <w:szCs w:val="18"/>
          <w:color w:val="A6A6A6"/>
        </w:rPr>
      </w:pPr>
      <w:r>
        <w:rPr>
          <w:rFonts w:ascii="Arial" w:cs="Arial" w:eastAsia="Arial" w:hAnsi="Arial"/>
          <w:sz w:val="18"/>
          <w:szCs w:val="18"/>
          <w:i w:val="1"/>
          <w:iCs w:val="1"/>
          <w:color w:val="auto"/>
        </w:rPr>
        <w:t xml:space="preserve">Test of Variables of Attention (TOVA). </w:t>
      </w:r>
      <w:r>
        <w:rPr>
          <w:rFonts w:ascii="Arial" w:cs="Arial" w:eastAsia="Arial" w:hAnsi="Arial"/>
          <w:sz w:val="18"/>
          <w:szCs w:val="18"/>
          <w:color w:val="auto"/>
        </w:rPr>
        <w:t>TOVA is a computerized test that assists in the screening, diagnosis, and treatment monitoring of attention</w:t>
      </w:r>
      <w:r>
        <w:rPr>
          <w:rFonts w:ascii="Arial" w:cs="Arial" w:eastAsia="Arial" w:hAnsi="Arial"/>
          <w:sz w:val="18"/>
          <w:szCs w:val="18"/>
          <w:i w:val="1"/>
          <w:iCs w:val="1"/>
          <w:color w:val="auto"/>
        </w:rPr>
        <w:t xml:space="preserve"> </w:t>
      </w:r>
      <w:r>
        <w:rPr>
          <w:rFonts w:ascii="Arial" w:cs="Arial" w:eastAsia="Arial" w:hAnsi="Arial"/>
          <w:sz w:val="18"/>
          <w:szCs w:val="18"/>
          <w:color w:val="auto"/>
        </w:rPr>
        <w:t>disorders such as ADHD. 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conducted several clinical trials in adult ADHD patients in Israel testing the safety and efficacy of our novel non-stimulant drug candidate,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MG01CI. These trials included: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4" w:name="page45"/>
    <w:bookmarkEnd w:id="44"/>
    <w:p>
      <w:pPr>
        <w:ind w:left="1060" w:right="20" w:hanging="323"/>
        <w:spacing w:after="0" w:line="277" w:lineRule="auto"/>
        <w:tabs>
          <w:tab w:leader="none" w:pos="1060" w:val="left"/>
        </w:tabs>
        <w:numPr>
          <w:ilvl w:val="0"/>
          <w:numId w:val="41"/>
        </w:numPr>
        <w:rPr>
          <w:rFonts w:ascii="Arial" w:cs="Arial" w:eastAsia="Arial" w:hAnsi="Arial"/>
          <w:sz w:val="18"/>
          <w:szCs w:val="18"/>
          <w:color w:val="A6A6A6"/>
        </w:rPr>
      </w:pPr>
      <w:r>
        <w:rPr>
          <w:rFonts w:ascii="Arial" w:cs="Arial" w:eastAsia="Arial" w:hAnsi="Arial"/>
          <w:sz w:val="18"/>
          <w:szCs w:val="18"/>
          <w:color w:val="auto"/>
        </w:rPr>
        <w:t>A Phase IIa proof of concept study of 38 adult ADHD patients, followed by two extension studies to determine length of efficacy and optimized dosages; and</w:t>
      </w:r>
    </w:p>
    <w:p>
      <w:pPr>
        <w:spacing w:after="0" w:line="170" w:lineRule="exact"/>
        <w:rPr>
          <w:rFonts w:ascii="Arial" w:cs="Arial" w:eastAsia="Arial" w:hAnsi="Arial"/>
          <w:sz w:val="18"/>
          <w:szCs w:val="18"/>
          <w:color w:val="A6A6A6"/>
        </w:rPr>
      </w:pPr>
    </w:p>
    <w:p>
      <w:pPr>
        <w:ind w:left="1060" w:hanging="323"/>
        <w:spacing w:after="0" w:line="342" w:lineRule="auto"/>
        <w:tabs>
          <w:tab w:leader="none" w:pos="1060" w:val="left"/>
        </w:tabs>
        <w:numPr>
          <w:ilvl w:val="0"/>
          <w:numId w:val="41"/>
        </w:numPr>
        <w:rPr>
          <w:rFonts w:ascii="Arial" w:cs="Arial" w:eastAsia="Arial" w:hAnsi="Arial"/>
          <w:sz w:val="16"/>
          <w:szCs w:val="16"/>
          <w:color w:val="A6A6A6"/>
        </w:rPr>
      </w:pPr>
      <w:r>
        <w:rPr>
          <w:rFonts w:ascii="Arial" w:cs="Arial" w:eastAsia="Arial" w:hAnsi="Arial"/>
          <w:sz w:val="16"/>
          <w:szCs w:val="16"/>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 information about our clinical trials is shown in the following chart.</w:t>
      </w:r>
    </w:p>
    <w:p>
      <w:pPr>
        <w:spacing w:after="0" w:line="23" w:lineRule="exact"/>
        <w:rPr>
          <w:sz w:val="20"/>
          <w:szCs w:val="20"/>
          <w:color w:val="auto"/>
        </w:rPr>
      </w:pPr>
    </w:p>
    <w:tbl>
      <w:tblPr>
        <w:tblLayout w:type="fixed"/>
        <w:tblInd w:w="430" w:type="dxa"/>
        <w:tblCellMar>
          <w:top w:w="0" w:type="dxa"/>
          <w:left w:w="0" w:type="dxa"/>
          <w:bottom w:w="0" w:type="dxa"/>
          <w:right w:w="0" w:type="dxa"/>
        </w:tblCellMar>
      </w:tblPr>
      <w:tr>
        <w:trPr>
          <w:trHeight w:val="210"/>
        </w:trPr>
        <w:tc>
          <w:tcPr>
            <w:tcW w:w="38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82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Phase IIa</w:t>
            </w:r>
          </w:p>
        </w:tc>
        <w:tc>
          <w:tcPr>
            <w:tcW w:w="3880" w:type="dxa"/>
            <w:vAlign w:val="bottom"/>
            <w:tcBorders>
              <w:top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Phase IIb</w:t>
            </w:r>
          </w:p>
        </w:tc>
      </w:tr>
      <w:tr>
        <w:trPr>
          <w:trHeight w:val="210"/>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the clinical study was held</w:t>
            </w:r>
          </w:p>
        </w:tc>
        <w:tc>
          <w:tcPr>
            <w:tcW w:w="2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Q1-Q2 2010</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Q2-Q3 2011</w:t>
            </w:r>
          </w:p>
        </w:tc>
      </w:tr>
      <w:tr>
        <w:trPr>
          <w:trHeight w:val="210"/>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How long the clinical study was active</w:t>
            </w:r>
          </w:p>
        </w:tc>
        <w:tc>
          <w:tcPr>
            <w:tcW w:w="282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3 months</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4 months</w:t>
            </w:r>
          </w:p>
        </w:tc>
      </w:tr>
      <w:tr>
        <w:trPr>
          <w:trHeight w:val="195"/>
        </w:trPr>
        <w:tc>
          <w:tcPr>
            <w:tcW w:w="38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How we targeted patients to enroll</w:t>
            </w:r>
          </w:p>
        </w:tc>
        <w:tc>
          <w:tcPr>
            <w:tcW w:w="2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Existing adult patients in local</w:t>
            </w:r>
          </w:p>
        </w:tc>
        <w:tc>
          <w:tcPr>
            <w:tcW w:w="3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Existing adult patients in local clinics; online</w:t>
            </w:r>
          </w:p>
        </w:tc>
      </w:tr>
      <w:tr>
        <w:trPr>
          <w:trHeight w:val="230"/>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ADHD treatment clinic</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advertisement; newspaper advertisement</w:t>
            </w:r>
          </w:p>
        </w:tc>
      </w:tr>
      <w:tr>
        <w:trPr>
          <w:trHeight w:val="195"/>
        </w:trPr>
        <w:tc>
          <w:tcPr>
            <w:tcW w:w="3800" w:type="dxa"/>
            <w:vAlign w:val="bottom"/>
            <w:tcBorders>
              <w:left w:val="single" w:sz="8" w:color="auto"/>
              <w:right w:val="single" w:sz="8" w:color="auto"/>
            </w:tcBorders>
            <w:shd w:val="clear" w:color="auto" w:fill="E5E5E5"/>
          </w:tcPr>
          <w:p>
            <w:pPr>
              <w:ind w:left="100"/>
              <w:spacing w:after="0" w:line="195" w:lineRule="exact"/>
              <w:rPr>
                <w:sz w:val="20"/>
                <w:szCs w:val="20"/>
                <w:color w:val="auto"/>
              </w:rPr>
            </w:pPr>
            <w:r>
              <w:rPr>
                <w:rFonts w:ascii="Arial" w:cs="Arial" w:eastAsia="Arial" w:hAnsi="Arial"/>
                <w:sz w:val="18"/>
                <w:szCs w:val="18"/>
                <w:color w:val="auto"/>
                <w:w w:val="96"/>
              </w:rPr>
              <w:t>Whether we conducted the study with any other</w:t>
            </w:r>
          </w:p>
        </w:tc>
        <w:tc>
          <w:tcPr>
            <w:tcW w:w="2820" w:type="dxa"/>
            <w:vAlign w:val="bottom"/>
            <w:tcBorders>
              <w:right w:val="single" w:sz="8" w:color="auto"/>
            </w:tcBorders>
            <w:shd w:val="clear" w:color="auto" w:fill="E5E5E5"/>
          </w:tcPr>
          <w:p>
            <w:pPr>
              <w:ind w:left="80"/>
              <w:spacing w:after="0" w:line="195" w:lineRule="exact"/>
              <w:rPr>
                <w:sz w:val="20"/>
                <w:szCs w:val="20"/>
                <w:color w:val="auto"/>
              </w:rPr>
            </w:pPr>
            <w:r>
              <w:rPr>
                <w:rFonts w:ascii="Arial" w:cs="Arial" w:eastAsia="Arial" w:hAnsi="Arial"/>
                <w:sz w:val="18"/>
                <w:szCs w:val="18"/>
                <w:color w:val="auto"/>
              </w:rPr>
              <w:t>No</w:t>
            </w:r>
          </w:p>
        </w:tc>
        <w:tc>
          <w:tcPr>
            <w:tcW w:w="3880" w:type="dxa"/>
            <w:vAlign w:val="bottom"/>
            <w:tcBorders>
              <w:right w:val="single" w:sz="8" w:color="auto"/>
            </w:tcBorders>
            <w:shd w:val="clear" w:color="auto" w:fill="E5E5E5"/>
          </w:tcPr>
          <w:p>
            <w:pPr>
              <w:ind w:left="80"/>
              <w:spacing w:after="0" w:line="195" w:lineRule="exact"/>
              <w:rPr>
                <w:sz w:val="20"/>
                <w:szCs w:val="20"/>
                <w:color w:val="auto"/>
              </w:rPr>
            </w:pPr>
            <w:r>
              <w:rPr>
                <w:rFonts w:ascii="Arial" w:cs="Arial" w:eastAsia="Arial" w:hAnsi="Arial"/>
                <w:sz w:val="18"/>
                <w:szCs w:val="18"/>
                <w:color w:val="auto"/>
              </w:rPr>
              <w:t>No</w:t>
            </w:r>
          </w:p>
        </w:tc>
      </w:tr>
      <w:tr>
        <w:trPr>
          <w:trHeight w:val="230"/>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parties</w:t>
            </w:r>
          </w:p>
        </w:tc>
        <w:tc>
          <w:tcPr>
            <w:tcW w:w="2820" w:type="dxa"/>
            <w:vAlign w:val="bottom"/>
            <w:tcBorders>
              <w:bottom w:val="single" w:sz="8" w:color="auto"/>
              <w:right w:val="single" w:sz="8" w:color="auto"/>
            </w:tcBorders>
            <w:shd w:val="clear" w:color="auto" w:fill="E5E5E5"/>
          </w:tcPr>
          <w:p>
            <w:pPr>
              <w:spacing w:after="0"/>
              <w:rPr>
                <w:sz w:val="20"/>
                <w:szCs w:val="20"/>
                <w:color w:val="auto"/>
              </w:rPr>
            </w:pPr>
          </w:p>
        </w:tc>
        <w:tc>
          <w:tcPr>
            <w:tcW w:w="3880" w:type="dxa"/>
            <w:vAlign w:val="bottom"/>
            <w:tcBorders>
              <w:bottom w:val="single" w:sz="8" w:color="auto"/>
              <w:right w:val="single" w:sz="8" w:color="auto"/>
            </w:tcBorders>
            <w:shd w:val="clear" w:color="auto" w:fill="E5E5E5"/>
          </w:tcPr>
          <w:p>
            <w:pPr>
              <w:spacing w:after="0"/>
              <w:rPr>
                <w:sz w:val="20"/>
                <w:szCs w:val="20"/>
                <w:color w:val="auto"/>
              </w:rPr>
            </w:pPr>
          </w:p>
        </w:tc>
      </w:tr>
      <w:tr>
        <w:trPr>
          <w:trHeight w:val="195"/>
        </w:trPr>
        <w:tc>
          <w:tcPr>
            <w:tcW w:w="38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 steps taken to ensure the accuracy of the</w:t>
            </w:r>
          </w:p>
        </w:tc>
        <w:tc>
          <w:tcPr>
            <w:tcW w:w="670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9"/>
              </w:rPr>
              <w:t>Outside contract research organization (CRO) oversight, including monitoring visits;</w:t>
            </w:r>
          </w:p>
        </w:tc>
      </w:tr>
      <w:tr>
        <w:trPr>
          <w:trHeight w:val="216"/>
        </w:trPr>
        <w:tc>
          <w:tcPr>
            <w:tcW w:w="38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results</w:t>
            </w:r>
          </w:p>
        </w:tc>
        <w:tc>
          <w:tcPr>
            <w:tcW w:w="67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outside medical monitor; double-typing of data in the data management system;</w:t>
            </w:r>
          </w:p>
        </w:tc>
      </w:tr>
      <w:tr>
        <w:trPr>
          <w:trHeight w:val="230"/>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6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automatic and manual query generation; and external expert review</w:t>
            </w:r>
          </w:p>
        </w:tc>
      </w:tr>
    </w:tbl>
    <w:p>
      <w:pPr>
        <w:spacing w:after="0" w:line="20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WAIS-R test. 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Results of this clinical study showed clinically and highly statistically significant improvement in all the TOVA parameters that were abnormal at baseline. 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 small extension study to study the duration of drug benefits,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124460</wp:posOffset>
            </wp:positionV>
            <wp:extent cx="3567430" cy="20840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74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 ADHD Scores Following Single MG01CI Dosing</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another extension study designed to identify the most effective dose for MG01CI,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1400810</wp:posOffset>
            </wp:positionH>
            <wp:positionV relativeFrom="page">
              <wp:posOffset>740410</wp:posOffset>
            </wp:positionV>
            <wp:extent cx="4759325" cy="26327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75932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Mean ADHD Scores Before and 90 Minutes Following One of Three MG01CI Doses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Phase IIb Clinical Study</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recently completed a six-week randomized, double-blind, placebo-controlled, parallel-group, multi-center Phase IIb study in 120 adult subjects with ADHD that was performed in two centers in Israel: the ADHD unit at Geha Mental Health Hospital and the Cognitive Neurology unit at Rambam Healthcare Campus. ADHD subjects were randomly assigned in a 1:1 ratio to one of two treatment groups : 1,400mg MG01CI and matching placebo.</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primary efficacy measure was the CAARS questionnaire, and the secondary efficacy measures were the TOVA test and the AAQoL questionnaire.</w:t>
      </w: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Significant improvements in CAARS scores, TOVA ADHD scores and AAQoL scores. Total scores were observed in the MG01CI treated group versus the placebo group.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Clinical Data and Key Conclusions</w:t>
      </w:r>
    </w:p>
    <w:p>
      <w:pPr>
        <w:spacing w:after="0" w:line="225" w:lineRule="exact"/>
        <w:rPr>
          <w:sz w:val="20"/>
          <w:szCs w:val="20"/>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6A6A6"/>
        </w:rPr>
      </w:pPr>
      <w:r>
        <w:rPr>
          <w:rFonts w:ascii="Arial" w:cs="Arial" w:eastAsia="Arial" w:hAnsi="Arial"/>
          <w:sz w:val="18"/>
          <w:szCs w:val="18"/>
          <w:color w:val="auto"/>
        </w:rPr>
        <w:t>Subjects treated with MG01CI showed statistically significant improvement in CAARS Total ADHD Symptoms Score, as well as higher response rates on the CAARS Total ADHD Symptom Score over subjects treated with placebo</w:t>
      </w:r>
    </w:p>
    <w:p>
      <w:pPr>
        <w:spacing w:after="0" w:line="170" w:lineRule="exact"/>
        <w:rPr>
          <w:rFonts w:ascii="Arial" w:cs="Arial" w:eastAsia="Arial" w:hAnsi="Arial"/>
          <w:sz w:val="18"/>
          <w:szCs w:val="18"/>
          <w:color w:val="A6A6A6"/>
        </w:rPr>
      </w:pPr>
    </w:p>
    <w:p>
      <w:pPr>
        <w:ind w:left="660" w:hanging="328"/>
        <w:spacing w:after="0" w:line="277" w:lineRule="auto"/>
        <w:tabs>
          <w:tab w:leader="none" w:pos="660" w:val="left"/>
        </w:tabs>
        <w:numPr>
          <w:ilvl w:val="0"/>
          <w:numId w:val="42"/>
        </w:numPr>
        <w:rPr>
          <w:rFonts w:ascii="Arial" w:cs="Arial" w:eastAsia="Arial" w:hAnsi="Arial"/>
          <w:sz w:val="18"/>
          <w:szCs w:val="18"/>
          <w:color w:val="A6A6A6"/>
        </w:rPr>
      </w:pPr>
      <w:r>
        <w:rPr>
          <w:rFonts w:ascii="Arial" w:cs="Arial" w:eastAsia="Arial" w:hAnsi="Arial"/>
          <w:sz w:val="18"/>
          <w:szCs w:val="18"/>
          <w:color w:val="auto"/>
        </w:rPr>
        <w:t>Improvements in ADHD symptoms (scored by CAARS) were significantly different in subjects treated with MG01CI vs. placebo as early as 2 weeks following treatment initiation</w:t>
      </w:r>
    </w:p>
    <w:p>
      <w:pPr>
        <w:spacing w:after="0" w:line="170" w:lineRule="exact"/>
        <w:rPr>
          <w:rFonts w:ascii="Arial" w:cs="Arial" w:eastAsia="Arial" w:hAnsi="Arial"/>
          <w:sz w:val="18"/>
          <w:szCs w:val="18"/>
          <w:color w:val="A6A6A6"/>
        </w:rPr>
      </w:pPr>
    </w:p>
    <w:p>
      <w:pPr>
        <w:jc w:val="both"/>
        <w:ind w:left="660" w:hanging="328"/>
        <w:spacing w:after="0" w:line="259" w:lineRule="auto"/>
        <w:tabs>
          <w:tab w:leader="none" w:pos="660" w:val="left"/>
        </w:tabs>
        <w:numPr>
          <w:ilvl w:val="0"/>
          <w:numId w:val="42"/>
        </w:numPr>
        <w:rPr>
          <w:rFonts w:ascii="Arial" w:cs="Arial" w:eastAsia="Arial" w:hAnsi="Arial"/>
          <w:sz w:val="18"/>
          <w:szCs w:val="18"/>
          <w:color w:val="A6A6A6"/>
        </w:rPr>
      </w:pPr>
      <w:r>
        <w:rPr>
          <w:rFonts w:ascii="Arial" w:cs="Arial" w:eastAsia="Arial" w:hAnsi="Arial"/>
          <w:sz w:val="18"/>
          <w:szCs w:val="18"/>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86" w:lineRule="exact"/>
        <w:rPr>
          <w:rFonts w:ascii="Arial" w:cs="Arial" w:eastAsia="Arial" w:hAnsi="Arial"/>
          <w:sz w:val="18"/>
          <w:szCs w:val="18"/>
          <w:color w:val="A6A6A6"/>
        </w:rPr>
      </w:pPr>
    </w:p>
    <w:p>
      <w:pPr>
        <w:jc w:val="both"/>
        <w:ind w:left="660" w:hanging="328"/>
        <w:spacing w:after="0" w:line="264" w:lineRule="auto"/>
        <w:tabs>
          <w:tab w:leader="none" w:pos="660" w:val="left"/>
        </w:tabs>
        <w:numPr>
          <w:ilvl w:val="0"/>
          <w:numId w:val="42"/>
        </w:numPr>
        <w:rPr>
          <w:rFonts w:ascii="Arial" w:cs="Arial" w:eastAsia="Arial" w:hAnsi="Arial"/>
          <w:sz w:val="18"/>
          <w:szCs w:val="18"/>
          <w:color w:val="A6A6A6"/>
        </w:rPr>
      </w:pPr>
      <w:r>
        <w:rPr>
          <w:rFonts w:ascii="Arial" w:cs="Arial" w:eastAsia="Arial" w:hAnsi="Arial"/>
          <w:sz w:val="18"/>
          <w:szCs w:val="18"/>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6 of the treatment.</w:t>
      </w:r>
    </w:p>
    <w:p>
      <w:pPr>
        <w:spacing w:after="0" w:line="1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intend to initiate discussions with FDA on the Phase III program for MG01CI in adults and children with ADHD. These discussions, planned for 2013, will establish and confirm the clinical development plan proposed by the Company, which is derived from the Agency's clear track record and guidance on ADHD drug development in the last decade. The Company will likely execute two Phase III trials in adults with ADHD, each including 250 patients, in 2014, as well as a Phase I/II pediatric study. The inclusion/exclusion profile for patients in these studies, the general study design and selection of endpoints, and the follow-up period should be similar to Phase III studies conducted in recent years. It should be noted that our Phase IIb trial was modeled based on these regulatory requirements and on trial characteristics that have been acceptable to FDA in recent ADHD development programs.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Adverse Events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ectPr>
          <w:pgSz w:w="11900" w:h="16838" w:orient="portrait"/>
          <w:cols w:equalWidth="0" w:num="1">
            <w:col w:w="11420"/>
          </w:cols>
          <w:pgMar w:left="240" w:top="1440" w:right="239" w:bottom="121" w:gutter="0" w:footer="0" w:header="0"/>
        </w:sectPr>
      </w:pPr>
    </w:p>
    <w:bookmarkStart w:id="46" w:name="page47"/>
    <w:bookmarkEnd w:id="46"/>
    <w:p>
      <w:pPr>
        <w:ind w:firstLine="405"/>
        <w:spacing w:after="0" w:line="277" w:lineRule="auto"/>
        <w:rPr>
          <w:sz w:val="20"/>
          <w:szCs w:val="20"/>
          <w:color w:val="auto"/>
        </w:rPr>
      </w:pPr>
      <w:r>
        <w:rPr>
          <w:rFonts w:ascii="Arial" w:cs="Arial" w:eastAsia="Arial" w:hAnsi="Arial"/>
          <w:sz w:val="18"/>
          <w:szCs w:val="18"/>
          <w:color w:val="auto"/>
        </w:rPr>
        <w:t>In addition, products containing Metadoxine outside the United States cite either complete lack of adverse events or infrequent diarrhea and moderate skin rash.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200" w:firstLine="415"/>
        <w:spacing w:after="0" w:line="312"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47" w:lineRule="exact"/>
        <w:rPr>
          <w:sz w:val="20"/>
          <w:szCs w:val="20"/>
          <w:color w:val="auto"/>
        </w:rPr>
      </w:pPr>
    </w:p>
    <w:p>
      <w:pPr>
        <w:ind w:right="20" w:firstLine="415"/>
        <w:spacing w:after="0" w:line="29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2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tends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87"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Strategic Relationship with Teva Pharmaceuticals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Following our successful proof of concept trials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right="300" w:firstLine="416"/>
        <w:spacing w:after="0" w:line="264" w:lineRule="auto"/>
        <w:rPr>
          <w:sz w:val="20"/>
          <w:szCs w:val="20"/>
          <w:color w:val="auto"/>
        </w:rPr>
      </w:pPr>
      <w:r>
        <w:rPr>
          <w:rFonts w:ascii="Arial" w:cs="Arial" w:eastAsia="Arial" w:hAnsi="Arial"/>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81" w:lineRule="exact"/>
        <w:rPr>
          <w:sz w:val="20"/>
          <w:szCs w:val="20"/>
          <w:color w:val="auto"/>
        </w:rPr>
      </w:pPr>
    </w:p>
    <w:p>
      <w:pPr>
        <w:ind w:right="60" w:firstLine="416"/>
        <w:spacing w:after="0" w:line="293"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firstLine="416"/>
        <w:spacing w:after="0" w:line="293" w:lineRule="auto"/>
        <w:rPr>
          <w:sz w:val="20"/>
          <w:szCs w:val="20"/>
          <w:color w:val="auto"/>
        </w:rPr>
      </w:pPr>
      <w:r>
        <w:rPr>
          <w:rFonts w:ascii="Arial" w:cs="Arial" w:eastAsia="Arial" w:hAnsi="Arial"/>
          <w:sz w:val="16"/>
          <w:szCs w:val="16"/>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4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89" w:lineRule="exact"/>
        <w:rPr>
          <w:sz w:val="20"/>
          <w:szCs w:val="20"/>
          <w:color w:val="auto"/>
        </w:rPr>
      </w:pPr>
    </w:p>
    <w:p>
      <w:pPr>
        <w:ind w:right="20" w:firstLine="416"/>
        <w:spacing w:after="0" w:line="302"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720" w:hanging="307"/>
        <w:spacing w:after="0"/>
        <w:tabs>
          <w:tab w:leader="none" w:pos="72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operate our business without infringing the patents and proprietary rights of third parties, both in the United States and internationally.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right="80" w:firstLine="416"/>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Clinical trials, the drug approval process, and the marketing of drugs is intensively regulated in the United States and in all major foreign countries.</w:t>
      </w:r>
    </w:p>
    <w:p>
      <w:pPr>
        <w:spacing w:after="0" w:line="237" w:lineRule="exact"/>
        <w:rPr>
          <w:sz w:val="20"/>
          <w:szCs w:val="20"/>
          <w:color w:val="auto"/>
        </w:rPr>
      </w:pPr>
    </w:p>
    <w:p>
      <w:pPr>
        <w:ind w:right="160" w:firstLine="416"/>
        <w:spacing w:after="0" w:line="293"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5"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ind w:right="200" w:firstLine="416"/>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1060" w:hanging="323"/>
        <w:spacing w:after="0"/>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6A6A6"/>
        </w:rPr>
      </w:pPr>
    </w:p>
    <w:p>
      <w:pPr>
        <w:ind w:left="1200" w:hanging="452"/>
        <w:spacing w:after="0"/>
        <w:tabs>
          <w:tab w:leader="none" w:pos="1200" w:val="left"/>
        </w:tabs>
        <w:numPr>
          <w:ilvl w:val="1"/>
          <w:numId w:val="44"/>
        </w:numPr>
        <w:rPr>
          <w:rFonts w:ascii="Arial" w:cs="Arial" w:eastAsia="Arial" w:hAnsi="Arial"/>
          <w:sz w:val="18"/>
          <w:szCs w:val="18"/>
          <w:color w:val="A6A6A6"/>
        </w:rPr>
      </w:pPr>
      <w:r>
        <w:rPr>
          <w:rFonts w:ascii="Arial" w:cs="Arial" w:eastAsia="Arial" w:hAnsi="Arial"/>
          <w:sz w:val="18"/>
          <w:szCs w:val="18"/>
          <w:color w:val="auto"/>
        </w:rPr>
        <w:t>submission of an Investigational New Drug, or IND, application which must become effective before clinical trials may begin;</w:t>
      </w:r>
    </w:p>
    <w:p>
      <w:pPr>
        <w:spacing w:after="0" w:line="225" w:lineRule="exact"/>
        <w:rPr>
          <w:rFonts w:ascii="Arial" w:cs="Arial" w:eastAsia="Arial" w:hAnsi="Arial"/>
          <w:sz w:val="18"/>
          <w:szCs w:val="18"/>
          <w:color w:val="A6A6A6"/>
        </w:rPr>
      </w:pPr>
    </w:p>
    <w:p>
      <w:pPr>
        <w:ind w:left="1200" w:hanging="452"/>
        <w:spacing w:after="0"/>
        <w:tabs>
          <w:tab w:leader="none" w:pos="1200" w:val="left"/>
        </w:tabs>
        <w:numPr>
          <w:ilvl w:val="1"/>
          <w:numId w:val="44"/>
        </w:numPr>
        <w:rPr>
          <w:rFonts w:ascii="Arial" w:cs="Arial" w:eastAsia="Arial" w:hAnsi="Arial"/>
          <w:sz w:val="17"/>
          <w:szCs w:val="17"/>
          <w:color w:val="A6A6A6"/>
        </w:rPr>
      </w:pPr>
      <w:r>
        <w:rPr>
          <w:rFonts w:ascii="Arial" w:cs="Arial" w:eastAsia="Arial" w:hAnsi="Arial"/>
          <w:sz w:val="17"/>
          <w:szCs w:val="17"/>
          <w:color w:val="auto"/>
        </w:rPr>
        <w:t>adequate and well-controlled human clinical trials to establish the safety and efficacy of the proposed drug for its intended use or uses;</w:t>
      </w:r>
    </w:p>
    <w:p>
      <w:pPr>
        <w:spacing w:after="0" w:line="236" w:lineRule="exact"/>
        <w:rPr>
          <w:rFonts w:ascii="Arial" w:cs="Arial" w:eastAsia="Arial" w:hAnsi="Arial"/>
          <w:sz w:val="17"/>
          <w:szCs w:val="17"/>
          <w:color w:val="A6A6A6"/>
        </w:rPr>
      </w:pPr>
    </w:p>
    <w:p>
      <w:pPr>
        <w:ind w:left="1200" w:hanging="452"/>
        <w:spacing w:after="0"/>
        <w:tabs>
          <w:tab w:leader="none" w:pos="1200" w:val="left"/>
        </w:tabs>
        <w:numPr>
          <w:ilvl w:val="1"/>
          <w:numId w:val="44"/>
        </w:numPr>
        <w:rPr>
          <w:rFonts w:ascii="Arial" w:cs="Arial" w:eastAsia="Arial" w:hAnsi="Arial"/>
          <w:sz w:val="18"/>
          <w:szCs w:val="18"/>
          <w:color w:val="A6A6A6"/>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6A6A6"/>
        </w:rPr>
      </w:pPr>
    </w:p>
    <w:p>
      <w:pPr>
        <w:ind w:left="1200" w:hanging="452"/>
        <w:spacing w:after="0"/>
        <w:tabs>
          <w:tab w:leader="none" w:pos="1200" w:val="left"/>
        </w:tabs>
        <w:numPr>
          <w:ilvl w:val="1"/>
          <w:numId w:val="44"/>
        </w:numPr>
        <w:rPr>
          <w:rFonts w:ascii="Arial" w:cs="Arial" w:eastAsia="Arial" w:hAnsi="Arial"/>
          <w:sz w:val="18"/>
          <w:szCs w:val="18"/>
          <w:color w:val="A6A6A6"/>
        </w:rPr>
      </w:pPr>
      <w:r>
        <w:rPr>
          <w:rFonts w:ascii="Arial" w:cs="Arial" w:eastAsia="Arial" w:hAnsi="Arial"/>
          <w:sz w:val="18"/>
          <w:szCs w:val="18"/>
          <w:color w:val="auto"/>
        </w:rPr>
        <w:t>FDA approval of a new drug application (NDA) which must occur before a drug can be marketed or sold.</w:t>
      </w:r>
    </w:p>
    <w:p>
      <w:pPr>
        <w:spacing w:after="0" w:line="22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MG01CI will be granted on a timely basis if at all.</w:t>
      </w:r>
    </w:p>
    <w:p>
      <w:pPr>
        <w:spacing w:after="0" w:line="170"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81" w:lineRule="exact"/>
        <w:rPr>
          <w:sz w:val="20"/>
          <w:szCs w:val="20"/>
          <w:color w:val="auto"/>
        </w:rPr>
      </w:pPr>
    </w:p>
    <w:p>
      <w:pPr>
        <w:ind w:left="720" w:hanging="307"/>
        <w:spacing w:after="0"/>
        <w:tabs>
          <w:tab w:leader="none" w:pos="72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obtaining regulatory approval to commence a study;</w:t>
      </w:r>
    </w:p>
    <w:p>
      <w:pPr>
        <w:spacing w:after="0" w:line="225" w:lineRule="exact"/>
        <w:rPr>
          <w:rFonts w:ascii="Arial" w:cs="Arial" w:eastAsia="Arial" w:hAnsi="Arial"/>
          <w:sz w:val="18"/>
          <w:szCs w:val="18"/>
          <w:color w:val="A6A6A6"/>
        </w:rPr>
      </w:pPr>
    </w:p>
    <w:p>
      <w:pPr>
        <w:ind w:left="420" w:right="380" w:hanging="7"/>
        <w:spacing w:after="0" w:line="277" w:lineRule="auto"/>
        <w:tabs>
          <w:tab w:leader="none" w:pos="735"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reaching agreement with third-party clinical trial sites and their subsequent performance in conducting accurate and reliable studies on a timely basis;</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obtaining institutional review board approval to conduct a study at a prospective site;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recruiting patients to participate in a study;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supply of the drug.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right="80" w:firstLine="41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60" w:firstLine="376"/>
        <w:spacing w:after="0" w:line="259" w:lineRule="auto"/>
        <w:rPr>
          <w:sz w:val="20"/>
          <w:szCs w:val="20"/>
          <w:color w:val="auto"/>
        </w:rPr>
      </w:pPr>
      <w:r>
        <w:rPr>
          <w:rFonts w:ascii="Arial" w:cs="Arial" w:eastAsia="Arial" w:hAnsi="Arial"/>
          <w:sz w:val="18"/>
          <w:szCs w:val="18"/>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 Phase II/III trial in 2013.</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25" w:lineRule="exact"/>
        <w:rPr>
          <w:sz w:val="20"/>
          <w:szCs w:val="20"/>
          <w:color w:val="auto"/>
        </w:rPr>
      </w:pPr>
    </w:p>
    <w:p>
      <w:pPr>
        <w:ind w:left="420" w:right="80" w:hanging="7"/>
        <w:spacing w:after="0" w:line="264" w:lineRule="auto"/>
        <w:tabs>
          <w:tab w:leader="none" w:pos="735" w:val="left"/>
        </w:tabs>
        <w:numPr>
          <w:ilvl w:val="0"/>
          <w:numId w:val="46"/>
        </w:numPr>
        <w:rPr>
          <w:rFonts w:ascii="Arial" w:cs="Arial" w:eastAsia="Arial" w:hAnsi="Arial"/>
          <w:sz w:val="18"/>
          <w:szCs w:val="18"/>
          <w:color w:val="BFBFBF"/>
        </w:rPr>
      </w:pPr>
      <w:r>
        <w:rPr>
          <w:rFonts w:ascii="Arial" w:cs="Arial" w:eastAsia="Arial" w:hAnsi="Arial"/>
          <w:sz w:val="18"/>
          <w:szCs w:val="18"/>
          <w:i w:val="1"/>
          <w:iCs w:val="1"/>
          <w:color w:val="auto"/>
        </w:rPr>
        <w:t>Phase I</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drug is initially introduced into healthy human subjects and tested for safety, dosage tolerance, absorption, metabolism,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excretion. In the case of some products for severe or life-threatening diseases, especially when the product may be too inherently toxic to ethically administer to healthy volunteers, the initial human testing is often conducted in patients.</w:t>
      </w:r>
    </w:p>
    <w:p>
      <w:pPr>
        <w:spacing w:after="0" w:line="181" w:lineRule="exact"/>
        <w:rPr>
          <w:rFonts w:ascii="Arial" w:cs="Arial" w:eastAsia="Arial" w:hAnsi="Arial"/>
          <w:sz w:val="18"/>
          <w:szCs w:val="18"/>
          <w:color w:val="BFBFBF"/>
        </w:rPr>
      </w:pPr>
    </w:p>
    <w:p>
      <w:pPr>
        <w:ind w:left="420" w:right="180" w:hanging="7"/>
        <w:spacing w:after="0" w:line="277" w:lineRule="auto"/>
        <w:tabs>
          <w:tab w:leader="none" w:pos="735" w:val="left"/>
        </w:tabs>
        <w:numPr>
          <w:ilvl w:val="0"/>
          <w:numId w:val="46"/>
        </w:numPr>
        <w:rPr>
          <w:rFonts w:ascii="Arial" w:cs="Arial" w:eastAsia="Arial" w:hAnsi="Arial"/>
          <w:sz w:val="18"/>
          <w:szCs w:val="18"/>
          <w:color w:val="BFBFBF"/>
        </w:rPr>
      </w:pPr>
      <w:r>
        <w:rPr>
          <w:rFonts w:ascii="Arial" w:cs="Arial" w:eastAsia="Arial" w:hAnsi="Arial"/>
          <w:sz w:val="18"/>
          <w:szCs w:val="18"/>
          <w:i w:val="1"/>
          <w:iCs w:val="1"/>
          <w:color w:val="auto"/>
        </w:rPr>
        <w:t xml:space="preserve">Phase II. </w:t>
      </w:r>
      <w:r>
        <w:rPr>
          <w:rFonts w:ascii="Arial" w:cs="Arial" w:eastAsia="Arial" w:hAnsi="Arial"/>
          <w:sz w:val="18"/>
          <w:szCs w:val="18"/>
          <w:color w:val="auto"/>
        </w:rPr>
        <w:t>This phase involves trials in a limited patient population to identify possible adverse effects and safety risks, to preliminarily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efficacy of the product for specific targeted diseases and to determine dosage tolerance and optimal dosage.</w:t>
      </w:r>
    </w:p>
    <w:p>
      <w:pPr>
        <w:spacing w:after="0" w:line="170" w:lineRule="exact"/>
        <w:rPr>
          <w:rFonts w:ascii="Arial" w:cs="Arial" w:eastAsia="Arial" w:hAnsi="Arial"/>
          <w:sz w:val="18"/>
          <w:szCs w:val="18"/>
          <w:color w:val="BFBFBF"/>
        </w:rPr>
      </w:pPr>
    </w:p>
    <w:p>
      <w:pPr>
        <w:ind w:left="420" w:hanging="7"/>
        <w:spacing w:after="0" w:line="264" w:lineRule="auto"/>
        <w:tabs>
          <w:tab w:leader="none" w:pos="735" w:val="left"/>
        </w:tabs>
        <w:numPr>
          <w:ilvl w:val="0"/>
          <w:numId w:val="46"/>
        </w:numPr>
        <w:rPr>
          <w:rFonts w:ascii="Arial" w:cs="Arial" w:eastAsia="Arial" w:hAnsi="Arial"/>
          <w:sz w:val="18"/>
          <w:szCs w:val="18"/>
          <w:color w:val="BFBFBF"/>
        </w:rPr>
      </w:pPr>
      <w:r>
        <w:rPr>
          <w:rFonts w:ascii="Arial" w:cs="Arial" w:eastAsia="Arial" w:hAnsi="Arial"/>
          <w:sz w:val="18"/>
          <w:szCs w:val="18"/>
          <w:i w:val="1"/>
          <w:iCs w:val="1"/>
          <w:color w:val="auto"/>
        </w:rPr>
        <w:t xml:space="preserve">Phase III. </w:t>
      </w:r>
      <w:r>
        <w:rPr>
          <w:rFonts w:ascii="Arial" w:cs="Arial" w:eastAsia="Arial" w:hAnsi="Arial"/>
          <w:sz w:val="18"/>
          <w:szCs w:val="18"/>
          <w:color w:val="auto"/>
        </w:rPr>
        <w:t>This phase involves trials undertaken to further evaluate dosage, clinical efficacy and safety in an expanded patient population, often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trials are intended to establish the overall risk/benefit ratio of the product and provide an adequate basis for product labeling.</w:t>
      </w:r>
    </w:p>
    <w:p>
      <w:pPr>
        <w:spacing w:after="0" w:line="39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170"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right="20" w:firstLine="416"/>
        <w:spacing w:after="0" w:line="273" w:lineRule="auto"/>
        <w:rPr>
          <w:sz w:val="20"/>
          <w:szCs w:val="20"/>
          <w:color w:val="auto"/>
        </w:rPr>
      </w:pPr>
      <w:r>
        <w:rPr>
          <w:rFonts w:ascii="Arial" w:cs="Arial" w:eastAsia="Arial" w:hAnsi="Arial"/>
          <w:sz w:val="17"/>
          <w:szCs w:val="17"/>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78" w:lineRule="exact"/>
        <w:rPr>
          <w:sz w:val="20"/>
          <w:szCs w:val="20"/>
          <w:color w:val="auto"/>
        </w:rPr>
      </w:pPr>
    </w:p>
    <w:p>
      <w:pPr>
        <w:ind w:right="120" w:firstLine="416"/>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1" w:name="page52"/>
    <w:bookmarkEnd w:id="51"/>
    <w:p>
      <w:pPr>
        <w:ind w:right="20" w:firstLine="416"/>
        <w:spacing w:after="0" w:line="257" w:lineRule="auto"/>
        <w:rPr>
          <w:sz w:val="20"/>
          <w:szCs w:val="20"/>
          <w:color w:val="auto"/>
        </w:rPr>
      </w:pPr>
      <w:r>
        <w:rPr>
          <w:rFonts w:ascii="Arial" w:cs="Arial" w:eastAsia="Arial" w:hAnsi="Arial"/>
          <w:sz w:val="18"/>
          <w:szCs w:val="18"/>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ind w:right="340" w:firstLine="288"/>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93"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7"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MG01CI.</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PDUFA review cycle, the approval date may be delayed. Once adopted, REMS are subject to periodic assessment and modification.</w:t>
      </w:r>
    </w:p>
    <w:p>
      <w:pPr>
        <w:spacing w:after="0" w:line="193"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38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firstLine="41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right="60" w:firstLine="41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safety and efficacy of a drug that are consistent with FDA approval, and the Company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60" w:firstLine="415"/>
        <w:spacing w:after="0" w:line="259" w:lineRule="auto"/>
        <w:rPr>
          <w:sz w:val="20"/>
          <w:szCs w:val="20"/>
          <w:color w:val="auto"/>
        </w:rPr>
      </w:pPr>
      <w:r>
        <w:rPr>
          <w:rFonts w:ascii="Arial" w:cs="Arial" w:eastAsia="Arial" w:hAnsi="Arial"/>
          <w:sz w:val="18"/>
          <w:szCs w:val="18"/>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20" w:firstLine="415"/>
        <w:spacing w:after="0" w:line="289" w:lineRule="auto"/>
        <w:rPr>
          <w:sz w:val="20"/>
          <w:szCs w:val="20"/>
          <w:color w:val="auto"/>
        </w:rPr>
      </w:pPr>
      <w:r>
        <w:rPr>
          <w:rFonts w:ascii="Arial" w:cs="Arial" w:eastAsia="Arial" w:hAnsi="Arial"/>
          <w:sz w:val="16"/>
          <w:szCs w:val="16"/>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ind w:right="40" w:firstLine="41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20" w:firstLine="41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3" w:name="page54"/>
    <w:bookmarkEnd w:id="53"/>
    <w:p>
      <w:pPr>
        <w:ind w:firstLine="415"/>
        <w:spacing w:after="0" w:line="255"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00" w:firstLine="416"/>
        <w:spacing w:after="0" w:line="312"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47" w:lineRule="exact"/>
        <w:rPr>
          <w:sz w:val="20"/>
          <w:szCs w:val="20"/>
          <w:color w:val="auto"/>
        </w:rPr>
      </w:pPr>
    </w:p>
    <w:p>
      <w:pPr>
        <w:ind w:right="340" w:firstLine="415"/>
        <w:spacing w:after="0" w:line="277" w:lineRule="auto"/>
        <w:rPr>
          <w:sz w:val="20"/>
          <w:szCs w:val="20"/>
          <w:color w:val="auto"/>
        </w:rPr>
      </w:pPr>
      <w:r>
        <w:rPr>
          <w:rFonts w:ascii="Arial" w:cs="Arial" w:eastAsia="Arial" w:hAnsi="Arial"/>
          <w:sz w:val="18"/>
          <w:szCs w:val="18"/>
          <w:color w:val="auto"/>
        </w:rPr>
        <w:t>Many of the details regarding the implementation of PPACA are yet to be determined, and at this time, it remains unclear the full effect that PPACA would have on our business.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416"/>
        <w:spacing w:after="0" w:line="297" w:lineRule="auto"/>
        <w:rPr>
          <w:sz w:val="20"/>
          <w:szCs w:val="20"/>
          <w:color w:val="auto"/>
        </w:rPr>
      </w:pPr>
      <w:r>
        <w:rPr>
          <w:rFonts w:ascii="Arial" w:cs="Arial" w:eastAsia="Arial" w:hAnsi="Arial"/>
          <w:sz w:val="16"/>
          <w:szCs w:val="16"/>
          <w:color w:val="auto"/>
        </w:rPr>
        <w:t>Our company uses a cost-effective business model, only retaining top management as company employees or dedicated consultants, and drawing upon other consultants globally to advance our development programs. As of December 31, 2012,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Facilities</w:t>
      </w:r>
    </w:p>
    <w:p>
      <w:pPr>
        <w:spacing w:after="0" w:line="229" w:lineRule="exact"/>
        <w:rPr>
          <w:sz w:val="20"/>
          <w:szCs w:val="20"/>
          <w:color w:val="auto"/>
        </w:rPr>
      </w:pPr>
    </w:p>
    <w:p>
      <w:pPr>
        <w:ind w:right="180" w:firstLine="416"/>
        <w:spacing w:after="0" w:line="342" w:lineRule="auto"/>
        <w:rPr>
          <w:sz w:val="20"/>
          <w:szCs w:val="20"/>
          <w:color w:val="auto"/>
        </w:rPr>
      </w:pPr>
      <w:r>
        <w:rPr>
          <w:rFonts w:ascii="Arial" w:cs="Arial" w:eastAsia="Arial" w:hAnsi="Arial"/>
          <w:sz w:val="16"/>
          <w:szCs w:val="16"/>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jc w:val="center"/>
        <w:ind w:right="7620"/>
        <w:spacing w:after="0"/>
        <w:rPr>
          <w:sz w:val="20"/>
          <w:szCs w:val="20"/>
          <w:color w:val="auto"/>
        </w:rPr>
      </w:pPr>
      <w:r>
        <w:rPr>
          <w:rFonts w:ascii="Arial" w:cs="Arial" w:eastAsia="Arial" w:hAnsi="Arial"/>
          <w:sz w:val="16"/>
          <w:szCs w:val="16"/>
          <w:b w:val="1"/>
          <w:bCs w:val="1"/>
          <w:color w:val="auto"/>
        </w:rPr>
        <w:t>Executive Officers, Key Employees and Directors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February 15, 2013:</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6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5260" w:type="dxa"/>
            <w:vAlign w:val="bottom"/>
            <w:gridSpan w:val="3"/>
          </w:tcPr>
          <w:p>
            <w:pPr>
              <w:ind w:left="66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300" w:type="dxa"/>
            <w:vAlign w:val="bottom"/>
          </w:tcPr>
          <w:p>
            <w:pPr>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19"/>
                <w:szCs w:val="19"/>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Dr. Yaron Daniely</w:t>
            </w:r>
          </w:p>
        </w:tc>
        <w:tc>
          <w:tcPr>
            <w:tcW w:w="300" w:type="dxa"/>
            <w:vAlign w:val="bottom"/>
          </w:tcPr>
          <w:p>
            <w:pPr>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Ehud (Udi) Gilboa</w:t>
            </w:r>
          </w:p>
        </w:tc>
        <w:tc>
          <w:tcPr>
            <w:tcW w:w="300" w:type="dxa"/>
            <w:vAlign w:val="bottom"/>
          </w:tcPr>
          <w:p>
            <w:pPr>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w w:val="94"/>
              </w:rPr>
              <w:t>Chief Financial Officer, Chief Accounting Officer and Director</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Dr. Dalia Megiddo</w:t>
            </w:r>
          </w:p>
        </w:tc>
        <w:tc>
          <w:tcPr>
            <w:tcW w:w="300" w:type="dxa"/>
            <w:vAlign w:val="bottom"/>
          </w:tcPr>
          <w:p>
            <w:pPr>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20"/>
                <w:szCs w:val="20"/>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intends to add additional members to its Board of Directors prior to the closing of this offering. These directors will be “independent directors” and “external directors” as contemplated by the NASDAQ Stock Market rules and Israeli law. The Company will also establish an Audit Committee and a Compensation Committee.</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Dr. Aharon Schwartz </w:t>
      </w:r>
      <w:r>
        <w:rPr>
          <w:rFonts w:ascii="Arial" w:cs="Arial" w:eastAsia="Arial" w:hAnsi="Arial"/>
          <w:sz w:val="17"/>
          <w:szCs w:val="17"/>
          <w:color w:val="auto"/>
        </w:rPr>
        <w:t>joined our Board as Chairman in January 2013. He retired from Teva Pharmaceutical Industries Ltd where he served in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Dr. Yaron Daniely </w:t>
      </w:r>
      <w:r>
        <w:rPr>
          <w:rFonts w:ascii="Arial" w:cs="Arial" w:eastAsia="Arial" w:hAnsi="Arial"/>
          <w:sz w:val="16"/>
          <w:szCs w:val="16"/>
          <w:color w:val="auto"/>
        </w:rPr>
        <w:t>became our President and Chief Executive Officer and a Director in March 2010. Immediately prior to joining us and since 2007,</w:t>
      </w:r>
      <w:r>
        <w:rPr>
          <w:rFonts w:ascii="Arial" w:cs="Arial" w:eastAsia="Arial" w:hAnsi="Arial"/>
          <w:sz w:val="16"/>
          <w:szCs w:val="16"/>
          <w:i w:val="1"/>
          <w:iCs w:val="1"/>
          <w:color w:val="auto"/>
        </w:rPr>
        <w:t xml:space="preserve"> </w:t>
      </w:r>
      <w:r>
        <w:rPr>
          <w:rFonts w:ascii="Arial" w:cs="Arial" w:eastAsia="Arial" w:hAnsi="Arial"/>
          <w:sz w:val="16"/>
          <w:szCs w:val="16"/>
          <w:color w:val="auto"/>
        </w:rPr>
        <w:t>Dr. Daniely was the 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67" w:lineRule="exact"/>
        <w:rPr>
          <w:sz w:val="20"/>
          <w:szCs w:val="20"/>
          <w:color w:val="auto"/>
        </w:rPr>
      </w:pPr>
    </w:p>
    <w:p>
      <w:pPr>
        <w:ind w:right="120" w:firstLine="693"/>
        <w:spacing w:after="0" w:line="273" w:lineRule="auto"/>
        <w:rPr>
          <w:sz w:val="20"/>
          <w:szCs w:val="20"/>
          <w:color w:val="auto"/>
        </w:rPr>
      </w:pPr>
      <w:r>
        <w:rPr>
          <w:rFonts w:ascii="Arial" w:cs="Arial" w:eastAsia="Arial" w:hAnsi="Arial"/>
          <w:sz w:val="17"/>
          <w:szCs w:val="17"/>
          <w:i w:val="1"/>
          <w:iCs w:val="1"/>
          <w:color w:val="auto"/>
        </w:rPr>
        <w:t xml:space="preserve">Udi Gilboa </w:t>
      </w:r>
      <w:r>
        <w:rPr>
          <w:rFonts w:ascii="Arial" w:cs="Arial" w:eastAsia="Arial" w:hAnsi="Arial"/>
          <w:sz w:val="17"/>
          <w:szCs w:val="17"/>
          <w:color w:val="auto"/>
        </w:rPr>
        <w:t>co-founded the Company in February 2008 and became a director at that time. He has served as our Chief Financial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Dr. Dalia Megiddo </w:t>
      </w:r>
      <w:r>
        <w:rPr>
          <w:rFonts w:ascii="Arial" w:cs="Arial" w:eastAsia="Arial" w:hAnsi="Arial"/>
          <w:sz w:val="17"/>
          <w:szCs w:val="17"/>
          <w:color w:val="auto"/>
        </w:rPr>
        <w:t>co-founded the Company in February 2008 and became a Director at that time. She is an entrepreneur and a medical doctor in</w:t>
      </w:r>
      <w:r>
        <w:rPr>
          <w:rFonts w:ascii="Arial" w:cs="Arial" w:eastAsia="Arial" w:hAnsi="Arial"/>
          <w:sz w:val="17"/>
          <w:szCs w:val="17"/>
          <w:i w:val="1"/>
          <w:iCs w:val="1"/>
          <w:color w:val="auto"/>
        </w:rPr>
        <w:t xml:space="preserve"> </w:t>
      </w:r>
      <w:r>
        <w:rPr>
          <w:rFonts w:ascii="Arial" w:cs="Arial" w:eastAsia="Arial" w:hAnsi="Arial"/>
          <w:sz w:val="17"/>
          <w:szCs w:val="17"/>
          <w:color w:val="auto"/>
        </w:rPr>
        <w:t>family 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7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i w:val="1"/>
          <w:iCs w:val="1"/>
          <w:color w:val="auto"/>
        </w:rPr>
        <w:t xml:space="preserve">Hanna Ron </w:t>
      </w:r>
      <w:r>
        <w:rPr>
          <w:rFonts w:ascii="Arial" w:cs="Arial" w:eastAsia="Arial" w:hAnsi="Arial"/>
          <w:sz w:val="18"/>
          <w:szCs w:val="18"/>
          <w:color w:val="auto"/>
        </w:rPr>
        <w:t>is a key employee of the Company. She has over 26 years of experience in the pharmaceutical industry and is an expert in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Arrangements Concerning Election of Director; Family Relationships</w:t>
      </w:r>
    </w:p>
    <w:p>
      <w:pPr>
        <w:spacing w:after="0" w:line="22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Advisory Board</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w:t>
      </w:r>
    </w:p>
    <w:p>
      <w:pPr>
        <w:spacing w:after="0"/>
        <w:rPr>
          <w:sz w:val="20"/>
          <w:szCs w:val="20"/>
          <w:color w:val="auto"/>
        </w:rPr>
      </w:pPr>
      <w:r>
        <w:rPr>
          <w:rFonts w:ascii="Arial" w:cs="Arial" w:eastAsia="Arial" w:hAnsi="Arial"/>
          <w:sz w:val="16"/>
          <w:szCs w:val="16"/>
          <w:color w:val="auto"/>
        </w:rPr>
        <w:t>______ directors upon the consummation of this offering, which will include ____ new directors and two external directors whose service will commence</w:t>
      </w:r>
    </w:p>
    <w:p>
      <w:pPr>
        <w:spacing w:after="0" w:line="3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upon the consummation of this offering and, in the case of the external directors, subject to ratification at a meeting of our shareholders to be held no later than three months following the completion of this offering. We have only one class of directors.</w:t>
      </w:r>
    </w:p>
    <w:p>
      <w:pPr>
        <w:spacing w:after="0" w:line="18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Other than external directors, for whom special election requirements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6" w:name="page57"/>
    <w:bookmarkEnd w:id="56"/>
    <w:p>
      <w:pPr>
        <w:ind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Under the Israeli Companies Law, the boards of directors of companies whose shares are publicly traded, including companies with shares listed on the NASDAQ Capital Market, are required to include at least two members elected to serve as external directors. _______ and ______ have agreed to serve as</w:t>
      </w:r>
    </w:p>
    <w:p>
      <w:pPr>
        <w:ind w:right="540"/>
        <w:spacing w:after="0" w:line="261" w:lineRule="auto"/>
        <w:rPr>
          <w:sz w:val="20"/>
          <w:szCs w:val="20"/>
          <w:color w:val="auto"/>
        </w:rPr>
      </w:pPr>
      <w:r>
        <w:rPr>
          <w:rFonts w:ascii="Arial" w:cs="Arial" w:eastAsia="Arial" w:hAnsi="Arial"/>
          <w:sz w:val="18"/>
          <w:szCs w:val="18"/>
          <w:color w:val="auto"/>
        </w:rPr>
        <w:t>our external directors following the consummation of this offering, subject to ratification at a meeting of our shareholders to be held no later than three months following the completion of this offering.</w:t>
      </w:r>
    </w:p>
    <w:p>
      <w:pPr>
        <w:spacing w:after="0" w:line="18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70" w:lineRule="exact"/>
        <w:rPr>
          <w:sz w:val="20"/>
          <w:szCs w:val="20"/>
          <w:color w:val="auto"/>
        </w:rPr>
      </w:pPr>
    </w:p>
    <w:p>
      <w:pPr>
        <w:ind w:left="660" w:right="140" w:hanging="328"/>
        <w:spacing w:after="0" w:line="286" w:lineRule="auto"/>
        <w:tabs>
          <w:tab w:leader="none" w:pos="660" w:val="left"/>
        </w:tabs>
        <w:numPr>
          <w:ilvl w:val="0"/>
          <w:numId w:val="47"/>
        </w:numPr>
        <w:rPr>
          <w:rFonts w:ascii="Arial" w:cs="Arial" w:eastAsia="Arial" w:hAnsi="Arial"/>
          <w:sz w:val="17"/>
          <w:szCs w:val="17"/>
          <w:color w:val="A6A6A6"/>
        </w:rPr>
      </w:pPr>
      <w:r>
        <w:rPr>
          <w:rFonts w:ascii="Arial" w:cs="Arial" w:eastAsia="Arial" w:hAnsi="Arial"/>
          <w:sz w:val="17"/>
          <w:szCs w:val="17"/>
          <w:color w:val="auto"/>
        </w:rPr>
        <w:t>the majority voted in favor of election includes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5" w:lineRule="exact"/>
        <w:rPr>
          <w:rFonts w:ascii="Arial" w:cs="Arial" w:eastAsia="Arial" w:hAnsi="Arial"/>
          <w:sz w:val="17"/>
          <w:szCs w:val="17"/>
          <w:color w:val="A6A6A6"/>
        </w:rPr>
      </w:pPr>
    </w:p>
    <w:p>
      <w:pPr>
        <w:ind w:left="660" w:right="600" w:hanging="328"/>
        <w:spacing w:after="0" w:line="277" w:lineRule="auto"/>
        <w:tabs>
          <w:tab w:leader="none" w:pos="660" w:val="left"/>
        </w:tabs>
        <w:numPr>
          <w:ilvl w:val="0"/>
          <w:numId w:val="47"/>
        </w:numPr>
        <w:rPr>
          <w:rFonts w:ascii="Arial" w:cs="Arial" w:eastAsia="Arial" w:hAnsi="Arial"/>
          <w:sz w:val="18"/>
          <w:szCs w:val="18"/>
          <w:color w:val="A6A6A6"/>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70"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w:t>
      </w:r>
    </w:p>
    <w:p>
      <w:pPr>
        <w:spacing w:after="0" w:line="147"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 (ii) his or her service for each such additional term is recommended by the board of directors and is approved at a shareholders meeting by the same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ind w:right="6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Compensation of an external director is determined prior to his or her appointment and may not be changed during his or her term subject to certain exceptions.</w:t>
      </w:r>
    </w:p>
    <w:p>
      <w:pPr>
        <w:spacing w:after="0" w:line="18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92"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47" w:lineRule="exact"/>
        <w:rPr>
          <w:sz w:val="20"/>
          <w:szCs w:val="20"/>
          <w:color w:val="auto"/>
        </w:rPr>
      </w:pPr>
    </w:p>
    <w:p>
      <w:pPr>
        <w:ind w:left="720" w:hanging="307"/>
        <w:spacing w:after="0"/>
        <w:tabs>
          <w:tab w:leader="none" w:pos="720"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an employment relationship;</w:t>
      </w:r>
    </w:p>
    <w:p>
      <w:pPr>
        <w:spacing w:after="0" w:line="23" w:lineRule="exact"/>
        <w:rPr>
          <w:rFonts w:ascii="Arial" w:cs="Arial" w:eastAsia="Arial" w:hAnsi="Arial"/>
          <w:sz w:val="18"/>
          <w:szCs w:val="18"/>
          <w:color w:val="A6A6A6"/>
        </w:rPr>
      </w:pPr>
    </w:p>
    <w:p>
      <w:pPr>
        <w:ind w:left="720" w:hanging="307"/>
        <w:spacing w:after="0"/>
        <w:tabs>
          <w:tab w:leader="none" w:pos="720"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9" w:lineRule="exact"/>
        <w:rPr>
          <w:rFonts w:ascii="Arial" w:cs="Arial" w:eastAsia="Arial" w:hAnsi="Arial"/>
          <w:sz w:val="18"/>
          <w:szCs w:val="18"/>
          <w:color w:val="A6A6A6"/>
        </w:rPr>
      </w:pPr>
    </w:p>
    <w:p>
      <w:pPr>
        <w:ind w:left="720" w:hanging="307"/>
        <w:spacing w:after="0"/>
        <w:tabs>
          <w:tab w:leader="none" w:pos="720"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control; and</w:t>
      </w:r>
    </w:p>
    <w:p>
      <w:pPr>
        <w:spacing w:after="0" w:line="9" w:lineRule="exact"/>
        <w:rPr>
          <w:rFonts w:ascii="Arial" w:cs="Arial" w:eastAsia="Arial" w:hAnsi="Arial"/>
          <w:sz w:val="18"/>
          <w:szCs w:val="18"/>
          <w:color w:val="A6A6A6"/>
        </w:rPr>
      </w:pPr>
    </w:p>
    <w:p>
      <w:pPr>
        <w:ind w:left="420" w:right="160" w:hanging="7"/>
        <w:spacing w:after="0" w:line="261" w:lineRule="auto"/>
        <w:tabs>
          <w:tab w:leader="none" w:pos="735"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8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8" w:name="page59"/>
    <w:bookmarkEnd w:id="58"/>
    <w:p>
      <w:pPr>
        <w:jc w:val="both"/>
        <w:ind w:right="16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right="340" w:firstLine="405"/>
        <w:spacing w:after="0" w:line="286" w:lineRule="auto"/>
        <w:rPr>
          <w:sz w:val="20"/>
          <w:szCs w:val="20"/>
          <w:color w:val="auto"/>
        </w:rPr>
      </w:pPr>
      <w:r>
        <w:rPr>
          <w:rFonts w:ascii="Arial" w:cs="Arial" w:eastAsia="Arial" w:hAnsi="Arial"/>
          <w:sz w:val="16"/>
          <w:szCs w:val="16"/>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w:t>
      </w:r>
    </w:p>
    <w:p>
      <w:pPr>
        <w:spacing w:after="0" w:line="2" w:lineRule="exact"/>
        <w:rPr>
          <w:sz w:val="20"/>
          <w:szCs w:val="20"/>
          <w:color w:val="auto"/>
        </w:rPr>
      </w:pPr>
    </w:p>
    <w:p>
      <w:pPr>
        <w:ind w:right="200" w:firstLine="8"/>
        <w:spacing w:after="0" w:line="261"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has accounting and financial expertise as defined under Israeli law, then neither of our external directors is required to possess accounting and financial expertise as long as both possess other requisite professional qualifications.</w:t>
      </w:r>
    </w:p>
    <w:p>
      <w:pPr>
        <w:spacing w:after="0" w:line="184"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Board of Directors has determined that _______ has accounting and financial expertise and ______ possesses professional qualifications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required under the Israeli Companies Law.</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ind w:right="36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420" w:right="260" w:hanging="7"/>
        <w:spacing w:after="0" w:line="264" w:lineRule="auto"/>
        <w:tabs>
          <w:tab w:leader="none" w:pos="735" w:val="left"/>
        </w:tabs>
        <w:numPr>
          <w:ilvl w:val="0"/>
          <w:numId w:val="50"/>
        </w:numPr>
        <w:rPr>
          <w:rFonts w:ascii="Arial" w:cs="Arial" w:eastAsia="Arial" w:hAnsi="Arial"/>
          <w:sz w:val="18"/>
          <w:szCs w:val="18"/>
          <w:color w:val="A6A6A6"/>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w:t>
      </w:r>
    </w:p>
    <w:p>
      <w:pPr>
        <w:spacing w:after="0" w:line="181" w:lineRule="exact"/>
        <w:rPr>
          <w:rFonts w:ascii="Arial" w:cs="Arial" w:eastAsia="Arial" w:hAnsi="Arial"/>
          <w:sz w:val="18"/>
          <w:szCs w:val="18"/>
          <w:color w:val="A6A6A6"/>
        </w:rPr>
      </w:pPr>
    </w:p>
    <w:p>
      <w:pPr>
        <w:ind w:left="420" w:right="20" w:hanging="7"/>
        <w:spacing w:after="0" w:line="277" w:lineRule="auto"/>
        <w:tabs>
          <w:tab w:leader="none" w:pos="735" w:val="left"/>
        </w:tabs>
        <w:numPr>
          <w:ilvl w:val="0"/>
          <w:numId w:val="50"/>
        </w:numPr>
        <w:rPr>
          <w:rFonts w:ascii="Arial" w:cs="Arial" w:eastAsia="Arial" w:hAnsi="Arial"/>
          <w:sz w:val="18"/>
          <w:szCs w:val="18"/>
          <w:color w:val="A6A6A6"/>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 We plan to form an audit committee shortly after the election of external directors to our board.</w:t>
      </w:r>
    </w:p>
    <w:p>
      <w:pPr>
        <w:spacing w:after="0" w:line="17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7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or amounts paid pursuant to indemnification and/or exculpation contracts or commitments and insurance coverage).</w:t>
      </w:r>
    </w:p>
    <w:p>
      <w:pPr>
        <w:spacing w:after="0" w:line="19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420"/>
        <w:spacing w:after="0"/>
        <w:rPr>
          <w:sz w:val="20"/>
          <w:szCs w:val="20"/>
          <w:color w:val="auto"/>
        </w:rPr>
      </w:pPr>
      <w:r>
        <w:rPr>
          <w:rFonts w:ascii="Arial" w:cs="Arial" w:eastAsia="Arial" w:hAnsi="Arial"/>
          <w:sz w:val="18"/>
          <w:szCs w:val="18"/>
          <w:color w:val="auto"/>
        </w:rPr>
        <w:t>We plan to form a compensation committee shortly after the election of external directors to our board.</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Under the amendment to the Israeli Companies Law, we are required to adopt an office holder compensation policy no later than 9 months from the consummation of this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Transactions—Agreements and Arrangements with, and Compensation of, Directors and Executive Officers" for a summary of these agreements.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70" w:lineRule="exact"/>
        <w:rPr>
          <w:sz w:val="20"/>
          <w:szCs w:val="20"/>
          <w:color w:val="auto"/>
        </w:rPr>
      </w:pPr>
    </w:p>
    <w:p>
      <w:pPr>
        <w:ind w:left="720" w:hanging="307"/>
        <w:spacing w:after="0"/>
        <w:tabs>
          <w:tab w:leader="none" w:pos="72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Rules and Home Country Practices</w:t>
      </w:r>
    </w:p>
    <w:p>
      <w:pPr>
        <w:spacing w:after="0" w:line="229"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81" w:lineRule="exact"/>
        <w:rPr>
          <w:sz w:val="20"/>
          <w:szCs w:val="20"/>
          <w:color w:val="auto"/>
        </w:rPr>
      </w:pPr>
    </w:p>
    <w:p>
      <w:pPr>
        <w:ind w:left="420" w:right="20" w:hanging="7"/>
        <w:spacing w:after="0" w:line="255" w:lineRule="auto"/>
        <w:tabs>
          <w:tab w:leader="none" w:pos="735" w:val="left"/>
        </w:tabs>
        <w:numPr>
          <w:ilvl w:val="0"/>
          <w:numId w:val="52"/>
        </w:numPr>
        <w:rPr>
          <w:rFonts w:ascii="Arial" w:cs="Arial" w:eastAsia="Arial" w:hAnsi="Arial"/>
          <w:sz w:val="18"/>
          <w:szCs w:val="18"/>
          <w:color w:val="A6A6A6"/>
        </w:rPr>
      </w:pPr>
      <w:r>
        <w:rPr>
          <w:rFonts w:ascii="Arial" w:cs="Arial" w:eastAsia="Arial" w:hAnsi="Arial"/>
          <w:sz w:val="18"/>
          <w:szCs w:val="18"/>
          <w:i w:val="1"/>
          <w:iCs w:val="1"/>
          <w:color w:val="auto"/>
        </w:rPr>
        <w:t xml:space="preserve">Distribution of periodic reports to shareholders; proxy solicitation. </w:t>
      </w:r>
      <w:r>
        <w:rPr>
          <w:rFonts w:ascii="Arial" w:cs="Arial" w:eastAsia="Arial" w:hAnsi="Arial"/>
          <w:sz w:val="18"/>
          <w:szCs w:val="18"/>
          <w:color w:val="auto"/>
        </w:rPr>
        <w:t>As opposed to the Listing Rules of the NASDAQ Stock Market, which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left="420" w:right="80" w:hanging="7"/>
        <w:spacing w:after="0" w:line="273" w:lineRule="auto"/>
        <w:tabs>
          <w:tab w:leader="none" w:pos="735" w:val="left"/>
        </w:tabs>
        <w:numPr>
          <w:ilvl w:val="0"/>
          <w:numId w:val="53"/>
        </w:numPr>
        <w:rPr>
          <w:rFonts w:ascii="Arial" w:cs="Arial" w:eastAsia="Arial" w:hAnsi="Arial"/>
          <w:sz w:val="17"/>
          <w:szCs w:val="17"/>
          <w:color w:val="A6A6A6"/>
        </w:rPr>
      </w:pPr>
      <w:r>
        <w:rPr>
          <w:rFonts w:ascii="Arial" w:cs="Arial" w:eastAsia="Arial" w:hAnsi="Arial"/>
          <w:sz w:val="17"/>
          <w:szCs w:val="17"/>
          <w:i w:val="1"/>
          <w:iCs w:val="1"/>
          <w:color w:val="auto"/>
        </w:rPr>
        <w:t xml:space="preserve">Nomination of our directors. </w:t>
      </w:r>
      <w:r>
        <w:rPr>
          <w:rFonts w:ascii="Arial" w:cs="Arial" w:eastAsia="Arial" w:hAnsi="Arial"/>
          <w:sz w:val="17"/>
          <w:szCs w:val="17"/>
          <w:color w:val="auto"/>
        </w:rPr>
        <w:t>With the exception of our external directors and directors elected by our Board of Directors due to vacancy,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78" w:lineRule="exact"/>
        <w:rPr>
          <w:rFonts w:ascii="Arial" w:cs="Arial" w:eastAsia="Arial" w:hAnsi="Arial"/>
          <w:sz w:val="17"/>
          <w:szCs w:val="17"/>
          <w:color w:val="A6A6A6"/>
        </w:rPr>
      </w:pPr>
    </w:p>
    <w:p>
      <w:pPr>
        <w:ind w:left="720" w:hanging="307"/>
        <w:spacing w:after="0"/>
        <w:tabs>
          <w:tab w:leader="none" w:pos="720" w:val="left"/>
        </w:tabs>
        <w:numPr>
          <w:ilvl w:val="0"/>
          <w:numId w:val="53"/>
        </w:numPr>
        <w:rPr>
          <w:rFonts w:ascii="Arial" w:cs="Arial" w:eastAsia="Arial" w:hAnsi="Arial"/>
          <w:sz w:val="16"/>
          <w:szCs w:val="16"/>
          <w:color w:val="A6A6A6"/>
        </w:rPr>
      </w:pPr>
      <w:r>
        <w:rPr>
          <w:rFonts w:ascii="Arial" w:cs="Arial" w:eastAsia="Arial" w:hAnsi="Arial"/>
          <w:sz w:val="16"/>
          <w:szCs w:val="16"/>
          <w:i w:val="1"/>
          <w:iCs w:val="1"/>
          <w:color w:val="auto"/>
        </w:rPr>
        <w:t xml:space="preserve">Compensation of officers.  </w:t>
      </w:r>
      <w:r>
        <w:rPr>
          <w:rFonts w:ascii="Arial" w:cs="Arial" w:eastAsia="Arial" w:hAnsi="Arial"/>
          <w:sz w:val="16"/>
          <w:szCs w:val="16"/>
          <w:color w:val="auto"/>
        </w:rPr>
        <w:t>Israeli law and our amended and restated articles of association do not require that the independent members of our</w:t>
      </w:r>
    </w:p>
    <w:p>
      <w:pPr>
        <w:spacing w:after="0" w:line="46" w:lineRule="exact"/>
        <w:rPr>
          <w:rFonts w:ascii="Arial" w:cs="Arial" w:eastAsia="Arial" w:hAnsi="Arial"/>
          <w:sz w:val="16"/>
          <w:szCs w:val="16"/>
          <w:color w:val="A6A6A6"/>
        </w:rPr>
      </w:pPr>
    </w:p>
    <w:p>
      <w:pPr>
        <w:ind w:left="420" w:right="60"/>
        <w:spacing w:after="0" w:line="255" w:lineRule="auto"/>
        <w:rPr>
          <w:rFonts w:ascii="Arial" w:cs="Arial" w:eastAsia="Arial" w:hAnsi="Arial"/>
          <w:sz w:val="16"/>
          <w:szCs w:val="16"/>
          <w:color w:val="A6A6A6"/>
        </w:rPr>
      </w:pPr>
      <w:r>
        <w:rPr>
          <w:rFonts w:ascii="Arial" w:cs="Arial" w:eastAsia="Arial" w:hAnsi="Arial"/>
          <w:sz w:val="18"/>
          <w:szCs w:val="18"/>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9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Instead, compensation of executive officers is determined and approved by our Board of Directors and our Compensation Committee, either in consistency with our office holder compensation policy or, in special circumstances, taking into account certain considerations stated in the Israeli Companies Law.</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Shareholder approval shall be further required in the event (i) approval by our Board of Directors and our Compensation Committee is not consistent with our office holders compensation policy, or (ii) compensation required to be approved is that of our chief executive officer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have a personal interest in the compensation arrangement that are voted at the meeting, excluding for such purpose any abstentions disinterested majority, or (ii) the total shares held by non-controlling disinterested shareholders voted against the arrangement does not exceed two percent (2%) of the voting rights in our company.</w:t>
      </w:r>
    </w:p>
    <w:p>
      <w:pPr>
        <w:spacing w:after="0" w:line="189"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may, in special circumstances, approve the compensation of an executive officer (other than a director, a chief executive officer or a controlling shareholder)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6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 director or executive officer may not be present when the compensation committee or board of directors of a company discusses or votes upon the terms of his or her compensation, unless the chairman of the compensation committee or board of directors (as applicable) determines that he or she should be present to present the transaction that is subject to approval.</w:t>
      </w:r>
    </w:p>
    <w:p>
      <w:pPr>
        <w:spacing w:after="0" w:line="181" w:lineRule="exact"/>
        <w:rPr>
          <w:sz w:val="20"/>
          <w:szCs w:val="20"/>
          <w:color w:val="auto"/>
        </w:rPr>
      </w:pPr>
    </w:p>
    <w:p>
      <w:pPr>
        <w:ind w:left="420" w:right="60" w:hanging="7"/>
        <w:spacing w:after="0" w:line="291" w:lineRule="auto"/>
        <w:tabs>
          <w:tab w:leader="none" w:pos="735" w:val="left"/>
        </w:tabs>
        <w:numPr>
          <w:ilvl w:val="0"/>
          <w:numId w:val="54"/>
        </w:numPr>
        <w:rPr>
          <w:rFonts w:ascii="Arial" w:cs="Arial" w:eastAsia="Arial" w:hAnsi="Arial"/>
          <w:sz w:val="16"/>
          <w:szCs w:val="16"/>
          <w:color w:val="A6A6A6"/>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Israeli law does not require that a majority of the directors serving on our Board of Directors be "independent,"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420" w:right="80" w:hanging="7"/>
        <w:spacing w:after="0" w:line="286" w:lineRule="auto"/>
        <w:tabs>
          <w:tab w:leader="none" w:pos="735" w:val="left"/>
        </w:tabs>
        <w:numPr>
          <w:ilvl w:val="0"/>
          <w:numId w:val="55"/>
        </w:numPr>
        <w:rPr>
          <w:rFonts w:ascii="Arial" w:cs="Arial" w:eastAsia="Arial" w:hAnsi="Arial"/>
          <w:sz w:val="16"/>
          <w:szCs w:val="16"/>
          <w:color w:val="A6A6A6"/>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Fiduciary duties of directors and executive officers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17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66" w:lineRule="exact"/>
        <w:rPr>
          <w:sz w:val="20"/>
          <w:szCs w:val="20"/>
          <w:color w:val="auto"/>
        </w:rPr>
      </w:pPr>
    </w:p>
    <w:p>
      <w:pPr>
        <w:ind w:left="720" w:hanging="307"/>
        <w:spacing w:after="0"/>
        <w:tabs>
          <w:tab w:leader="none" w:pos="720" w:val="left"/>
        </w:tabs>
        <w:numPr>
          <w:ilvl w:val="0"/>
          <w:numId w:val="56"/>
        </w:numPr>
        <w:rPr>
          <w:rFonts w:ascii="Arial" w:cs="Arial" w:eastAsia="Arial" w:hAnsi="Arial"/>
          <w:sz w:val="18"/>
          <w:szCs w:val="18"/>
          <w:color w:val="A6A6A6"/>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6"/>
        </w:numPr>
        <w:rPr>
          <w:rFonts w:ascii="Arial" w:cs="Arial" w:eastAsia="Arial" w:hAnsi="Arial"/>
          <w:sz w:val="18"/>
          <w:szCs w:val="18"/>
          <w:color w:val="A6A6A6"/>
        </w:rPr>
      </w:pPr>
      <w:r>
        <w:rPr>
          <w:rFonts w:ascii="Arial" w:cs="Arial" w:eastAsia="Arial" w:hAnsi="Arial"/>
          <w:sz w:val="18"/>
          <w:szCs w:val="18"/>
          <w:color w:val="auto"/>
        </w:rPr>
        <w:t>all other important information pertaining to these 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duty of loyalty requires an office holder to act in good faith and for the benefit of the Company, and includes a duty to:</w:t>
      </w:r>
    </w:p>
    <w:p>
      <w:pPr>
        <w:spacing w:after="0" w:line="225" w:lineRule="exact"/>
        <w:rPr>
          <w:sz w:val="20"/>
          <w:szCs w:val="20"/>
          <w:color w:val="auto"/>
        </w:rPr>
      </w:pPr>
    </w:p>
    <w:p>
      <w:pPr>
        <w:ind w:left="720" w:hanging="307"/>
        <w:spacing w:after="0"/>
        <w:tabs>
          <w:tab w:leader="none" w:pos="720" w:val="left"/>
        </w:tabs>
        <w:numPr>
          <w:ilvl w:val="0"/>
          <w:numId w:val="57"/>
        </w:numPr>
        <w:rPr>
          <w:rFonts w:ascii="Arial" w:cs="Arial" w:eastAsia="Arial" w:hAnsi="Arial"/>
          <w:sz w:val="16"/>
          <w:szCs w:val="16"/>
          <w:color w:val="A6A6A6"/>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refrain from any activity that is competitive with the Company;</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6A6A6"/>
        </w:rPr>
      </w:pPr>
    </w:p>
    <w:p>
      <w:pPr>
        <w:ind w:left="420" w:right="240" w:hanging="7"/>
        <w:spacing w:after="0" w:line="277" w:lineRule="auto"/>
        <w:tabs>
          <w:tab w:leader="none" w:pos="735"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w:t>
      </w:r>
    </w:p>
    <w:p>
      <w:pPr>
        <w:spacing w:after="0" w:line="225" w:lineRule="exact"/>
        <w:rPr>
          <w:sz w:val="20"/>
          <w:szCs w:val="20"/>
          <w:color w:val="auto"/>
        </w:rPr>
      </w:pPr>
    </w:p>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720" w:hanging="307"/>
        <w:spacing w:after="0"/>
        <w:tabs>
          <w:tab w:leader="none" w:pos="72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66"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Personal Interests of Controlling Shareholders</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79" w:lineRule="exact"/>
        <w:rPr>
          <w:sz w:val="20"/>
          <w:szCs w:val="20"/>
          <w:color w:val="auto"/>
        </w:rPr>
      </w:pPr>
    </w:p>
    <w:p>
      <w:pPr>
        <w:ind w:left="720" w:hanging="307"/>
        <w:spacing w:after="0"/>
        <w:tabs>
          <w:tab w:leader="none" w:pos="720" w:val="left"/>
        </w:tabs>
        <w:numPr>
          <w:ilvl w:val="0"/>
          <w:numId w:val="59"/>
        </w:numPr>
        <w:rPr>
          <w:rFonts w:ascii="Arial" w:cs="Arial" w:eastAsia="Arial" w:hAnsi="Arial"/>
          <w:sz w:val="18"/>
          <w:szCs w:val="18"/>
          <w:color w:val="A6A6A6"/>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6A6A6"/>
        </w:rPr>
      </w:pPr>
    </w:p>
    <w:p>
      <w:pPr>
        <w:ind w:left="420" w:right="80" w:hanging="7"/>
        <w:spacing w:after="0" w:line="308" w:lineRule="auto"/>
        <w:tabs>
          <w:tab w:leader="none" w:pos="735" w:val="left"/>
        </w:tabs>
        <w:numPr>
          <w:ilvl w:val="0"/>
          <w:numId w:val="59"/>
        </w:numPr>
        <w:rPr>
          <w:rFonts w:ascii="Arial" w:cs="Arial" w:eastAsia="Arial" w:hAnsi="Arial"/>
          <w:sz w:val="17"/>
          <w:szCs w:val="17"/>
          <w:color w:val="A6A6A6"/>
        </w:rPr>
      </w:pPr>
      <w:r>
        <w:rPr>
          <w:rFonts w:ascii="Arial" w:cs="Arial" w:eastAsia="Arial" w:hAnsi="Arial"/>
          <w:sz w:val="17"/>
          <w:szCs w:val="17"/>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63"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64" w:name="page65"/>
    <w:bookmarkEnd w:id="64"/>
    <w:p>
      <w:pPr>
        <w:ind w:left="4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81" w:lineRule="exact"/>
        <w:rPr>
          <w:sz w:val="20"/>
          <w:szCs w:val="20"/>
          <w:color w:val="auto"/>
        </w:rPr>
      </w:pPr>
    </w:p>
    <w:p>
      <w:pPr>
        <w:ind w:left="720" w:hanging="307"/>
        <w:spacing w:after="0"/>
        <w:tabs>
          <w:tab w:leader="none" w:pos="72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approval of interested party transactions and acts of office holders that require shareholder approval.</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shareholder also has a general duty to refrain from discriminating against other shareholders.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88"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81" w:lineRule="exact"/>
        <w:rPr>
          <w:sz w:val="20"/>
          <w:szCs w:val="20"/>
          <w:color w:val="auto"/>
        </w:rPr>
      </w:pPr>
    </w:p>
    <w:p>
      <w:pPr>
        <w:ind w:left="420" w:right="40" w:hanging="7"/>
        <w:spacing w:after="0" w:line="276" w:lineRule="auto"/>
        <w:tabs>
          <w:tab w:leader="none" w:pos="735" w:val="left"/>
        </w:tabs>
        <w:numPr>
          <w:ilvl w:val="0"/>
          <w:numId w:val="61"/>
        </w:numPr>
        <w:rPr>
          <w:rFonts w:ascii="Arial" w:cs="Arial" w:eastAsia="Arial" w:hAnsi="Arial"/>
          <w:sz w:val="17"/>
          <w:szCs w:val="17"/>
          <w:color w:val="A6A6A6"/>
        </w:rPr>
      </w:pPr>
      <w:r>
        <w:rPr>
          <w:rFonts w:ascii="Arial" w:cs="Arial" w:eastAsia="Arial" w:hAnsi="Arial"/>
          <w:sz w:val="17"/>
          <w:szCs w:val="17"/>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6A6A6"/>
        </w:rPr>
      </w:pPr>
    </w:p>
    <w:p>
      <w:pPr>
        <w:ind w:left="420" w:right="40" w:hanging="7"/>
        <w:spacing w:after="0" w:line="257" w:lineRule="auto"/>
        <w:tabs>
          <w:tab w:leader="none" w:pos="735"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6A6A6"/>
        </w:rPr>
      </w:pPr>
    </w:p>
    <w:p>
      <w:pPr>
        <w:jc w:val="both"/>
        <w:ind w:left="420" w:right="40" w:hanging="7"/>
        <w:spacing w:after="0" w:line="264" w:lineRule="auto"/>
        <w:tabs>
          <w:tab w:leader="none" w:pos="735"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420" w:right="140" w:hanging="7"/>
        <w:spacing w:after="0" w:line="277" w:lineRule="auto"/>
        <w:tabs>
          <w:tab w:leader="none" w:pos="735" w:val="left"/>
        </w:tabs>
        <w:numPr>
          <w:ilvl w:val="0"/>
          <w:numId w:val="62"/>
        </w:numPr>
        <w:rPr>
          <w:rFonts w:ascii="Arial" w:cs="Arial" w:eastAsia="Arial" w:hAnsi="Arial"/>
          <w:sz w:val="18"/>
          <w:szCs w:val="18"/>
          <w:color w:val="A6A6A6"/>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left="720" w:hanging="307"/>
        <w:spacing w:after="0"/>
        <w:tabs>
          <w:tab w:leader="none" w:pos="720" w:val="left"/>
        </w:tabs>
        <w:numPr>
          <w:ilvl w:val="0"/>
          <w:numId w:val="63"/>
        </w:numPr>
        <w:rPr>
          <w:rFonts w:ascii="Arial" w:cs="Arial" w:eastAsia="Arial" w:hAnsi="Arial"/>
          <w:sz w:val="18"/>
          <w:szCs w:val="18"/>
          <w:color w:val="A6A6A6"/>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3"/>
        </w:numPr>
        <w:rPr>
          <w:rFonts w:ascii="Arial" w:cs="Arial" w:eastAsia="Arial" w:hAnsi="Arial"/>
          <w:sz w:val="18"/>
          <w:szCs w:val="18"/>
          <w:color w:val="A6A6A6"/>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Nevertheless, under the Israeli Companies Law, a company may not indemnify, exculpate or insure an office holder against any of the following:</w:t>
      </w:r>
    </w:p>
    <w:p>
      <w:pPr>
        <w:spacing w:after="0" w:line="237" w:lineRule="exact"/>
        <w:rPr>
          <w:sz w:val="20"/>
          <w:szCs w:val="20"/>
          <w:color w:val="auto"/>
        </w:rPr>
      </w:pPr>
    </w:p>
    <w:p>
      <w:pPr>
        <w:ind w:left="420" w:right="260" w:hanging="7"/>
        <w:spacing w:after="0" w:line="277" w:lineRule="auto"/>
        <w:tabs>
          <w:tab w:leader="none" w:pos="735"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64"/>
        </w:numPr>
        <w:rPr>
          <w:rFonts w:ascii="Arial" w:cs="Arial" w:eastAsia="Arial" w:hAnsi="Arial"/>
          <w:sz w:val="17"/>
          <w:szCs w:val="17"/>
          <w:color w:val="A6A6A6"/>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 Compensation of officers."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Our amended and restated articles of association permit us to exculpate, indemnify and insure our office holders to the fullest extent permitted by the Israeli Companies Law.</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8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As of December 31, 2012, options to purchase 73,256 ordinary shares issued to our chief executive officer, Dr. Yaron Daniely, were outstanding under our 2010 Incentive Option Plan. 58,000 options were granted November 15, 2010. Of such outstanding options which were granted on November 15, 2010, options to purchase 26,875 ordinary shares were vested as of December 31, 2012, with an exercise price of $1.923 per share. The expiration date of all of these options is November 15, 2020. 15,256 additional options shall vest upon closing of this offering.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6" w:name="page67"/>
    <w:bookmarkEnd w:id="66"/>
    <w:p>
      <w:pPr>
        <w:ind w:left="420"/>
        <w:spacing w:after="0"/>
        <w:rPr>
          <w:sz w:val="20"/>
          <w:szCs w:val="20"/>
          <w:color w:val="auto"/>
        </w:rPr>
      </w:pPr>
      <w:r>
        <w:rPr>
          <w:rFonts w:ascii="Arial" w:cs="Arial" w:eastAsia="Arial" w:hAnsi="Arial"/>
          <w:sz w:val="18"/>
          <w:szCs w:val="18"/>
          <w:color w:val="auto"/>
        </w:rPr>
        <w:t>We do not have written agreements with any director providing for benefits upon the termination of his employment with our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 Consulting and Directorship Services Provided by Directors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9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We maintain one equity incentive plan—our 2010 Incentive Option Plan, or our 2010 Plan. As of December 31, 2012, a total of 131,423 shares were reserved for issuance under our 2010 Plan, of which options to purchase 130,229 ordinary shares were issued and outstanding under that plan. Of such outstanding options, options to purchase 64,778 ordinary shares were vested as of that date, with a weighted average exercise price of $1.54 per share.</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7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7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ertain relationships and related party transactions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Yaron Daniely</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granted Dr. Daniely an aggregate of 73,256 options to purchase our ordinary shares, of which 26,875 have vested as of December 31, 2012.</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Consulting Agreement with Dr. Dalia Megiddo</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Dr. Dalia Megiddo has provided our company with consulting services related to pre-clinical, clinical, regulatory and intellectual property issues pursuant to an agreement, effective May 1, 2011 and terminable by either party upon thirty days prior written notice, approved by our board of directors and shareholders. The monthly amount payable to Dr. Megiddo under this arrangement is $2,500.</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Agreement with Udi Gilboa</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Udi Gilboa, our chief financial officer, has provided our company with part time CFO and COO services pursuant to an agreement, effective March 1, 2008 and terminable by either party upon 60 days prior written notice. The monthly amount payable to Udi Gilboa under the agreement is $7,000.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30-days notice.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Aharon Schwartz as Director and Chairman of Our Board of Directors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Dr. Aharon Schwartz has served as a director and Chairman of the Board of Directors of our company since January 2, 2013. In connection with such services, Dr. Schwartz receives a monthly amount of $3,333. In addition, we granted Dr. Schwartz 19,070 options to purchase ordinary shares under our 2010 Incentive Option Plan. Of such options, 15,256 shall vest according to our 2010 Incentive Option Plan, and the remaining 3,814 will vest upon initiation of Phase III Clinical Studies in the United States.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8" w:name="page69"/>
    <w:bookmarkEnd w:id="68"/>
    <w:p>
      <w:pPr>
        <w:ind w:left="4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9" w:right="39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February 15, 2013 by:</w:t>
      </w:r>
    </w:p>
    <w:p>
      <w:pPr>
        <w:spacing w:after="0" w:line="225" w:lineRule="exact"/>
        <w:rPr>
          <w:sz w:val="20"/>
          <w:szCs w:val="20"/>
          <w:color w:val="auto"/>
        </w:rPr>
      </w:pPr>
    </w:p>
    <w:p>
      <w:pPr>
        <w:ind w:left="1160" w:hanging="585"/>
        <w:spacing w:after="0"/>
        <w:tabs>
          <w:tab w:leader="none" w:pos="1160" w:val="left"/>
        </w:tabs>
        <w:numPr>
          <w:ilvl w:val="0"/>
          <w:numId w:val="65"/>
        </w:numPr>
        <w:rPr>
          <w:rFonts w:ascii="Arial" w:cs="Arial" w:eastAsia="Arial" w:hAnsi="Arial"/>
          <w:sz w:val="17"/>
          <w:szCs w:val="17"/>
          <w:color w:val="A6A6A6"/>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236" w:lineRule="exact"/>
        <w:rPr>
          <w:rFonts w:ascii="Arial" w:cs="Arial" w:eastAsia="Arial" w:hAnsi="Arial"/>
          <w:sz w:val="17"/>
          <w:szCs w:val="17"/>
          <w:color w:val="A6A6A6"/>
        </w:rPr>
      </w:pPr>
    </w:p>
    <w:p>
      <w:pPr>
        <w:ind w:left="1160" w:hanging="585"/>
        <w:spacing w:after="0"/>
        <w:tabs>
          <w:tab w:leader="none" w:pos="1160"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6A6A6"/>
        </w:rPr>
      </w:pPr>
    </w:p>
    <w:p>
      <w:pPr>
        <w:ind w:left="1160" w:hanging="585"/>
        <w:spacing w:after="0"/>
        <w:tabs>
          <w:tab w:leader="none" w:pos="1160"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Beneficial ownership is determined in accordance with the rules of the SEC, and includes voting or investment power with respect to ordinary shares. Ordinary shares issuable under share options or warrants that are exercisable within 60 days after December 31, 2012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1,327,812 shares outstanding on December 31, 2012. The number of ordinary shares deemed outstanding after this offering includes the ordinary shares being offered for sale in this offering but assumes no exercise of the underwriter’s over-allotment option.</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February 15, 2013, there were 18 record holders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65 Rothschild Blvd., Tel Aviv 65785, Israel.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 of Shares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Beneficially Owned</w:t>
            </w:r>
          </w:p>
        </w:tc>
        <w:tc>
          <w:tcPr>
            <w:tcW w:w="2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Percentage Owned</w:t>
            </w:r>
          </w:p>
        </w:tc>
        <w:tc>
          <w:tcPr>
            <w:tcW w:w="19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Percentage Owned</w:t>
            </w:r>
          </w:p>
        </w:tc>
      </w:tr>
      <w:tr>
        <w:trPr>
          <w:trHeight w:val="234"/>
        </w:trPr>
        <w:tc>
          <w:tcPr>
            <w:tcW w:w="5380" w:type="dxa"/>
            <w:vAlign w:val="bottom"/>
          </w:tcPr>
          <w:p>
            <w:pPr>
              <w:spacing w:after="0"/>
              <w:rPr>
                <w:sz w:val="20"/>
                <w:szCs w:val="20"/>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Prior to this Offering</w:t>
            </w:r>
          </w:p>
        </w:tc>
        <w:tc>
          <w:tcPr>
            <w:tcW w:w="2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Before this Offering</w:t>
            </w:r>
          </w:p>
        </w:tc>
        <w:tc>
          <w:tcPr>
            <w:tcW w:w="1920" w:type="dxa"/>
            <w:vAlign w:val="bottom"/>
            <w:gridSpan w:val="2"/>
          </w:tcPr>
          <w:p>
            <w:pPr>
              <w:ind w:left="180"/>
              <w:spacing w:after="0"/>
              <w:rPr>
                <w:sz w:val="20"/>
                <w:szCs w:val="20"/>
                <w:color w:val="auto"/>
              </w:rPr>
            </w:pPr>
            <w:r>
              <w:rPr>
                <w:rFonts w:ascii="Arial" w:cs="Arial" w:eastAsia="Arial" w:hAnsi="Arial"/>
                <w:sz w:val="18"/>
                <w:szCs w:val="18"/>
                <w:b w:val="1"/>
                <w:bCs w:val="1"/>
                <w:color w:val="auto"/>
              </w:rPr>
              <w:t>After this Offering</w:t>
            </w:r>
          </w:p>
        </w:tc>
      </w:tr>
      <w:tr>
        <w:trPr>
          <w:trHeight w:val="426"/>
        </w:trPr>
        <w:tc>
          <w:tcPr>
            <w:tcW w:w="5380" w:type="dxa"/>
            <w:vAlign w:val="bottom"/>
          </w:tcPr>
          <w:p>
            <w:pPr>
              <w:spacing w:after="0"/>
              <w:rPr>
                <w:sz w:val="20"/>
                <w:szCs w:val="20"/>
                <w:color w:val="auto"/>
              </w:rPr>
            </w:pPr>
            <w:r>
              <w:rPr>
                <w:rFonts w:ascii="Arial" w:cs="Arial" w:eastAsia="Arial" w:hAnsi="Arial"/>
                <w:sz w:val="18"/>
                <w:szCs w:val="18"/>
                <w:b w:val="1"/>
                <w:bCs w:val="1"/>
                <w:color w:val="auto"/>
              </w:rPr>
              <w:t>Holders of more than 5% of our voting securities:</w:t>
            </w: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Udi Gilboa</w:t>
            </w:r>
          </w:p>
        </w:tc>
        <w:tc>
          <w:tcPr>
            <w:tcW w:w="2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465,916</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35.09%</w:t>
            </w:r>
          </w:p>
        </w:tc>
        <w:tc>
          <w:tcPr>
            <w:tcW w:w="1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Dr. Dalia Megiddo</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477,652</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35.97%</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Hasasit Medical Research Services &amp; Development Ltd.</w:t>
            </w:r>
          </w:p>
        </w:tc>
        <w:tc>
          <w:tcPr>
            <w:tcW w:w="2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127,882</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9.63%</w:t>
            </w:r>
          </w:p>
        </w:tc>
        <w:tc>
          <w:tcPr>
            <w:tcW w:w="1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who are not 5% holders: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Dr. Yaron Daniely (1)</w:t>
            </w:r>
          </w:p>
        </w:tc>
        <w:tc>
          <w:tcPr>
            <w:tcW w:w="2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26,875</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w:t>
            </w:r>
          </w:p>
        </w:tc>
        <w:tc>
          <w:tcPr>
            <w:tcW w:w="1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98"/>
        </w:trPr>
        <w:tc>
          <w:tcPr>
            <w:tcW w:w="5380" w:type="dxa"/>
            <w:vAlign w:val="bottom"/>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(4 persons)(3)</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970,443</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71.64%</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8097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left="700" w:right="380" w:hanging="570"/>
        <w:spacing w:after="0" w:line="302" w:lineRule="auto"/>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options currently exercisable or exercisable within 60 days of February 15, 2013 to purchase 26,875 ordinary shares (which have an exercise price of $1.923 per share and expire in November 15, 2020). Does not include the following options not currently exercisable: 16,125 options that are time-vested, 15,000 options that become exercisable in connection with an acquisition of the Company and 15,256 options that become exercisable upon an initial public offering or an acquisition of the Company. The options were granted under our 2010 Plan.</w:t>
      </w:r>
    </w:p>
    <w:p>
      <w:pPr>
        <w:spacing w:after="0" w:line="154" w:lineRule="exact"/>
        <w:rPr>
          <w:rFonts w:ascii="Arial" w:cs="Arial" w:eastAsia="Arial" w:hAnsi="Arial"/>
          <w:sz w:val="16"/>
          <w:szCs w:val="16"/>
          <w:color w:val="auto"/>
        </w:rPr>
      </w:pPr>
    </w:p>
    <w:p>
      <w:pPr>
        <w:ind w:left="700" w:hanging="570"/>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 preceding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prior to the consummation of this offering, effective upon the adoption of our amended and restated articles of association, our authorized</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share capital will consist of ___________ordinary shares, par value NIS 0.01 per share, of which shares will be issued and outstanding (assuming that the underwriters do not exercise their over-allotment option).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15, 2013, we had the following warrants outstanding:</w:t>
      </w:r>
    </w:p>
    <w:p>
      <w:pPr>
        <w:spacing w:after="0" w:line="225" w:lineRule="exact"/>
        <w:rPr>
          <w:sz w:val="20"/>
          <w:szCs w:val="20"/>
          <w:color w:val="auto"/>
        </w:rPr>
      </w:pPr>
    </w:p>
    <w:p>
      <w:pPr>
        <w:ind w:left="420" w:right="100" w:hanging="7"/>
        <w:spacing w:after="0" w:line="308" w:lineRule="auto"/>
        <w:tabs>
          <w:tab w:leader="none" w:pos="735" w:val="left"/>
        </w:tabs>
        <w:numPr>
          <w:ilvl w:val="0"/>
          <w:numId w:val="67"/>
        </w:numPr>
        <w:rPr>
          <w:rFonts w:ascii="Arial" w:cs="Arial" w:eastAsia="Arial" w:hAnsi="Arial"/>
          <w:sz w:val="17"/>
          <w:szCs w:val="17"/>
          <w:color w:val="A6A6A6"/>
        </w:rPr>
      </w:pPr>
      <w:r>
        <w:rPr>
          <w:rFonts w:ascii="Arial" w:cs="Arial" w:eastAsia="Arial" w:hAnsi="Arial"/>
          <w:sz w:val="17"/>
          <w:szCs w:val="17"/>
          <w:i w:val="1"/>
          <w:iCs w:val="1"/>
          <w:color w:val="auto"/>
        </w:rPr>
        <w:t xml:space="preserve">Warrants issued to professional advisor. </w:t>
      </w:r>
      <w:r>
        <w:rPr>
          <w:rFonts w:ascii="Arial" w:cs="Arial" w:eastAsia="Arial" w:hAnsi="Arial"/>
          <w:sz w:val="17"/>
          <w:szCs w:val="17"/>
          <w:color w:val="auto"/>
        </w:rPr>
        <w:t>As consideration for certain professional services, on April 2, 2008, we issued to certain advisors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up to 10,000 ordinary shares at an exercise price of NIS 0.01 per share. These warrants shall expire on April 2, 2018.</w:t>
      </w:r>
    </w:p>
    <w:p>
      <w:pPr>
        <w:spacing w:after="0" w:line="146" w:lineRule="exact"/>
        <w:rPr>
          <w:rFonts w:ascii="Arial" w:cs="Arial" w:eastAsia="Arial" w:hAnsi="Arial"/>
          <w:sz w:val="17"/>
          <w:szCs w:val="17"/>
          <w:color w:val="A6A6A6"/>
        </w:rPr>
      </w:pPr>
    </w:p>
    <w:p>
      <w:pPr>
        <w:ind w:left="420" w:right="380" w:hanging="7"/>
        <w:spacing w:after="0" w:line="259" w:lineRule="auto"/>
        <w:tabs>
          <w:tab w:leader="none" w:pos="735" w:val="left"/>
        </w:tabs>
        <w:numPr>
          <w:ilvl w:val="0"/>
          <w:numId w:val="67"/>
        </w:numPr>
        <w:rPr>
          <w:rFonts w:ascii="Arial" w:cs="Arial" w:eastAsia="Arial" w:hAnsi="Arial"/>
          <w:sz w:val="18"/>
          <w:szCs w:val="18"/>
          <w:color w:val="A6A6A6"/>
        </w:rPr>
      </w:pPr>
      <w:r>
        <w:rPr>
          <w:rFonts w:ascii="Arial" w:cs="Arial" w:eastAsia="Arial" w:hAnsi="Arial"/>
          <w:sz w:val="18"/>
          <w:szCs w:val="18"/>
          <w:i w:val="1"/>
          <w:iCs w:val="1"/>
          <w:color w:val="auto"/>
        </w:rPr>
        <w:t xml:space="preserve">Warrants issued in the February 2010 Preferred B Subscription Agreement. </w:t>
      </w:r>
      <w:r>
        <w:rPr>
          <w:rFonts w:ascii="Arial" w:cs="Arial" w:eastAsia="Arial" w:hAnsi="Arial"/>
          <w:sz w:val="18"/>
          <w:szCs w:val="18"/>
          <w:color w:val="auto"/>
        </w:rPr>
        <w:t>In connection with the February 2010 Preferred B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further detailed below, we issued to the investors warrants to purchase up to 22,020 series B3 preferred shares at an exercise price of $16.02 per share. The warrants are currently exercisable into ordinary shares. These warrants shall expire immediately prior to the closing of this offering.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History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history of our share capital for the last three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Since January 1, 2010, we have issued 49,835 ordinary shares upon the exercise of share options.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February 2010 Preferred B Subscription Agreement</w:t>
      </w:r>
      <w:r>
        <w:rPr>
          <w:rFonts w:ascii="Arial" w:cs="Arial" w:eastAsia="Arial" w:hAnsi="Arial"/>
          <w:sz w:val="18"/>
          <w:szCs w:val="18"/>
          <w:color w:val="auto"/>
        </w:rPr>
        <w:t>. On February 28, 2010, we closed the February 2010 Preferred B Subscription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sold an aggregate of 67,751 series B1 preferred shares, and an aggregate of 21,893 series B2 preferred shares, at a price of $12.82 per share and issued warrants to purchase up to an aggregate of 22,020 series B3 preferred shares with an exercise price of $16.02 per share, which shall expire immediately prior to the closing of this offering.</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February 2011 Share Purchase Agreement. </w:t>
      </w:r>
      <w:r>
        <w:rPr>
          <w:rFonts w:ascii="Arial" w:cs="Arial" w:eastAsia="Arial" w:hAnsi="Arial"/>
          <w:sz w:val="18"/>
          <w:szCs w:val="18"/>
          <w:color w:val="auto"/>
        </w:rPr>
        <w:t>On March 24, 2011, we closed the February 2011 Share Purchase Agreement, pursuant to which we sold</w:t>
      </w:r>
      <w:r>
        <w:rPr>
          <w:rFonts w:ascii="Arial" w:cs="Arial" w:eastAsia="Arial" w:hAnsi="Arial"/>
          <w:sz w:val="18"/>
          <w:szCs w:val="18"/>
          <w:i w:val="1"/>
          <w:iCs w:val="1"/>
          <w:color w:val="auto"/>
        </w:rPr>
        <w:t xml:space="preserve"> </w:t>
      </w:r>
      <w:r>
        <w:rPr>
          <w:rFonts w:ascii="Arial" w:cs="Arial" w:eastAsia="Arial" w:hAnsi="Arial"/>
          <w:sz w:val="18"/>
          <w:szCs w:val="18"/>
          <w:color w:val="auto"/>
        </w:rPr>
        <w:t>an aggregate of 51,844 of our ordinary shares at a price of $67.51 per share.</w:t>
      </w:r>
    </w:p>
    <w:p>
      <w:pPr>
        <w:spacing w:after="0" w:line="170"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i w:val="1"/>
          <w:iCs w:val="1"/>
          <w:color w:val="auto"/>
        </w:rPr>
        <w:t>Recapitalization and conversion of Preferred Shares to Ordinary Shares</w:t>
      </w:r>
      <w:r>
        <w:rPr>
          <w:rFonts w:ascii="Arial" w:cs="Arial" w:eastAsia="Arial" w:hAnsi="Arial"/>
          <w:sz w:val="16"/>
          <w:szCs w:val="16"/>
          <w:color w:val="auto"/>
        </w:rPr>
        <w:t>. In connection with the February 2011 Share Purchase Agreement,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24, 2011, all 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2012 Convertible Notes</w:t>
      </w:r>
      <w:r>
        <w:rPr>
          <w:rFonts w:ascii="Arial" w:cs="Arial" w:eastAsia="Arial" w:hAnsi="Arial"/>
          <w:sz w:val="18"/>
          <w:szCs w:val="18"/>
          <w:color w:val="auto"/>
        </w:rPr>
        <w:t>. During 2012, we issued convertible notes for a total principal amount of $600,000. According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total amount, bearing an annual interest rate of 6%, shall be automatically converted into ordinary shares as of immediately after closing of this offering, at a 25% discount from the initial public offering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Holders of our ordinary shares have one vote for each ordinary share held on all matters submitted to a vote before the shareholders at a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71"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Our research and development efforts were financed in part, in the past, through grants that we received from Israel's Office of the Chief Scientist of the Ministry of Industry, Trade and Labor, as a result of which we must comply with the requirements of the Israeli Encouragement of Industrial Research and Development Law, 5744-1984, and related regulations, or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8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Pursuant to the Israeli Companies Law, the distribution amount is limited to the greater of retained earnings or earnings generated over the previous two years,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amendments to our amended and restated articles of association;</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approval of acts and transactions involving related parties, as defined by the Israeli Companies Law;</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increases or reductions of our authorized share capital;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 merger.</w:t>
      </w:r>
    </w:p>
    <w:p>
      <w:pPr>
        <w:spacing w:after="0" w:line="200" w:lineRule="exact"/>
        <w:rPr>
          <w:sz w:val="20"/>
          <w:szCs w:val="20"/>
          <w:color w:val="auto"/>
        </w:rPr>
      </w:pPr>
    </w:p>
    <w:p>
      <w:pPr>
        <w:spacing w:after="0" w:line="241" w:lineRule="exact"/>
        <w:rPr>
          <w:sz w:val="20"/>
          <w:szCs w:val="20"/>
          <w:color w:val="auto"/>
        </w:rPr>
      </w:pPr>
    </w:p>
    <w:p>
      <w:pPr>
        <w:ind w:right="480" w:firstLine="405"/>
        <w:spacing w:after="0" w:line="279" w:lineRule="auto"/>
        <w:rPr>
          <w:sz w:val="20"/>
          <w:szCs w:val="20"/>
          <w:color w:val="auto"/>
        </w:rPr>
      </w:pPr>
      <w:r>
        <w:rPr>
          <w:rFonts w:ascii="Arial" w:cs="Arial" w:eastAsia="Arial" w:hAnsi="Arial"/>
          <w:sz w:val="17"/>
          <w:szCs w:val="17"/>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not permitted to take action via written consent in lieu of a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3" w:name="page74"/>
    <w:bookmarkEnd w:id="73"/>
    <w:p>
      <w:pPr>
        <w:ind w:firstLine="405"/>
        <w:spacing w:after="0" w:line="289"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of certain transactions described above under “”Management —Board Practices—External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67"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Under our amended and restated articles of association, the alteration of the rights, privileges, preferences or obligations of any class of our share capital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8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70" w:lineRule="exact"/>
        <w:rPr>
          <w:sz w:val="20"/>
          <w:szCs w:val="20"/>
          <w:color w:val="auto"/>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appointment or removal of directors;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approval of transactions with office holders or interested or related parties;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approval of a merger;</w:t>
      </w:r>
    </w:p>
    <w:p>
      <w:pPr>
        <w:spacing w:after="0" w:line="225" w:lineRule="exact"/>
        <w:rPr>
          <w:rFonts w:ascii="Arial" w:cs="Arial" w:eastAsia="Arial" w:hAnsi="Arial"/>
          <w:sz w:val="18"/>
          <w:szCs w:val="18"/>
          <w:color w:val="A6A6A6"/>
        </w:rPr>
      </w:pPr>
    </w:p>
    <w:p>
      <w:pPr>
        <w:ind w:left="420" w:right="20" w:hanging="7"/>
        <w:spacing w:after="0" w:line="277" w:lineRule="auto"/>
        <w:tabs>
          <w:tab w:leader="none" w:pos="735"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approval of an arrangement or reorganization of the Company pursuant to Section 350 of the Israeli Companies Law; and</w:t>
      </w:r>
    </w:p>
    <w:p>
      <w:pPr>
        <w:spacing w:after="0" w:line="225" w:lineRule="exact"/>
        <w:rPr>
          <w:rFonts w:ascii="Arial" w:cs="Arial" w:eastAsia="Arial" w:hAnsi="Arial"/>
          <w:sz w:val="18"/>
          <w:szCs w:val="18"/>
          <w:color w:val="A6A6A6"/>
        </w:rPr>
      </w:pPr>
    </w:p>
    <w:p>
      <w:pPr>
        <w:ind w:left="420" w:right="500" w:hanging="7"/>
        <w:spacing w:after="0" w:line="277" w:lineRule="auto"/>
        <w:tabs>
          <w:tab w:leader="none" w:pos="735"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87" w:lineRule="exact"/>
        <w:rPr>
          <w:sz w:val="20"/>
          <w:szCs w:val="20"/>
          <w:color w:val="auto"/>
        </w:rPr>
      </w:pPr>
    </w:p>
    <w:p>
      <w:pPr>
        <w:jc w:val="both"/>
        <w:ind w:right="120" w:firstLine="405"/>
        <w:spacing w:after="0" w:line="342" w:lineRule="auto"/>
        <w:rPr>
          <w:sz w:val="20"/>
          <w:szCs w:val="20"/>
          <w:color w:val="auto"/>
        </w:rPr>
      </w:pPr>
      <w:r>
        <w:rPr>
          <w:rFonts w:ascii="Arial" w:cs="Arial" w:eastAsia="Arial" w:hAnsi="Arial"/>
          <w:sz w:val="16"/>
          <w:szCs w:val="16"/>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4" w:name="page75"/>
    <w:bookmarkEnd w:id="74"/>
    <w:p>
      <w:pPr>
        <w:ind w:left="420"/>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5" w:name="page76"/>
    <w:bookmarkEnd w:id="75"/>
    <w:p>
      <w:pPr>
        <w:ind w:right="20" w:firstLine="405"/>
        <w:spacing w:after="0" w:line="259" w:lineRule="auto"/>
        <w:rPr>
          <w:sz w:val="20"/>
          <w:szCs w:val="20"/>
          <w:color w:val="auto"/>
        </w:rPr>
      </w:pPr>
      <w:r>
        <w:rPr>
          <w:rFonts w:ascii="Arial" w:cs="Arial" w:eastAsia="Arial" w:hAnsi="Arial"/>
          <w:sz w:val="18"/>
          <w:szCs w:val="18"/>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5"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Israeli Companies Law allow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20"/>
        <w:spacing w:after="0"/>
        <w:tabs>
          <w:tab w:leader="none" w:pos="4160" w:val="left"/>
        </w:tabs>
        <w:rPr>
          <w:sz w:val="20"/>
          <w:szCs w:val="20"/>
          <w:color w:val="auto"/>
        </w:rPr>
      </w:pPr>
      <w:r>
        <w:rPr>
          <w:rFonts w:ascii="Arial" w:cs="Arial" w:eastAsia="Arial" w:hAnsi="Arial"/>
          <w:sz w:val="18"/>
          <w:szCs w:val="18"/>
          <w:color w:val="auto"/>
        </w:rPr>
        <w:t>Our transfer agent in the United States will be</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w:t>
      </w:r>
    </w:p>
    <w:p>
      <w:pPr>
        <w:ind w:right="20"/>
        <w:spacing w:after="0" w:line="254" w:lineRule="auto"/>
        <w:rPr>
          <w:sz w:val="20"/>
          <w:szCs w:val="20"/>
          <w:color w:val="auto"/>
        </w:rPr>
      </w:pPr>
      <w:r>
        <w:rPr>
          <w:rFonts w:ascii="Arial" w:cs="Arial" w:eastAsia="Arial" w:hAnsi="Arial"/>
          <w:sz w:val="18"/>
          <w:szCs w:val="18"/>
          <w:color w:val="auto"/>
        </w:rPr>
        <w:t>offering and assuming no exercise of options outstanding following the offering, we will have an aggregate of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9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180-day lock-up period described in the preceding paragraph will be extended if:</w:t>
      </w:r>
    </w:p>
    <w:p>
      <w:pPr>
        <w:spacing w:after="0" w:line="225"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during the last 17 days of the 180-day lock-up period, we release earnings results or announce material news or a material event; or</w:t>
      </w:r>
    </w:p>
    <w:p>
      <w:pPr>
        <w:spacing w:after="0" w:line="236"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prior to the expiration of the 180-day lock-up period, we announce that we will release earnings results during the 15-day period following the last day of the 180-day period,</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8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81" w:lineRule="exact"/>
        <w:rPr>
          <w:sz w:val="20"/>
          <w:szCs w:val="20"/>
          <w:color w:val="auto"/>
        </w:rPr>
      </w:pPr>
    </w:p>
    <w:p>
      <w:pPr>
        <w:ind w:left="420"/>
        <w:spacing w:after="0"/>
        <w:tabs>
          <w:tab w:leader="none" w:pos="800" w:val="left"/>
          <w:tab w:leader="none" w:pos="6840" w:val="left"/>
          <w:tab w:leader="none" w:pos="7480" w:val="left"/>
        </w:tabs>
        <w:rPr>
          <w:sz w:val="20"/>
          <w:szCs w:val="20"/>
          <w:color w:val="auto"/>
        </w:rPr>
      </w:pPr>
      <w:r>
        <w:rPr>
          <w:rFonts w:ascii="Arial" w:cs="Arial" w:eastAsia="Arial" w:hAnsi="Arial"/>
          <w:sz w:val="17"/>
          <w:szCs w:val="17"/>
          <w:color w:val="A6A6A6"/>
        </w:rPr>
        <w:t>·</w:t>
      </w:r>
      <w:r>
        <w:rPr>
          <w:sz w:val="20"/>
          <w:szCs w:val="20"/>
          <w:color w:val="auto"/>
        </w:rPr>
        <w:tab/>
      </w:r>
      <w:r>
        <w:rPr>
          <w:rFonts w:ascii="Arial" w:cs="Arial" w:eastAsia="Arial" w:hAnsi="Arial"/>
          <w:sz w:val="17"/>
          <w:szCs w:val="17"/>
          <w:color w:val="auto"/>
        </w:rPr>
        <w:t>one percent of the number of ordinary shares then outstanding, which will equal</w:t>
      </w:r>
      <w:r>
        <w:rPr>
          <w:sz w:val="20"/>
          <w:szCs w:val="20"/>
          <w:color w:val="auto"/>
        </w:rPr>
        <w:tab/>
      </w:r>
      <w:r>
        <w:rPr>
          <w:rFonts w:ascii="Arial" w:cs="Arial" w:eastAsia="Arial" w:hAnsi="Arial"/>
          <w:sz w:val="18"/>
          <w:szCs w:val="18"/>
          <w:color w:val="auto"/>
          <w:highlight w:val="lightGray"/>
        </w:rPr>
        <w:t>–-</w:t>
      </w:r>
      <w:r>
        <w:rPr>
          <w:sz w:val="20"/>
          <w:szCs w:val="20"/>
          <w:color w:val="auto"/>
        </w:rPr>
        <w:tab/>
      </w:r>
      <w:r>
        <w:rPr>
          <w:rFonts w:ascii="Arial" w:cs="Arial" w:eastAsia="Arial" w:hAnsi="Arial"/>
          <w:sz w:val="15"/>
          <w:szCs w:val="15"/>
          <w:color w:val="auto"/>
        </w:rPr>
        <w:t>shares; or</w:t>
      </w:r>
    </w:p>
    <w:p>
      <w:pPr>
        <w:spacing w:after="0" w:line="225" w:lineRule="exact"/>
        <w:rPr>
          <w:sz w:val="20"/>
          <w:szCs w:val="20"/>
          <w:color w:val="auto"/>
        </w:rPr>
      </w:pPr>
    </w:p>
    <w:p>
      <w:pPr>
        <w:ind w:left="820" w:right="60" w:hanging="407"/>
        <w:spacing w:after="0" w:line="277" w:lineRule="auto"/>
        <w:tabs>
          <w:tab w:leader="none" w:pos="820" w:val="left"/>
        </w:tabs>
        <w:numPr>
          <w:ilvl w:val="0"/>
          <w:numId w:val="71"/>
        </w:numPr>
        <w:rPr>
          <w:rFonts w:ascii="Arial" w:cs="Arial" w:eastAsia="Arial" w:hAnsi="Arial"/>
          <w:sz w:val="18"/>
          <w:szCs w:val="18"/>
          <w:color w:val="A6A6A6"/>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the sale.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an affiliate acquires “restricted securities,” those securities will also be subject to holding period requirements.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8" w:name="page79"/>
    <w:bookmarkEnd w:id="78"/>
    <w:p>
      <w:pPr>
        <w:ind w:right="20" w:firstLine="441"/>
        <w:spacing w:after="0" w:line="308" w:lineRule="auto"/>
        <w:rPr>
          <w:sz w:val="20"/>
          <w:szCs w:val="20"/>
          <w:color w:val="auto"/>
        </w:rPr>
      </w:pPr>
      <w:r>
        <w:rPr>
          <w:rFonts w:ascii="Arial" w:cs="Arial" w:eastAsia="Arial" w:hAnsi="Arial"/>
          <w:sz w:val="17"/>
          <w:szCs w:val="17"/>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Israeli resident companies, such as the Company, are generally subject to corporate tax at the rate of 25% of their taxable income in 2013.</w:t>
      </w:r>
    </w:p>
    <w:p>
      <w:pPr>
        <w:spacing w:after="0" w:line="23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Capital gains derived by an Israeli resident company are now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our Israeli individual shareholders on receipt of dividends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800,000 NIS.</w:t>
      </w:r>
    </w:p>
    <w:p>
      <w:pPr>
        <w:spacing w:after="0" w:line="181"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1" w:lineRule="exact"/>
        <w:rPr>
          <w:sz w:val="20"/>
          <w:szCs w:val="20"/>
          <w:color w:val="auto"/>
        </w:rPr>
      </w:pPr>
    </w:p>
    <w:p>
      <w:pPr>
        <w:jc w:val="both"/>
        <w:ind w:right="160" w:firstLine="405"/>
        <w:spacing w:after="0" w:line="288" w:lineRule="auto"/>
        <w:rPr>
          <w:sz w:val="20"/>
          <w:szCs w:val="20"/>
          <w:color w:val="auto"/>
        </w:rPr>
      </w:pPr>
      <w:r>
        <w:rPr>
          <w:rFonts w:ascii="Arial" w:cs="Arial" w:eastAsia="Arial" w:hAnsi="Arial"/>
          <w:sz w:val="16"/>
          <w:szCs w:val="16"/>
          <w:color w:val="auto"/>
        </w:rPr>
        <w:t>The term “Israeli Resident” is generally defined under Israeli tax legislation with respect to individuals as a person whose center of vital interests is in Israel. The Israeli Tax Ordinance [New Version], 1961 (as amended by Amendment Law No. 132 of 2002) (the “Israeli Tax Ordinance”) determines that in order to determine the center of vital interests of an individual, account will be taken of the individual’s family, economic and social connections, including:</w:t>
      </w:r>
    </w:p>
    <w:p>
      <w:pPr>
        <w:ind w:right="60" w:firstLine="8"/>
        <w:spacing w:after="0" w:line="252"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vital interests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0" w:name="page81"/>
    <w:bookmarkEnd w:id="80"/>
    <w:p>
      <w:pPr>
        <w:ind w:left="420"/>
        <w:spacing w:after="0"/>
        <w:rPr>
          <w:sz w:val="20"/>
          <w:szCs w:val="20"/>
          <w:color w:val="auto"/>
        </w:rPr>
      </w:pPr>
      <w:r>
        <w:rPr>
          <w:rFonts w:ascii="Arial" w:cs="Arial" w:eastAsia="Arial" w:hAnsi="Arial"/>
          <w:sz w:val="18"/>
          <w:szCs w:val="18"/>
          <w:b w:val="1"/>
          <w:bCs w:val="1"/>
          <w:i w:val="1"/>
          <w:iCs w:val="1"/>
          <w:color w:val="auto"/>
        </w:rPr>
        <w:t>Taxation of Israeli Resident Corporations on Receipt of 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Taxes Applicable to Israeli Resident Shareholders</w:t>
      </w:r>
    </w:p>
    <w:p>
      <w:pPr>
        <w:spacing w:after="0" w:line="225"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800,000 NIS.</w:t>
      </w:r>
    </w:p>
    <w:p>
      <w:pPr>
        <w:spacing w:after="0" w:line="158"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Moreover, capital gains derived by a shareholder who is a dealer or trader in securities, or to whom such income is otherwise taxable as ordinary business income, are taxed in Israel at ordinary income rates (currently, 25% for corporations and up to 48% for individuals in 2013).</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225"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Non-residents of Israel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the source, unless a different rate is provided in a tax treaty between Israel and the shareholder’s country of residence.</w:t>
      </w:r>
    </w:p>
    <w:p>
      <w:pPr>
        <w:spacing w:after="0" w:line="166"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A non-resident of Israel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income taxes applicable to non-Israeli shareholders.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Shareholders that are not Israeli residents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88"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right="300" w:firstLine="405"/>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jc w:val="both"/>
        <w:ind w:right="260" w:firstLine="405"/>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U.S. Internal Revenue Code of 1986, as amended, or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88"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7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right="40" w:firstLine="405"/>
        <w:spacing w:after="0" w:line="255" w:lineRule="auto"/>
        <w:rPr>
          <w:sz w:val="20"/>
          <w:szCs w:val="20"/>
          <w:color w:val="auto"/>
        </w:rPr>
      </w:pPr>
      <w:r>
        <w:rPr>
          <w:rFonts w:ascii="Arial" w:cs="Arial" w:eastAsia="Arial" w:hAnsi="Arial"/>
          <w:sz w:val="18"/>
          <w:szCs w:val="18"/>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79"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or other disposition of the ordinary shares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9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ind w:left="420"/>
        <w:spacing w:after="0"/>
        <w:rPr>
          <w:sz w:val="20"/>
          <w:szCs w:val="20"/>
          <w:color w:val="auto"/>
        </w:rPr>
      </w:pPr>
      <w:r>
        <w:rPr>
          <w:rFonts w:ascii="Arial" w:cs="Arial" w:eastAsia="Arial" w:hAnsi="Arial"/>
          <w:sz w:val="18"/>
          <w:szCs w:val="18"/>
          <w:b w:val="1"/>
          <w:bCs w:val="1"/>
          <w:i w:val="1"/>
          <w:iCs w:val="1"/>
          <w:color w:val="auto"/>
        </w:rPr>
        <w:t>Passive foreign investment company consequences</w:t>
      </w:r>
    </w:p>
    <w:p>
      <w:pPr>
        <w:spacing w:after="0" w:line="22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8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If we are a PFIC in any taxable year during which a U.S. Holder owns ordinary shares,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 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8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ind w:firstLine="405"/>
        <w:spacing w:after="0" w:line="264" w:lineRule="auto"/>
        <w:rPr>
          <w:sz w:val="20"/>
          <w:szCs w:val="20"/>
          <w:color w:val="auto"/>
        </w:rPr>
      </w:pPr>
      <w:r>
        <w:rPr>
          <w:rFonts w:ascii="Arial" w:cs="Arial" w:eastAsia="Arial" w:hAnsi="Arial"/>
          <w:sz w:val="18"/>
          <w:szCs w:val="18"/>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U.S. Holder who is a shareholder of a PFIC must file an annual report containing certain information.</w:t>
      </w:r>
    </w:p>
    <w:p>
      <w:pPr>
        <w:spacing w:after="0" w:line="221"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Certain reporting requirements with respect to payments of Offer Price</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50" w:lineRule="exact"/>
        <w:rPr>
          <w:sz w:val="20"/>
          <w:szCs w:val="20"/>
          <w:color w:val="auto"/>
        </w:rPr>
      </w:pPr>
    </w:p>
    <w:p>
      <w:pPr>
        <w:ind w:left="3360"/>
        <w:spacing w:after="0"/>
        <w:tabs>
          <w:tab w:leader="none" w:pos="8820" w:val="left"/>
        </w:tabs>
        <w:rPr>
          <w:sz w:val="20"/>
          <w:szCs w:val="20"/>
          <w:color w:val="auto"/>
        </w:rPr>
      </w:pPr>
      <w:r>
        <w:rPr>
          <w:rFonts w:ascii="Arial" w:cs="Arial" w:eastAsia="Arial" w:hAnsi="Arial"/>
          <w:sz w:val="18"/>
          <w:szCs w:val="18"/>
          <w:b w:val="1"/>
          <w:bCs w:val="1"/>
          <w:u w:val="single" w:color="auto"/>
          <w:color w:val="auto"/>
        </w:rPr>
        <w:t>Underwriter</w:t>
      </w:r>
      <w:r>
        <w:rPr>
          <w:sz w:val="20"/>
          <w:szCs w:val="20"/>
          <w:color w:val="auto"/>
        </w:rPr>
        <w:tab/>
      </w:r>
      <w:r>
        <w:rPr>
          <w:rFonts w:ascii="Arial" w:cs="Arial" w:eastAsia="Arial" w:hAnsi="Arial"/>
          <w:sz w:val="18"/>
          <w:szCs w:val="18"/>
          <w:b w:val="1"/>
          <w:bCs w:val="1"/>
          <w:u w:val="single" w:color="auto"/>
          <w:color w:val="auto"/>
        </w:rPr>
        <w:t>Number of Shares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Aegis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The underwriters propose to offer the shares offered by us to the public at the public offering price set forth on the cover of this prospectus. In addition, the underwriters may offer some of the shares to other securities dealers at such price less a concession of $ per share. If all of the shares offered by us are not sold at the public offering price, the underwriters may change the offering price and other selling terms by means of a supplement to this prospectus.</w:t>
      </w:r>
    </w:p>
    <w:p>
      <w:pPr>
        <w:spacing w:after="0" w:line="14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8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7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granted the underwriters an over-allotment option. This option, which is exercisable for up to 45 days after the date of this prospectus, permits</w:t>
      </w:r>
    </w:p>
    <w:p>
      <w:pPr>
        <w:spacing w:after="0" w:line="4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underwriters to purchase a maximum of additional shares from us to cover over-allotments. If the underwriters exercise all or part of this option, they will purchase shares covered by the option at the public offering price less the underwriting discounts and commissions that appear on the cover</w:t>
      </w:r>
    </w:p>
    <w:p>
      <w:pPr>
        <w:ind w:right="140"/>
        <w:spacing w:after="0" w:line="261" w:lineRule="auto"/>
        <w:rPr>
          <w:sz w:val="20"/>
          <w:szCs w:val="20"/>
          <w:color w:val="auto"/>
        </w:rPr>
      </w:pPr>
      <w:r>
        <w:rPr>
          <w:rFonts w:ascii="Arial" w:cs="Arial" w:eastAsia="Arial" w:hAnsi="Arial"/>
          <w:sz w:val="18"/>
          <w:szCs w:val="18"/>
          <w:color w:val="auto"/>
        </w:rPr>
        <w:t>page of this prospectus. If this option is exercised in full, the total price to the public will be $ , and the total proceeds to us, before expenses, will be $ .</w:t>
      </w:r>
    </w:p>
    <w:p>
      <w:pPr>
        <w:spacing w:after="0" w:line="18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 xml:space="preserve">Underwriting Discounts and Commissions. </w:t>
      </w:r>
      <w:r>
        <w:rPr>
          <w:rFonts w:ascii="Arial" w:cs="Arial" w:eastAsia="Arial" w:hAnsi="Arial"/>
          <w:sz w:val="18"/>
          <w:szCs w:val="18"/>
          <w:color w:val="auto"/>
        </w:rPr>
        <w:t>We have agreed to pay underwriting discounts and commissions of 7% of the gross proceeds of the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to 7% of the per share public offering price of $ ). The following table shows the public offering price, underwriting discounts and commissions and expenses to be paid by us to the underwriters and the proceeds of the public offering, before expenses, to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Without over-</w:t>
            </w:r>
          </w:p>
        </w:tc>
        <w:tc>
          <w:tcPr>
            <w:tcW w:w="34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With full over-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allotment exercise</w:t>
            </w:r>
          </w:p>
        </w:tc>
        <w:tc>
          <w:tcPr>
            <w:tcW w:w="34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allotment 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Public offering price</w:t>
            </w:r>
          </w:p>
        </w:tc>
        <w:tc>
          <w:tcPr>
            <w:tcW w:w="1500" w:type="dxa"/>
            <w:vAlign w:val="bottom"/>
            <w:tcBorders>
              <w:top w:val="single" w:sz="8" w:color="auto"/>
            </w:tcBorders>
            <w:shd w:val="clear" w:color="auto" w:fill="CCFFCC"/>
          </w:tcPr>
          <w:p>
            <w:pPr>
              <w:jc w:val="right"/>
              <w:ind w:right="13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jc w:val="right"/>
              <w:ind w:right="131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 paid by us (per ordinary share)</w:t>
            </w:r>
          </w:p>
        </w:tc>
        <w:tc>
          <w:tcPr>
            <w:tcW w:w="15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 paid by us (total)</w:t>
            </w:r>
          </w:p>
        </w:tc>
        <w:tc>
          <w:tcPr>
            <w:tcW w:w="15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other expenses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660" w:right="40" w:hanging="328"/>
        <w:spacing w:after="0" w:line="281"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have agreed to pay the underwriters a non-accountable expense allowance in the amount of 1% of the total public offering price of the shares sold (excluding the over-allotment option). We have paid a $25,000 advance to the underwriters and are required to pay an additional $25,000 within five days after the filing of this registration statement, such amounts to be applied against the underwriters’ non-accountable expense allowance. We</w:t>
      </w:r>
    </w:p>
    <w:p>
      <w:pPr>
        <w:spacing w:after="0" w:line="2"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will also pay or reimburse the underwriters in an amount of up to $ , over and above the underwriting discount, to cover certain out of pocket items of expenses they incur in connection with this offering. Excluding the underwriting discounts and commissions, total expenses attributable to this offering are estimated to be approximately $ .</w:t>
      </w:r>
    </w:p>
    <w:p>
      <w:pPr>
        <w:spacing w:after="0" w:line="19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i w:val="1"/>
          <w:iCs w:val="1"/>
          <w:color w:val="auto"/>
        </w:rPr>
        <w:t>Right of First Refusal</w:t>
      </w:r>
      <w:r>
        <w:rPr>
          <w:rFonts w:ascii="Arial" w:cs="Arial" w:eastAsia="Arial" w:hAnsi="Arial"/>
          <w:sz w:val="18"/>
          <w:szCs w:val="18"/>
          <w:color w:val="auto"/>
        </w:rPr>
        <w:t>. We have agreed to grant to the Representative the right of first refusal to act as co-manger/co-book runner on customary terms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transactions for each and every public equity and public debt offering of the Company, or any successor to or any subsidiary of the Company, that takes place within a period of six (6) months from the closing of this offering.</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 xml:space="preserve">Representative’s Warrants. </w:t>
      </w:r>
      <w:r>
        <w:rPr>
          <w:rFonts w:ascii="Arial" w:cs="Arial" w:eastAsia="Arial" w:hAnsi="Arial"/>
          <w:sz w:val="17"/>
          <w:szCs w:val="17"/>
          <w:color w:val="auto"/>
        </w:rPr>
        <w:t>We have also agreed to issue to the Representative or its designees, at the closing of this offering, warrants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Warrants”) to 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83" w:lineRule="exact"/>
        <w:rPr>
          <w:sz w:val="20"/>
          <w:szCs w:val="20"/>
          <w:color w:val="auto"/>
        </w:rPr>
      </w:pPr>
    </w:p>
    <w:p>
      <w:pPr>
        <w:ind w:right="760" w:firstLine="450"/>
        <w:spacing w:after="0" w:line="27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shares offered hereby to any accounts over which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authority.</w:t>
      </w:r>
    </w:p>
    <w:p>
      <w:pPr>
        <w:spacing w:after="0" w:line="17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We, our officers and directors and holders of all of our outstanding ordinary shares have entered into lock-up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underwriters. 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54" w:lineRule="exact"/>
        <w:rPr>
          <w:sz w:val="20"/>
          <w:szCs w:val="20"/>
          <w:color w:val="auto"/>
        </w:rPr>
      </w:pPr>
    </w:p>
    <w:p>
      <w:pPr>
        <w:ind w:left="900" w:right="6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81"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whether any such transaction described above is to be settled by delivery of ordinary shares or other securities, in cash or otherwise.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restrictions described above, applicable to us, do not apply to:</w:t>
      </w:r>
    </w:p>
    <w:p>
      <w:pPr>
        <w:spacing w:after="0" w:line="225"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rFonts w:ascii="Arial" w:cs="Arial" w:eastAsia="Arial" w:hAnsi="Arial"/>
          <w:sz w:val="18"/>
          <w:szCs w:val="18"/>
          <w:color w:val="auto"/>
        </w:rPr>
      </w:pPr>
    </w:p>
    <w:p>
      <w:pPr>
        <w:ind w:left="900" w:right="340" w:hanging="325"/>
        <w:spacing w:after="0" w:line="308"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46" w:lineRule="exact"/>
        <w:rPr>
          <w:rFonts w:ascii="Arial" w:cs="Arial" w:eastAsia="Arial" w:hAnsi="Arial"/>
          <w:sz w:val="17"/>
          <w:szCs w:val="17"/>
          <w:color w:val="auto"/>
        </w:rPr>
      </w:pPr>
    </w:p>
    <w:p>
      <w:pPr>
        <w:ind w:left="900" w:right="4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70"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8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i w:val="1"/>
          <w:iCs w:val="1"/>
          <w:color w:val="auto"/>
        </w:rPr>
        <w:t xml:space="preserve">Electronic Offer, Sale and Distribution of Shares. </w:t>
      </w:r>
      <w:r>
        <w:rPr>
          <w:rFonts w:ascii="Arial" w:cs="Arial" w:eastAsia="Arial" w:hAnsi="Arial"/>
          <w:sz w:val="18"/>
          <w:szCs w:val="18"/>
          <w:color w:val="auto"/>
        </w:rPr>
        <w:t>A prospectus in electronic format may be made available on the websites maintained by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i w:val="1"/>
          <w:iCs w:val="1"/>
          <w:color w:val="auto"/>
        </w:rPr>
        <w:t xml:space="preserve">Other Relationships. </w:t>
      </w:r>
      <w:r>
        <w:rPr>
          <w:rFonts w:ascii="Arial" w:cs="Arial" w:eastAsia="Arial" w:hAnsi="Arial"/>
          <w:sz w:val="17"/>
          <w:szCs w:val="17"/>
          <w:color w:val="auto"/>
        </w:rPr>
        <w:t>Certain of the underwriters and their affiliates have provided, and may in the future provide, various investment banking,</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banking and other financial services for us and our affiliates for which they have received, and may in the future receive, customary fee; however, except as disclosed in this prospectus, we have no present arrangements with any of the underwriters for any further services.</w:t>
      </w:r>
    </w:p>
    <w:p>
      <w:pPr>
        <w:spacing w:after="0" w:line="16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 overallotment transactions, syndicate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penalty bids and purchases to cover positions created by short sales.</w:t>
      </w:r>
    </w:p>
    <w:p>
      <w:pPr>
        <w:spacing w:after="0" w:line="170" w:lineRule="exact"/>
        <w:rPr>
          <w:sz w:val="20"/>
          <w:szCs w:val="20"/>
          <w:color w:val="auto"/>
        </w:rPr>
      </w:pPr>
    </w:p>
    <w:p>
      <w:pPr>
        <w:ind w:left="420" w:right="120" w:hanging="7"/>
        <w:spacing w:after="0" w:line="277" w:lineRule="auto"/>
        <w:tabs>
          <w:tab w:leader="none" w:pos="1140" w:val="left"/>
        </w:tabs>
        <w:numPr>
          <w:ilvl w:val="0"/>
          <w:numId w:val="76"/>
        </w:numPr>
        <w:rPr>
          <w:rFonts w:ascii="Arial" w:cs="Arial" w:eastAsia="Arial" w:hAnsi="Arial"/>
          <w:sz w:val="18"/>
          <w:szCs w:val="18"/>
          <w:color w:val="A6A6A6"/>
        </w:rPr>
      </w:pPr>
      <w:r>
        <w:rPr>
          <w:rFonts w:ascii="Arial" w:cs="Arial" w:eastAsia="Arial" w:hAnsi="Arial"/>
          <w:sz w:val="18"/>
          <w:szCs w:val="18"/>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70" w:lineRule="exact"/>
        <w:rPr>
          <w:rFonts w:ascii="Arial" w:cs="Arial" w:eastAsia="Arial" w:hAnsi="Arial"/>
          <w:sz w:val="18"/>
          <w:szCs w:val="18"/>
          <w:color w:val="A6A6A6"/>
        </w:rPr>
      </w:pPr>
    </w:p>
    <w:p>
      <w:pPr>
        <w:ind w:left="420" w:right="100" w:hanging="7"/>
        <w:spacing w:after="0" w:line="276" w:lineRule="auto"/>
        <w:tabs>
          <w:tab w:leader="none" w:pos="1140" w:val="left"/>
        </w:tabs>
        <w:numPr>
          <w:ilvl w:val="0"/>
          <w:numId w:val="76"/>
        </w:numPr>
        <w:rPr>
          <w:rFonts w:ascii="Arial" w:cs="Arial" w:eastAsia="Arial" w:hAnsi="Arial"/>
          <w:sz w:val="17"/>
          <w:szCs w:val="17"/>
          <w:color w:val="A6A6A6"/>
        </w:rPr>
      </w:pPr>
      <w:r>
        <w:rPr>
          <w:rFonts w:ascii="Arial" w:cs="Arial" w:eastAsia="Arial" w:hAnsi="Arial"/>
          <w:sz w:val="17"/>
          <w:szCs w:val="17"/>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ind w:left="420" w:hanging="7"/>
        <w:spacing w:after="0" w:line="255" w:lineRule="auto"/>
        <w:tabs>
          <w:tab w:leader="none" w:pos="114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89" w:lineRule="exact"/>
        <w:rPr>
          <w:rFonts w:ascii="Arial" w:cs="Arial" w:eastAsia="Arial" w:hAnsi="Arial"/>
          <w:sz w:val="18"/>
          <w:szCs w:val="18"/>
          <w:color w:val="A6A6A6"/>
        </w:rPr>
      </w:pPr>
    </w:p>
    <w:p>
      <w:pPr>
        <w:ind w:left="420" w:right="560" w:hanging="7"/>
        <w:spacing w:after="0" w:line="308" w:lineRule="auto"/>
        <w:tabs>
          <w:tab w:leader="none" w:pos="1185" w:val="left"/>
        </w:tabs>
        <w:numPr>
          <w:ilvl w:val="0"/>
          <w:numId w:val="77"/>
        </w:numPr>
        <w:rPr>
          <w:rFonts w:ascii="Arial" w:cs="Arial" w:eastAsia="Arial" w:hAnsi="Arial"/>
          <w:sz w:val="17"/>
          <w:szCs w:val="17"/>
          <w:color w:val="A6A6A6"/>
        </w:rPr>
      </w:pPr>
      <w:r>
        <w:rPr>
          <w:rFonts w:ascii="Arial" w:cs="Arial" w:eastAsia="Arial" w:hAnsi="Arial"/>
          <w:sz w:val="17"/>
          <w:szCs w:val="17"/>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4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of ordinary shares</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81" w:lineRule="exact"/>
        <w:rPr>
          <w:sz w:val="20"/>
          <w:szCs w:val="20"/>
          <w:color w:val="auto"/>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the information set forth in this prospectus and otherwise available to the representative;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our prospects and the history and prospects for the industry in which we compete;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an assessment of our management;</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our prospects for future earnings;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the general condition of the securities markets at the time of this offering;</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the recent market prices of, and demand for, publicly traded common stock of generally comparable companies;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Restrictions Outside the United States</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left="4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87" w:lineRule="exact"/>
        <w:rPr>
          <w:sz w:val="20"/>
          <w:szCs w:val="20"/>
          <w:color w:val="auto"/>
        </w:rPr>
      </w:pPr>
    </w:p>
    <w:p>
      <w:pPr>
        <w:ind w:left="720" w:hanging="307"/>
        <w:spacing w:after="0"/>
        <w:tabs>
          <w:tab w:leader="none" w:pos="720"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to fewer than 100 or, if the Relevant Member State has implemented the relevant provision of the 2010 PD Amending Directive, 150, natural or</w:t>
      </w:r>
    </w:p>
    <w:p>
      <w:pPr>
        <w:spacing w:after="0" w:line="46" w:lineRule="exact"/>
        <w:rPr>
          <w:rFonts w:ascii="Arial" w:cs="Arial" w:eastAsia="Arial" w:hAnsi="Arial"/>
          <w:sz w:val="16"/>
          <w:szCs w:val="16"/>
          <w:color w:val="A6A6A6"/>
        </w:rPr>
      </w:pPr>
    </w:p>
    <w:p>
      <w:pPr>
        <w:ind w:left="420" w:right="20"/>
        <w:spacing w:after="0" w:line="261" w:lineRule="auto"/>
        <w:rPr>
          <w:rFonts w:ascii="Arial" w:cs="Arial" w:eastAsia="Arial" w:hAnsi="Arial"/>
          <w:sz w:val="16"/>
          <w:szCs w:val="16"/>
          <w:color w:val="A6A6A6"/>
        </w:rPr>
      </w:pPr>
      <w:r>
        <w:rPr>
          <w:rFonts w:ascii="Arial" w:cs="Arial" w:eastAsia="Arial" w:hAnsi="Arial"/>
          <w:sz w:val="18"/>
          <w:szCs w:val="18"/>
          <w:color w:val="auto"/>
        </w:rPr>
        <w:t>legal persons (other than qualified investors as defined in the Prospectus Directive), as permitted under the Prospectus Directive, subject to obtaining the prior consent of the representative for any such offer; or</w:t>
      </w:r>
    </w:p>
    <w:p>
      <w:pPr>
        <w:spacing w:after="0" w:line="183" w:lineRule="exact"/>
        <w:rPr>
          <w:rFonts w:ascii="Arial" w:cs="Arial" w:eastAsia="Arial" w:hAnsi="Arial"/>
          <w:sz w:val="16"/>
          <w:szCs w:val="16"/>
          <w:color w:val="A6A6A6"/>
        </w:rPr>
      </w:pPr>
    </w:p>
    <w:p>
      <w:pPr>
        <w:ind w:left="420" w:right="40" w:hanging="7"/>
        <w:spacing w:after="0" w:line="277" w:lineRule="auto"/>
        <w:tabs>
          <w:tab w:leader="none" w:pos="735"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420" w:right="240" w:hanging="7"/>
        <w:spacing w:after="0" w:line="264" w:lineRule="auto"/>
        <w:tabs>
          <w:tab w:leader="none" w:pos="735" w:val="left"/>
        </w:tabs>
        <w:numPr>
          <w:ilvl w:val="0"/>
          <w:numId w:val="80"/>
        </w:numPr>
        <w:rPr>
          <w:rFonts w:ascii="Arial" w:cs="Arial" w:eastAsia="Arial" w:hAnsi="Arial"/>
          <w:sz w:val="18"/>
          <w:szCs w:val="18"/>
          <w:color w:val="A6A6A6"/>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81" w:lineRule="exact"/>
        <w:rPr>
          <w:rFonts w:ascii="Arial" w:cs="Arial" w:eastAsia="Arial" w:hAnsi="Arial"/>
          <w:sz w:val="18"/>
          <w:szCs w:val="18"/>
          <w:color w:val="A6A6A6"/>
        </w:rPr>
      </w:pPr>
    </w:p>
    <w:p>
      <w:pPr>
        <w:ind w:left="420" w:right="100" w:hanging="7"/>
        <w:spacing w:after="0" w:line="277" w:lineRule="auto"/>
        <w:tabs>
          <w:tab w:leader="none" w:pos="735" w:val="left"/>
        </w:tabs>
        <w:numPr>
          <w:ilvl w:val="0"/>
          <w:numId w:val="80"/>
        </w:numPr>
        <w:rPr>
          <w:rFonts w:ascii="Arial" w:cs="Arial" w:eastAsia="Arial" w:hAnsi="Arial"/>
          <w:sz w:val="18"/>
          <w:szCs w:val="18"/>
          <w:color w:val="A6A6A6"/>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420" w:right="840" w:hanging="7"/>
        <w:spacing w:after="0" w:line="277"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an insurer, as defined in the Law for Oversight of Insurance Transactions, 5741-1981;</w:t>
      </w:r>
    </w:p>
    <w:p>
      <w:pPr>
        <w:spacing w:after="0" w:line="225" w:lineRule="exact"/>
        <w:rPr>
          <w:rFonts w:ascii="Arial" w:cs="Arial" w:eastAsia="Arial" w:hAnsi="Arial"/>
          <w:sz w:val="18"/>
          <w:szCs w:val="18"/>
          <w:color w:val="A6A6A6"/>
        </w:rPr>
      </w:pPr>
    </w:p>
    <w:p>
      <w:pPr>
        <w:ind w:left="420" w:hanging="7"/>
        <w:spacing w:after="0" w:line="277"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ind w:left="420" w:right="60" w:hanging="7"/>
        <w:spacing w:after="0" w:line="264"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81" w:lineRule="exact"/>
        <w:rPr>
          <w:rFonts w:ascii="Arial" w:cs="Arial" w:eastAsia="Arial" w:hAnsi="Arial"/>
          <w:sz w:val="18"/>
          <w:szCs w:val="18"/>
          <w:color w:val="A6A6A6"/>
        </w:rPr>
      </w:pPr>
    </w:p>
    <w:p>
      <w:pPr>
        <w:ind w:left="420" w:right="240" w:hanging="7"/>
        <w:spacing w:after="0" w:line="277"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170" w:lineRule="exact"/>
        <w:rPr>
          <w:rFonts w:ascii="Arial" w:cs="Arial" w:eastAsia="Arial" w:hAnsi="Arial"/>
          <w:sz w:val="18"/>
          <w:szCs w:val="18"/>
          <w:color w:val="A6A6A6"/>
        </w:rPr>
      </w:pPr>
    </w:p>
    <w:p>
      <w:pPr>
        <w:ind w:left="420" w:right="460" w:hanging="7"/>
        <w:spacing w:after="0" w:line="277"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 member of the Tel Aviv Stock Exchange, acting on its own account or for the account of investors of the type listed in Section 15A(b) of the Securities Law, 1968;</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underwriter fulfilling the conditions of Section 56(c) of the Securities Law, 5728-1968, acting on its own account;</w:t>
      </w:r>
    </w:p>
    <w:p>
      <w:pPr>
        <w:spacing w:after="0" w:line="225" w:lineRule="exact"/>
        <w:rPr>
          <w:rFonts w:ascii="Arial" w:cs="Arial" w:eastAsia="Arial" w:hAnsi="Arial"/>
          <w:sz w:val="18"/>
          <w:szCs w:val="18"/>
          <w:color w:val="A6A6A6"/>
        </w:rPr>
      </w:pPr>
    </w:p>
    <w:p>
      <w:pPr>
        <w:ind w:left="420" w:right="540" w:hanging="7"/>
        <w:spacing w:after="0" w:line="342" w:lineRule="auto"/>
        <w:tabs>
          <w:tab w:leader="none" w:pos="735"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23" w:lineRule="exact"/>
        <w:rPr>
          <w:rFonts w:ascii="Arial" w:cs="Arial" w:eastAsia="Arial" w:hAnsi="Arial"/>
          <w:sz w:val="16"/>
          <w:szCs w:val="16"/>
          <w:color w:val="A6A6A6"/>
        </w:rPr>
      </w:pPr>
    </w:p>
    <w:p>
      <w:pPr>
        <w:ind w:left="720" w:hanging="307"/>
        <w:spacing w:after="0"/>
        <w:tabs>
          <w:tab w:leader="none" w:pos="720"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entity fully owned by investors of the type listed in Section 15A(b) of the Securities Law, 1968;</w:t>
      </w:r>
    </w:p>
    <w:p>
      <w:pPr>
        <w:spacing w:after="0" w:line="225" w:lineRule="exact"/>
        <w:rPr>
          <w:rFonts w:ascii="Arial" w:cs="Arial" w:eastAsia="Arial" w:hAnsi="Arial"/>
          <w:sz w:val="18"/>
          <w:szCs w:val="18"/>
          <w:color w:val="A6A6A6"/>
        </w:rPr>
      </w:pPr>
    </w:p>
    <w:p>
      <w:pPr>
        <w:ind w:left="420" w:right="140" w:hanging="7"/>
        <w:spacing w:after="0" w:line="277"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entity, other than an entity formed for the purpose of purchasing securities in this offering, in which the shareholders’ equity is in excess of NIS 50 million; and</w:t>
      </w:r>
    </w:p>
    <w:p>
      <w:pPr>
        <w:spacing w:after="0" w:line="170" w:lineRule="exact"/>
        <w:rPr>
          <w:rFonts w:ascii="Arial" w:cs="Arial" w:eastAsia="Arial" w:hAnsi="Arial"/>
          <w:sz w:val="18"/>
          <w:szCs w:val="18"/>
          <w:color w:val="A6A6A6"/>
        </w:rPr>
      </w:pPr>
    </w:p>
    <w:p>
      <w:pPr>
        <w:ind w:left="420" w:right="60" w:hanging="7"/>
        <w:spacing w:after="0" w:line="264"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81"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7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_____________</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address of Aegis Capital Corp. is 810 Seventh Avenue, 18th Floor, New York, New York 10019.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estimate that the total expenses of this offering payable by us, excluding the underwriting discounts and commissions and expenses, will be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approximately $</w:t>
            </w:r>
          </w:p>
        </w:tc>
        <w:tc>
          <w:tcPr>
            <w:tcW w:w="7360" w:type="dxa"/>
            <w:vAlign w:val="bottom"/>
          </w:tcPr>
          <w:p>
            <w:pPr>
              <w:ind w:left="460"/>
              <w:spacing w:after="0"/>
              <w:rPr>
                <w:sz w:val="20"/>
                <w:szCs w:val="20"/>
                <w:color w:val="auto"/>
              </w:rPr>
            </w:pPr>
            <w:r>
              <w:rPr>
                <w:rFonts w:ascii="Arial" w:cs="Arial" w:eastAsia="Arial" w:hAnsi="Arial"/>
                <w:sz w:val="18"/>
                <w:szCs w:val="18"/>
                <w:color w:val="auto"/>
              </w:rPr>
              <w:t>as follows: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SEC filing fee</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2,557.50</w:t>
            </w:r>
          </w:p>
        </w:tc>
      </w:tr>
      <w:tr>
        <w:trPr>
          <w:trHeight w:val="216"/>
        </w:trPr>
        <w:tc>
          <w:tcPr>
            <w:tcW w:w="14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FINRA filing fee</w:t>
            </w: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3,312.50</w:t>
            </w:r>
          </w:p>
        </w:tc>
      </w:tr>
      <w:tr>
        <w:trPr>
          <w:trHeight w:val="216"/>
        </w:trPr>
        <w:tc>
          <w:tcPr>
            <w:tcW w:w="144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Transfer agent fees and expenses</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Printer fees and expenses</w:t>
            </w: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Legal fees and expenses</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Miscellaneous</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14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To be completed by amendment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10,000 of our ordinary shares. Certain legal matters related to the offering will be passed upon for the underwriters by Troutman Sanders LLP, New York, New York.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8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81" w:lineRule="exact"/>
        <w:rPr>
          <w:sz w:val="20"/>
          <w:szCs w:val="20"/>
          <w:color w:val="auto"/>
        </w:rPr>
      </w:pPr>
    </w:p>
    <w:p>
      <w:pPr>
        <w:ind w:left="420" w:hanging="7"/>
        <w:spacing w:after="0" w:line="277" w:lineRule="auto"/>
        <w:tabs>
          <w:tab w:leader="none" w:pos="735"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the judgment is final and is not subject to any right of appeal;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2" w:name="page93"/>
    <w:bookmarkEnd w:id="92"/>
    <w:p>
      <w:pPr>
        <w:ind w:left="720" w:hanging="307"/>
        <w:spacing w:after="0"/>
        <w:tabs>
          <w:tab w:leader="none" w:pos="720" w:val="left"/>
        </w:tabs>
        <w:numPr>
          <w:ilvl w:val="0"/>
          <w:numId w:val="84"/>
        </w:numPr>
        <w:rPr>
          <w:rFonts w:ascii="Arial" w:cs="Arial" w:eastAsia="Arial" w:hAnsi="Arial"/>
          <w:sz w:val="18"/>
          <w:szCs w:val="18"/>
          <w:color w:val="A6A6A6"/>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6A6A6"/>
        </w:rPr>
      </w:pPr>
    </w:p>
    <w:p>
      <w:pPr>
        <w:ind w:left="420" w:right="440" w:hanging="7"/>
        <w:spacing w:after="0" w:line="342" w:lineRule="auto"/>
        <w:tabs>
          <w:tab w:leader="none" w:pos="735"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23" w:lineRule="exact"/>
        <w:rPr>
          <w:rFonts w:ascii="Arial" w:cs="Arial" w:eastAsia="Arial" w:hAnsi="Arial"/>
          <w:sz w:val="16"/>
          <w:szCs w:val="16"/>
          <w:color w:val="A6A6A6"/>
        </w:rPr>
      </w:pPr>
    </w:p>
    <w:p>
      <w:pPr>
        <w:ind w:left="720" w:hanging="307"/>
        <w:spacing w:after="0"/>
        <w:tabs>
          <w:tab w:leader="none" w:pos="720" w:val="left"/>
        </w:tabs>
        <w:numPr>
          <w:ilvl w:val="0"/>
          <w:numId w:val="84"/>
        </w:numPr>
        <w:rPr>
          <w:rFonts w:ascii="Arial" w:cs="Arial" w:eastAsia="Arial" w:hAnsi="Arial"/>
          <w:sz w:val="17"/>
          <w:szCs w:val="17"/>
          <w:color w:val="A6A6A6"/>
        </w:rPr>
      </w:pPr>
      <w:r>
        <w:rPr>
          <w:rFonts w:ascii="Arial" w:cs="Arial" w:eastAsia="Arial" w:hAnsi="Arial"/>
          <w:sz w:val="17"/>
          <w:szCs w:val="17"/>
          <w:color w:val="auto"/>
        </w:rPr>
        <w:t>the judgment was not obtained by fraud and do not conflict with any other valid judgments in the same matter between the same parties;</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84"/>
        </w:numPr>
        <w:rPr>
          <w:rFonts w:ascii="Arial" w:cs="Arial" w:eastAsia="Arial" w:hAnsi="Arial"/>
          <w:sz w:val="18"/>
          <w:szCs w:val="18"/>
          <w:color w:val="A6A6A6"/>
        </w:rPr>
      </w:pPr>
      <w:r>
        <w:rPr>
          <w:rFonts w:ascii="Arial" w:cs="Arial" w:eastAsia="Arial" w:hAnsi="Arial"/>
          <w:sz w:val="18"/>
          <w:szCs w:val="18"/>
          <w:color w:val="auto"/>
        </w:rPr>
        <w:t>the judgment is enforceable according to the law of the foreign state in which the relief was granted.</w:t>
      </w:r>
    </w:p>
    <w:p>
      <w:pPr>
        <w:spacing w:after="0" w:line="200" w:lineRule="exact"/>
        <w:rPr>
          <w:sz w:val="20"/>
          <w:szCs w:val="20"/>
          <w:color w:val="auto"/>
        </w:rPr>
      </w:pPr>
    </w:p>
    <w:p>
      <w:pPr>
        <w:spacing w:after="0" w:line="24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93"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5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97"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center"/>
        <w:ind w:right="4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jc w:val="center"/>
              <w:ind w:left="1450"/>
              <w:spacing w:after="0"/>
              <w:rPr>
                <w:sz w:val="20"/>
                <w:szCs w:val="20"/>
                <w:color w:val="auto"/>
              </w:rPr>
            </w:pPr>
            <w:r>
              <w:rPr>
                <w:rFonts w:ascii="Arial" w:cs="Arial" w:eastAsia="Arial" w:hAnsi="Arial"/>
                <w:sz w:val="18"/>
                <w:szCs w:val="18"/>
                <w:b w:val="1"/>
                <w:bCs w:val="1"/>
                <w:color w:val="auto"/>
              </w:rPr>
              <w:t>FINANCIAL STATEMENTS</w:t>
            </w:r>
          </w:p>
        </w:tc>
        <w:tc>
          <w:tcPr>
            <w:tcW w:w="1600" w:type="dxa"/>
            <w:vAlign w:val="bottom"/>
          </w:tcPr>
          <w:p>
            <w:pPr>
              <w:spacing w:after="0"/>
              <w:rPr>
                <w:sz w:val="20"/>
                <w:szCs w:val="20"/>
                <w:color w:val="auto"/>
              </w:rPr>
            </w:pPr>
          </w:p>
        </w:tc>
      </w:tr>
      <w:tr>
        <w:trPr>
          <w:trHeight w:val="648"/>
        </w:trPr>
        <w:tc>
          <w:tcPr>
            <w:tcW w:w="9760" w:type="dxa"/>
            <w:vAlign w:val="bottom"/>
          </w:tcPr>
          <w:p>
            <w:pPr>
              <w:jc w:val="center"/>
              <w:ind w:left="1470"/>
              <w:spacing w:after="0"/>
              <w:rPr>
                <w:sz w:val="20"/>
                <w:szCs w:val="20"/>
                <w:color w:val="auto"/>
              </w:rPr>
            </w:pPr>
            <w:r>
              <w:rPr>
                <w:rFonts w:ascii="Arial" w:cs="Arial" w:eastAsia="Arial" w:hAnsi="Arial"/>
                <w:sz w:val="18"/>
                <w:szCs w:val="18"/>
                <w:b w:val="1"/>
                <w:bCs w:val="1"/>
                <w:color w:val="auto"/>
                <w:w w:val="95"/>
              </w:rPr>
              <w:t>AS OF DECEMBER 31, 2012</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U.S. DOLLARS IN THOUSANDS</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50"/>
              <w:spacing w:after="0"/>
              <w:rPr>
                <w:sz w:val="20"/>
                <w:szCs w:val="20"/>
                <w:color w:val="auto"/>
              </w:rPr>
            </w:pPr>
            <w:r>
              <w:rPr>
                <w:rFonts w:ascii="Arial" w:cs="Arial" w:eastAsia="Arial" w:hAnsi="Arial"/>
                <w:sz w:val="18"/>
                <w:szCs w:val="18"/>
                <w:b w:val="1"/>
                <w:bCs w:val="1"/>
                <w:color w:val="auto"/>
              </w:rPr>
              <w:t>INDEX</w:t>
            </w:r>
          </w:p>
        </w:tc>
        <w:tc>
          <w:tcPr>
            <w:tcW w:w="1600" w:type="dxa"/>
            <w:vAlign w:val="bottom"/>
          </w:tcPr>
          <w:p>
            <w:pPr>
              <w:spacing w:after="0"/>
              <w:rPr>
                <w:sz w:val="24"/>
                <w:szCs w:val="24"/>
                <w:color w:val="auto"/>
              </w:rPr>
            </w:pPr>
          </w:p>
        </w:tc>
      </w:tr>
      <w:tr>
        <w:trPr>
          <w:trHeight w:val="648"/>
        </w:trPr>
        <w:tc>
          <w:tcPr>
            <w:tcW w:w="976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Page</w:t>
            </w:r>
          </w:p>
        </w:tc>
      </w:tr>
      <w:tr>
        <w:trPr>
          <w:trHeight w:val="426"/>
        </w:trPr>
        <w:tc>
          <w:tcPr>
            <w:tcW w:w="9760" w:type="dxa"/>
            <w:vAlign w:val="bottom"/>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3 - 4</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Changes in Shareholders' Equity (Deficiency)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Cash Flows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Notes to Financial Statements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8 - 23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586105</wp:posOffset>
            </wp:positionV>
            <wp:extent cx="7031990" cy="14408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03199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Board of Directors and the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both"/>
        <w:ind w:left="20" w:firstLine="510"/>
        <w:spacing w:after="0" w:line="257" w:lineRule="auto"/>
        <w:rPr>
          <w:sz w:val="20"/>
          <w:szCs w:val="20"/>
          <w:color w:val="auto"/>
        </w:rPr>
      </w:pPr>
      <w:r>
        <w:rPr>
          <w:rFonts w:ascii="Arial" w:cs="Arial" w:eastAsia="Arial" w:hAnsi="Arial"/>
          <w:sz w:val="18"/>
          <w:szCs w:val="18"/>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8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w:t>
      </w:r>
    </w:p>
    <w:p>
      <w:pPr>
        <w:jc w:val="both"/>
        <w:ind w:firstLine="8"/>
        <w:spacing w:after="0" w:line="254" w:lineRule="auto"/>
        <w:tabs>
          <w:tab w:leader="none" w:pos="1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Tel-Aviv, Israel</w:t>
            </w:r>
          </w:p>
        </w:tc>
        <w:tc>
          <w:tcPr>
            <w:tcW w:w="6520" w:type="dxa"/>
            <w:vAlign w:val="bottom"/>
          </w:tcPr>
          <w:p>
            <w:pPr>
              <w:jc w:val="center"/>
              <w:ind w:left="1350"/>
              <w:spacing w:after="0"/>
              <w:rPr>
                <w:sz w:val="20"/>
                <w:szCs w:val="20"/>
                <w:color w:val="auto"/>
              </w:rPr>
            </w:pPr>
            <w:r>
              <w:rPr>
                <w:rFonts w:ascii="Arial" w:cs="Arial" w:eastAsia="Arial" w:hAnsi="Arial"/>
                <w:sz w:val="18"/>
                <w:szCs w:val="18"/>
                <w:color w:val="auto"/>
                <w:w w:val="96"/>
              </w:rPr>
              <w:t>/s/ KOST FORER GABBAY &amp; KASIERER</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January 14, 2013</w:t>
            </w:r>
          </w:p>
        </w:tc>
        <w:tc>
          <w:tcPr>
            <w:tcW w:w="6520" w:type="dxa"/>
            <w:vAlign w:val="bottom"/>
          </w:tcPr>
          <w:p>
            <w:pPr>
              <w:jc w:val="center"/>
              <w:ind w:left="1350"/>
              <w:spacing w:after="0"/>
              <w:rPr>
                <w:sz w:val="20"/>
                <w:szCs w:val="20"/>
                <w:color w:val="auto"/>
              </w:rPr>
            </w:pPr>
            <w:r>
              <w:rPr>
                <w:rFonts w:ascii="Arial" w:cs="Arial" w:eastAsia="Arial" w:hAnsi="Arial"/>
                <w:sz w:val="18"/>
                <w:szCs w:val="18"/>
                <w:color w:val="auto"/>
                <w:w w:val="93"/>
              </w:rPr>
              <w:t>A Member of Ernst &amp; Young Global</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Except for Note 13 to which the date is February 19, 2013</w:t>
            </w:r>
          </w:p>
        </w:tc>
        <w:tc>
          <w:tcPr>
            <w:tcW w:w="6520" w:type="dxa"/>
            <w:vAlign w:val="bottom"/>
          </w:tcPr>
          <w:p>
            <w:pPr>
              <w:spacing w:after="0"/>
              <w:rPr>
                <w:sz w:val="20"/>
                <w:szCs w:val="20"/>
                <w:color w:val="auto"/>
              </w:rPr>
            </w:pPr>
          </w:p>
        </w:tc>
      </w:tr>
      <w:tr>
        <w:trPr>
          <w:trHeight w:val="432"/>
        </w:trPr>
        <w:tc>
          <w:tcPr>
            <w:tcW w:w="49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20"/>
          </w:cols>
          <w:pgMar w:left="240" w:top="144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426"/>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80" w:type="dxa"/>
            <w:vAlign w:val="bottom"/>
          </w:tcPr>
          <w:p>
            <w:pPr>
              <w:jc w:val="center"/>
              <w:ind w:right="6690"/>
              <w:spacing w:after="0"/>
              <w:rPr>
                <w:sz w:val="20"/>
                <w:szCs w:val="20"/>
                <w:color w:val="auto"/>
              </w:rPr>
            </w:pPr>
            <w:r>
              <w:rPr>
                <w:rFonts w:ascii="Arial" w:cs="Arial" w:eastAsia="Arial" w:hAnsi="Arial"/>
                <w:sz w:val="18"/>
                <w:szCs w:val="18"/>
                <w:color w:val="auto"/>
                <w:w w:val="90"/>
              </w:rPr>
              <w:t>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jc w:val="center"/>
              <w:ind w:right="6310"/>
              <w:spacing w:after="0"/>
              <w:rPr>
                <w:sz w:val="20"/>
                <w:szCs w:val="20"/>
                <w:color w:val="auto"/>
              </w:rPr>
            </w:pPr>
            <w:r>
              <w:rPr>
                <w:rFonts w:ascii="Arial" w:cs="Arial" w:eastAsia="Arial" w:hAnsi="Arial"/>
                <w:sz w:val="18"/>
                <w:szCs w:val="18"/>
                <w:color w:val="auto"/>
                <w:w w:val="94"/>
              </w:rPr>
              <w:t>CURRENT 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Short-term bank deposit</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Receivables and prepaid expenses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80"/>
              <w:spacing w:after="0" w:line="176" w:lineRule="exact"/>
              <w:rPr>
                <w:sz w:val="20"/>
                <w:szCs w:val="20"/>
                <w:color w:val="auto"/>
              </w:rPr>
            </w:pPr>
            <w:r>
              <w:rPr>
                <w:rFonts w:ascii="Arial" w:cs="Arial" w:eastAsia="Arial" w:hAnsi="Arial"/>
                <w:sz w:val="18"/>
                <w:szCs w:val="18"/>
                <w:color w:val="auto"/>
              </w:rPr>
              <w:t>180</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667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Restricted bank deposits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Long-term deposit</w:t>
            </w:r>
          </w:p>
        </w:tc>
        <w:tc>
          <w:tcPr>
            <w:tcW w:w="10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21</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537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201</w:t>
            </w:r>
          </w:p>
        </w:tc>
        <w:tc>
          <w:tcPr>
            <w:tcW w:w="6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1,204</w:t>
            </w:r>
          </w:p>
        </w:tc>
      </w:tr>
      <w:tr>
        <w:trPr>
          <w:trHeight w:val="20"/>
        </w:trPr>
        <w:tc>
          <w:tcPr>
            <w:tcW w:w="6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58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000" w:type="dxa"/>
            <w:vAlign w:val="bottom"/>
            <w:gridSpan w:val="3"/>
          </w:tcPr>
          <w:p>
            <w:pPr>
              <w:spacing w:after="0"/>
              <w:rPr>
                <w:sz w:val="20"/>
                <w:szCs w:val="20"/>
                <w:color w:val="auto"/>
              </w:rPr>
            </w:pPr>
            <w:r>
              <w:rPr>
                <w:rFonts w:ascii="Arial" w:cs="Arial" w:eastAsia="Arial" w:hAnsi="Arial"/>
                <w:sz w:val="18"/>
                <w:szCs w:val="18"/>
                <w:color w:val="auto"/>
              </w:rPr>
              <w:t>LIABILITIES AND SHAREHOLDERS' EQUITY (DEFICIENCY)</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Trade payables</w:t>
            </w:r>
          </w:p>
        </w:tc>
        <w:tc>
          <w:tcPr>
            <w:tcW w:w="980" w:type="dxa"/>
            <w:vAlign w:val="bottom"/>
            <w:shd w:val="clear" w:color="auto" w:fill="CCFFC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Other accounts payable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Convertible Notes</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current liabilities</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00"/>
              <w:spacing w:after="0" w:line="176" w:lineRule="exact"/>
              <w:rPr>
                <w:sz w:val="20"/>
                <w:szCs w:val="20"/>
                <w:color w:val="auto"/>
              </w:rPr>
            </w:pPr>
            <w:r>
              <w:rPr>
                <w:rFonts w:ascii="Arial" w:cs="Arial" w:eastAsia="Arial" w:hAnsi="Arial"/>
                <w:sz w:val="18"/>
                <w:szCs w:val="18"/>
                <w:color w:val="auto"/>
              </w:rPr>
              <w:t>768</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2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Ordinary shares of NIS 0.01 par value -</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Arial" w:cs="Arial" w:eastAsia="Arial" w:hAnsi="Arial"/>
                <w:sz w:val="18"/>
                <w:szCs w:val="18"/>
                <w:color w:val="auto"/>
                <w:w w:val="92"/>
              </w:rPr>
              <w:t>10,000,000 shares authorized at December 31, 2012 and 2011; 1,379,656 and 1,379,235 issued shares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Arial" w:cs="Arial" w:eastAsia="Arial" w:hAnsi="Arial"/>
                <w:sz w:val="18"/>
                <w:szCs w:val="18"/>
                <w:color w:val="auto"/>
              </w:rPr>
              <w:t>at December 31, 2012 and 2011, respectively; 1,327,812 and 1,379,235 shares outstanding at</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tcPr>
          <w:p>
            <w:pPr>
              <w:ind w:left="320"/>
              <w:spacing w:after="0"/>
              <w:rPr>
                <w:sz w:val="20"/>
                <w:szCs w:val="20"/>
                <w:color w:val="auto"/>
              </w:rPr>
            </w:pPr>
            <w:r>
              <w:rPr>
                <w:rFonts w:ascii="Arial" w:cs="Arial" w:eastAsia="Arial" w:hAnsi="Arial"/>
                <w:sz w:val="18"/>
                <w:szCs w:val="18"/>
                <w:color w:val="auto"/>
              </w:rPr>
              <w:t>December 31, 2012 and 2011, respectively</w:t>
            </w:r>
          </w:p>
        </w:tc>
        <w:tc>
          <w:tcPr>
            <w:tcW w:w="9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Treasury shares (51,844 Ordinary shares as of December 31, 2012)</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8"/>
              </w:rPr>
              <w:t>(8,186)</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shareholders' equity (deficiency)</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40"/>
              <w:spacing w:after="0" w:line="176" w:lineRule="exact"/>
              <w:rPr>
                <w:sz w:val="20"/>
                <w:szCs w:val="20"/>
                <w:color w:val="auto"/>
              </w:rPr>
            </w:pPr>
            <w:r>
              <w:rPr>
                <w:rFonts w:ascii="Arial" w:cs="Arial" w:eastAsia="Arial" w:hAnsi="Arial"/>
                <w:sz w:val="18"/>
                <w:szCs w:val="18"/>
                <w:color w:val="auto"/>
              </w:rPr>
              <w:t>(567)</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2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LIABILITIES AND SHAREHOLDERS' EQUITY (DEFICIENCY)</w:t>
            </w:r>
          </w:p>
        </w:tc>
        <w:tc>
          <w:tcPr>
            <w:tcW w:w="980" w:type="dxa"/>
            <w:vAlign w:val="bottom"/>
            <w:shd w:val="clear" w:color="auto" w:fill="CCFFCC"/>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201</w:t>
            </w: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76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5200"/>
              <w:spacing w:after="0"/>
              <w:rPr>
                <w:sz w:val="20"/>
                <w:szCs w:val="20"/>
                <w:color w:val="auto"/>
              </w:rPr>
            </w:pPr>
            <w:r>
              <w:rPr>
                <w:rFonts w:ascii="Arial" w:cs="Arial" w:eastAsia="Arial" w:hAnsi="Arial"/>
                <w:sz w:val="18"/>
                <w:szCs w:val="18"/>
                <w:color w:val="auto"/>
              </w:rPr>
              <w:t>F-4</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7, 2008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(date of inception)</w:t>
            </w:r>
          </w:p>
        </w:tc>
      </w:tr>
      <w:tr>
        <w:trPr>
          <w:trHeight w:val="248"/>
        </w:trPr>
        <w:tc>
          <w:tcPr>
            <w:tcW w:w="6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r>
      <w:tr>
        <w:trPr>
          <w:trHeight w:val="223"/>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10"/>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Research and development expenses, net</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1,822</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4,042</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1,501</w:t>
            </w:r>
          </w:p>
        </w:tc>
        <w:tc>
          <w:tcPr>
            <w:tcW w:w="3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3,906</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7,810</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Financial expenses, net</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comprehensive loss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3,929</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8,006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Deemed dividend</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loss attributable to holders of Ordinary shares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4,109</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basic and diluted loss per share</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80" w:type="dxa"/>
            <w:vAlign w:val="bottom"/>
            <w:shd w:val="clear" w:color="auto" w:fill="CCFFCC"/>
          </w:tcPr>
          <w:p>
            <w:pPr>
              <w:ind w:left="60"/>
              <w:spacing w:after="0" w:line="201" w:lineRule="exact"/>
              <w:rPr>
                <w:sz w:val="20"/>
                <w:szCs w:val="20"/>
                <w:color w:val="auto"/>
              </w:rPr>
            </w:pPr>
            <w:r>
              <w:rPr>
                <w:rFonts w:ascii="Arial" w:cs="Arial" w:eastAsia="Arial" w:hAnsi="Arial"/>
                <w:sz w:val="18"/>
                <w:szCs w:val="18"/>
                <w:color w:val="auto"/>
              </w:rPr>
              <w:t>Weighted average number of Ordinary shares used in computing basic and</w:t>
            </w: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57"/>
        </w:trPr>
        <w:tc>
          <w:tcPr>
            <w:tcW w:w="61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diluted net loss per share</w:t>
            </w:r>
          </w:p>
        </w:tc>
        <w:tc>
          <w:tcPr>
            <w:tcW w:w="320" w:type="dxa"/>
            <w:vAlign w:val="bottom"/>
            <w:shd w:val="clear" w:color="auto" w:fill="CCFFCC"/>
          </w:tcPr>
          <w:p>
            <w:pPr>
              <w:spacing w:after="0"/>
              <w:rPr>
                <w:sz w:val="22"/>
                <w:szCs w:val="22"/>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1,327,416</w:t>
            </w:r>
          </w:p>
        </w:tc>
        <w:tc>
          <w:tcPr>
            <w:tcW w:w="36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1,336,182</w:t>
            </w:r>
          </w:p>
        </w:tc>
        <w:tc>
          <w:tcPr>
            <w:tcW w:w="1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80" w:type="dxa"/>
            <w:vAlign w:val="bottom"/>
          </w:tcPr>
          <w:p>
            <w:pPr>
              <w:spacing w:after="0"/>
              <w:rPr>
                <w:sz w:val="11"/>
                <w:szCs w:val="11"/>
                <w:color w:val="auto"/>
              </w:rPr>
            </w:pPr>
          </w:p>
        </w:tc>
        <w:tc>
          <w:tcPr>
            <w:tcW w:w="8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67"/>
        </w:trPr>
        <w:tc>
          <w:tcPr>
            <w:tcW w:w="322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3"/>
                <w:szCs w:val="13"/>
                <w:b w:val="1"/>
                <w:bCs w:val="1"/>
                <w:color w:val="auto"/>
              </w:rPr>
              <w:t>Ordinary shares</w:t>
            </w:r>
          </w:p>
        </w:tc>
        <w:tc>
          <w:tcPr>
            <w:tcW w:w="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Borders>
              <w:bottom w:val="single" w:sz="8" w:color="auto"/>
            </w:tcBorders>
            <w:gridSpan w:val="5"/>
          </w:tcPr>
          <w:p>
            <w:pPr>
              <w:jc w:val="right"/>
              <w:ind w:right="137"/>
              <w:spacing w:after="0"/>
              <w:rPr>
                <w:sz w:val="20"/>
                <w:szCs w:val="20"/>
                <w:color w:val="auto"/>
              </w:rPr>
            </w:pPr>
            <w:r>
              <w:rPr>
                <w:rFonts w:ascii="Arial" w:cs="Arial" w:eastAsia="Arial" w:hAnsi="Arial"/>
                <w:sz w:val="13"/>
                <w:szCs w:val="13"/>
                <w:b w:val="1"/>
                <w:bCs w:val="1"/>
                <w:color w:val="auto"/>
              </w:rPr>
              <w:t>Preferred A shares</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3"/>
                <w:szCs w:val="13"/>
                <w:b w:val="1"/>
                <w:bCs w:val="1"/>
                <w:color w:val="auto"/>
              </w:rPr>
              <w:t>Preferred B shares</w:t>
            </w: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development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8"/>
              </w:rPr>
              <w:t>equity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20" w:type="dxa"/>
            <w:vAlign w:val="bottom"/>
          </w:tcPr>
          <w:p>
            <w:pPr>
              <w:spacing w:after="0"/>
              <w:rPr>
                <w:sz w:val="12"/>
                <w:szCs w:val="12"/>
                <w:color w:val="auto"/>
              </w:rPr>
            </w:pP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20"/>
              <w:spacing w:after="0" w:line="143" w:lineRule="exact"/>
              <w:rPr>
                <w:sz w:val="20"/>
                <w:szCs w:val="20"/>
                <w:color w:val="auto"/>
              </w:rPr>
            </w:pPr>
            <w:r>
              <w:rPr>
                <w:rFonts w:ascii="Arial" w:cs="Arial" w:eastAsia="Arial" w:hAnsi="Arial"/>
                <w:sz w:val="13"/>
                <w:szCs w:val="13"/>
                <w:b w:val="1"/>
                <w:bCs w:val="1"/>
                <w:color w:val="auto"/>
              </w:rPr>
              <w:t>Number</w:t>
            </w:r>
          </w:p>
        </w:tc>
        <w:tc>
          <w:tcPr>
            <w:tcW w:w="6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82"/>
              </w:rPr>
              <w:t>stage</w:t>
            </w:r>
          </w:p>
        </w:tc>
        <w:tc>
          <w:tcPr>
            <w:tcW w:w="80" w:type="dxa"/>
            <w:vAlign w:val="bottom"/>
          </w:tcPr>
          <w:p>
            <w:pPr>
              <w:spacing w:after="0"/>
              <w:rPr>
                <w:sz w:val="12"/>
                <w:szCs w:val="12"/>
                <w:color w:val="auto"/>
              </w:rPr>
            </w:pPr>
          </w:p>
        </w:tc>
        <w:tc>
          <w:tcPr>
            <w:tcW w:w="840" w:type="dxa"/>
            <w:vAlign w:val="bottom"/>
            <w:gridSpan w:val="4"/>
          </w:tcPr>
          <w:p>
            <w:pPr>
              <w:jc w:val="center"/>
              <w:ind w:right="100"/>
              <w:spacing w:after="0" w:line="143" w:lineRule="exact"/>
              <w:rPr>
                <w:sz w:val="20"/>
                <w:szCs w:val="20"/>
                <w:color w:val="auto"/>
              </w:rPr>
            </w:pPr>
            <w:r>
              <w:rPr>
                <w:rFonts w:ascii="Arial" w:cs="Arial" w:eastAsia="Arial" w:hAnsi="Arial"/>
                <w:sz w:val="13"/>
                <w:szCs w:val="13"/>
                <w:b w:val="1"/>
                <w:bCs w:val="1"/>
                <w:color w:val="auto"/>
                <w:w w:val="85"/>
              </w:rPr>
              <w:t>(deficiency)</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Arial" w:cs="Arial" w:eastAsia="Arial" w:hAnsi="Arial"/>
                <w:sz w:val="13"/>
                <w:szCs w:val="13"/>
                <w:color w:val="auto"/>
              </w:rPr>
              <w:t>Balance as of February 7, 2008 (date of inception)</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FFCC"/>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jc w:val="right"/>
              <w:ind w:right="481"/>
              <w:spacing w:after="0"/>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Issuance of Ordinary shares at par share</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980,000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9"/>
              </w:rPr>
              <w:t>Issuance of Preferred A shares, net ($5.4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127,315</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657</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657</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4"/>
              </w:rPr>
              <w:t>Preferred A shares issued to service provider ($5.4 per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share)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13,889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74"/>
              </w:rPr>
              <w:t>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75</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89"/>
              </w:rPr>
              <w:t>Share based compensation related to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consultant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w w:val="74"/>
              </w:rPr>
              <w:t>28</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82"/>
              </w:rPr>
              <w:t>28</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(666)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(666)</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4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2008</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980,000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141,204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760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97</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9"/>
              </w:rPr>
              <w:t>Issuance of Preferred A shares, net ($5.4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34,722</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187</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187</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rPr>
              <w:t>Issuance of Preferred A shares granted to service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provider ($5.4 per share)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32,407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175</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5"/>
              </w:rPr>
              <w:t>Conversion of Preferred A shares into Ordinary shares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78,703</w:t>
            </w:r>
          </w:p>
        </w:tc>
        <w:tc>
          <w:tcPr>
            <w:tcW w:w="7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(78,703)</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(608)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(608)</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4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2009</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1,058,703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129,630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1,122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(1,274)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(149)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0"/>
              </w:rPr>
              <w:t>Issuance of Preferred B shares and warrants, net ($12.82</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per unit of 1 share and 0.25 warrant)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58,380</w:t>
            </w:r>
          </w:p>
        </w:tc>
        <w:tc>
          <w:tcPr>
            <w:tcW w:w="600" w:type="dxa"/>
            <w:vAlign w:val="bottom"/>
            <w:shd w:val="clear" w:color="auto" w:fill="CCFFCC"/>
          </w:tcPr>
          <w:p>
            <w:pPr>
              <w:jc w:val="right"/>
              <w:ind w:right="1"/>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723</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rPr>
              <w:t>Issuance of Preferred B shares and warrants upon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220" w:type="dxa"/>
            <w:vAlign w:val="bottom"/>
          </w:tcPr>
          <w:p>
            <w:pPr>
              <w:ind w:left="360"/>
              <w:spacing w:after="0" w:line="135" w:lineRule="exact"/>
              <w:rPr>
                <w:sz w:val="20"/>
                <w:szCs w:val="20"/>
                <w:color w:val="auto"/>
              </w:rPr>
            </w:pPr>
            <w:r>
              <w:rPr>
                <w:rFonts w:ascii="Arial" w:cs="Arial" w:eastAsia="Arial" w:hAnsi="Arial"/>
                <w:sz w:val="13"/>
                <w:szCs w:val="13"/>
                <w:color w:val="auto"/>
                <w:w w:val="94"/>
              </w:rPr>
              <w:t>conversion of convertible notes ($10.26 per unit of 1</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share and 0.25 warrant)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21,893</w:t>
            </w:r>
          </w:p>
        </w:tc>
        <w:tc>
          <w:tcPr>
            <w:tcW w:w="60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279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279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3"/>
              </w:rPr>
              <w:t>Issuance of Preferred B shares and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service provider</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9,371</w:t>
            </w:r>
          </w:p>
        </w:tc>
        <w:tc>
          <w:tcPr>
            <w:tcW w:w="600" w:type="dxa"/>
            <w:vAlign w:val="bottom"/>
            <w:shd w:val="clear" w:color="auto" w:fill="CCFFCC"/>
          </w:tcPr>
          <w:p>
            <w:pPr>
              <w:jc w:val="right"/>
              <w:ind w:right="1"/>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120</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89"/>
              </w:rPr>
              <w:t>Share based compensation related to options granted to a</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service provider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242</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49,179</w:t>
            </w:r>
          </w:p>
        </w:tc>
        <w:tc>
          <w:tcPr>
            <w:tcW w:w="7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(1,224)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(1,224)</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4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2010</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1,107,882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129,630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89,644</w:t>
            </w:r>
          </w:p>
        </w:tc>
        <w:tc>
          <w:tcPr>
            <w:tcW w:w="600" w:type="dxa"/>
            <w:vAlign w:val="bottom"/>
          </w:tcPr>
          <w:p>
            <w:pPr>
              <w:jc w:val="right"/>
              <w:ind w:right="1"/>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2,486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6"/>
              </w:rPr>
              <w:t>Conversion of Preferred A and B shares into Ordinary</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shares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219,274</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(129,630)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(89,644)</w:t>
            </w:r>
          </w:p>
        </w:tc>
        <w:tc>
          <w:tcPr>
            <w:tcW w:w="600" w:type="dxa"/>
            <w:vAlign w:val="bottom"/>
            <w:shd w:val="clear" w:color="auto" w:fill="CCFFCC"/>
          </w:tcPr>
          <w:p>
            <w:pPr>
              <w:jc w:val="right"/>
              <w:ind w:right="1"/>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87"/>
              </w:rPr>
              <w:t>(1)</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Deemed dividend in respect of equity restructuring</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7"/>
              </w:rPr>
              <w:t>Issuance of Ordinary shares upon conversion of loan</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into Ordinary shares net ($67.51 per share)</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17,776</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1,200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1,200</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w w:val="99"/>
              </w:rPr>
              <w:t>Issuance of Ordinary shares, net ($67.51 per share)</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34,068</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2,170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2,170</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235</w:t>
            </w:r>
          </w:p>
        </w:tc>
        <w:tc>
          <w:tcPr>
            <w:tcW w:w="7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1,553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1,553</w:t>
            </w:r>
          </w:p>
        </w:tc>
      </w:tr>
      <w:tr>
        <w:trPr>
          <w:trHeight w:val="149"/>
        </w:trPr>
        <w:tc>
          <w:tcPr>
            <w:tcW w:w="32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(3,929)</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rPr>
              <w:t>(3,929)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Arial" w:cs="Arial" w:eastAsia="Arial" w:hAnsi="Arial"/>
                <w:sz w:val="13"/>
                <w:szCs w:val="13"/>
                <w:color w:val="auto"/>
              </w:rPr>
              <w:t>Balance as of December 31, 2011</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1,379,235</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7,588</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(6,607)</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985</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Treasury shares</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(51,844)</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421</w:t>
            </w:r>
          </w:p>
        </w:tc>
        <w:tc>
          <w:tcPr>
            <w:tcW w:w="7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74"/>
              </w:rPr>
              <w:t>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26</w:t>
            </w:r>
          </w:p>
        </w:tc>
      </w:tr>
      <w:tr>
        <w:trPr>
          <w:trHeight w:val="149"/>
        </w:trPr>
        <w:tc>
          <w:tcPr>
            <w:tcW w:w="32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(1,579)</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rPr>
              <w:t>(1,579)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220" w:type="dxa"/>
            <w:vAlign w:val="bottom"/>
            <w:shd w:val="clear" w:color="auto" w:fill="CCFFCC"/>
          </w:tcPr>
          <w:p>
            <w:pPr>
              <w:ind w:left="60"/>
              <w:spacing w:after="0"/>
              <w:rPr>
                <w:sz w:val="20"/>
                <w:szCs w:val="20"/>
                <w:color w:val="auto"/>
              </w:rPr>
            </w:pPr>
            <w:r>
              <w:rPr>
                <w:rFonts w:ascii="Arial" w:cs="Arial" w:eastAsia="Arial" w:hAnsi="Arial"/>
                <w:sz w:val="13"/>
                <w:szCs w:val="13"/>
                <w:color w:val="auto"/>
              </w:rPr>
              <w:t>Balance as of December 31, 2012</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1,327,812</w:t>
            </w:r>
          </w:p>
        </w:tc>
        <w:tc>
          <w:tcPr>
            <w:tcW w:w="720" w:type="dxa"/>
            <w:vAlign w:val="bottom"/>
            <w:gridSpan w:val="2"/>
            <w:shd w:val="clear" w:color="auto" w:fill="CCFFCC"/>
          </w:tcPr>
          <w:p>
            <w:pPr>
              <w:jc w:val="right"/>
              <w:ind w:right="47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4</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jc w:val="right"/>
              <w:ind w:right="481"/>
              <w:spacing w:after="0"/>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7,615</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00"/>
              <w:spacing w:after="0" w:line="162" w:lineRule="exact"/>
              <w:rPr>
                <w:sz w:val="20"/>
                <w:szCs w:val="20"/>
                <w:color w:val="auto"/>
              </w:rPr>
            </w:pPr>
            <w:r>
              <w:rPr>
                <w:rFonts w:ascii="Arial" w:cs="Arial" w:eastAsia="Arial" w:hAnsi="Arial"/>
                <w:sz w:val="10"/>
                <w:szCs w:val="10"/>
                <w:color w:val="auto"/>
              </w:rPr>
              <w:t>(8,186</w:t>
            </w:r>
            <w:r>
              <w:rPr>
                <w:rFonts w:ascii="Arial" w:cs="Arial" w:eastAsia="Arial" w:hAnsi="Arial"/>
                <w:sz w:val="18"/>
                <w:szCs w:val="18"/>
                <w:color w:val="auto"/>
                <w:vertAlign w:val="superscript"/>
              </w:rPr>
              <w:t>)</w:t>
            </w:r>
          </w:p>
        </w:tc>
        <w:tc>
          <w:tcPr>
            <w:tcW w:w="220" w:type="dxa"/>
            <w:vAlign w:val="bottom"/>
            <w:gridSpan w:val="2"/>
            <w:shd w:val="clear" w:color="auto" w:fill="CCFFCC"/>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FFCC"/>
          </w:tcPr>
          <w:p>
            <w:pPr>
              <w:jc w:val="right"/>
              <w:ind w:right="60"/>
              <w:spacing w:after="0" w:line="162" w:lineRule="exact"/>
              <w:rPr>
                <w:sz w:val="20"/>
                <w:szCs w:val="20"/>
                <w:color w:val="auto"/>
              </w:rPr>
            </w:pPr>
            <w:r>
              <w:rPr>
                <w:rFonts w:ascii="Arial" w:cs="Arial" w:eastAsia="Arial" w:hAnsi="Arial"/>
                <w:sz w:val="10"/>
                <w:szCs w:val="10"/>
                <w:color w:val="auto"/>
              </w:rPr>
              <w:t>(567</w:t>
            </w:r>
            <w:r>
              <w:rPr>
                <w:rFonts w:ascii="Arial" w:cs="Arial" w:eastAsia="Arial" w:hAnsi="Arial"/>
                <w:sz w:val="18"/>
                <w:szCs w:val="18"/>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ALCOBRA LTD.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0" w:type="dxa"/>
            <w:vAlign w:val="bottom"/>
            <w:gridSpan w:val="7"/>
          </w:tcPr>
          <w:p>
            <w:pPr>
              <w:jc w:val="right"/>
              <w:spacing w:after="0"/>
              <w:rPr>
                <w:sz w:val="20"/>
                <w:szCs w:val="20"/>
                <w:color w:val="auto"/>
              </w:rPr>
            </w:pPr>
            <w:r>
              <w:rPr>
                <w:rFonts w:ascii="Arial" w:cs="Arial" w:eastAsia="Arial" w:hAnsi="Arial"/>
                <w:sz w:val="18"/>
                <w:szCs w:val="18"/>
                <w:b w:val="1"/>
                <w:bCs w:val="1"/>
                <w:color w:val="auto"/>
              </w:rPr>
              <w:t>(A development stage company)</w:t>
            </w:r>
          </w:p>
        </w:tc>
        <w:tc>
          <w:tcPr>
            <w:tcW w:w="0" w:type="dxa"/>
            <w:vAlign w:val="bottom"/>
          </w:tcPr>
          <w:p>
            <w:pPr>
              <w:spacing w:after="0"/>
              <w:rPr>
                <w:sz w:val="1"/>
                <w:szCs w:val="1"/>
                <w:color w:val="auto"/>
              </w:rPr>
            </w:pPr>
          </w:p>
        </w:tc>
      </w:tr>
      <w:tr>
        <w:trPr>
          <w:trHeight w:val="439"/>
        </w:trPr>
        <w:tc>
          <w:tcPr>
            <w:tcW w:w="6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STATEMENTS OF CASH FLOWS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0" w:type="dxa"/>
            <w:vAlign w:val="bottom"/>
            <w:gridSpan w:val="5"/>
          </w:tcPr>
          <w:p>
            <w:pPr>
              <w:spacing w:after="0"/>
              <w:rPr>
                <w:sz w:val="20"/>
                <w:szCs w:val="20"/>
                <w:color w:val="auto"/>
              </w:rPr>
            </w:pPr>
            <w:r>
              <w:rPr>
                <w:rFonts w:ascii="Arial" w:cs="Arial" w:eastAsia="Arial" w:hAnsi="Arial"/>
                <w:sz w:val="18"/>
                <w:szCs w:val="18"/>
                <w:b w:val="1"/>
                <w:bCs w:val="1"/>
                <w:color w:val="auto"/>
              </w:rPr>
              <w:t>U.S. dollars in thousands, except share data</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February 7,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4"/>
          </w:tcPr>
          <w:p>
            <w:pPr>
              <w:jc w:val="right"/>
              <w:ind w:right="125"/>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(date of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c>
          <w:tcPr>
            <w:tcW w:w="0" w:type="dxa"/>
            <w:vAlign w:val="bottom"/>
          </w:tcPr>
          <w:p>
            <w:pPr>
              <w:spacing w:after="0"/>
              <w:rPr>
                <w:sz w:val="1"/>
                <w:szCs w:val="1"/>
                <w:color w:val="auto"/>
              </w:rPr>
            </w:pPr>
          </w:p>
        </w:tc>
      </w:tr>
      <w:tr>
        <w:trPr>
          <w:trHeight w:val="210"/>
        </w:trPr>
        <w:tc>
          <w:tcPr>
            <w:tcW w:w="6400" w:type="dxa"/>
            <w:vAlign w:val="bottom"/>
            <w:gridSpan w:val="5"/>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(3,929)</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Decrease (increase) in receivables and prepaid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Increase (decrease) in trade payables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Increase (decrease) in other accounts payable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Interest on convertible notes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Stock base compensation</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Investment in (proceeds from) short-term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Decrease (increase) in long-term deposit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Investment in (proceeds from) restricted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convertible notes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Proceeds from loan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Issuance of shares,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end of the period</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52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80" w:type="dxa"/>
            <w:vAlign w:val="bottom"/>
            <w:gridSpan w:val="4"/>
            <w:shd w:val="clear" w:color="auto" w:fill="CCFFCC"/>
          </w:tcPr>
          <w:p>
            <w:pPr>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26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w w:val="94"/>
              </w:rPr>
              <w:t>Issuance of Preferred B shares and warrants upon conversion of convertible notes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FFCC"/>
              <w:bottom w:val="single" w:sz="8" w:color="CCFFCC"/>
            </w:tcBorders>
            <w:gridSpan w:val="4"/>
            <w:vMerge w:val="restart"/>
          </w:tcPr>
          <w:p>
            <w:pPr>
              <w:ind w:left="160"/>
              <w:spacing w:after="0"/>
              <w:rPr>
                <w:sz w:val="20"/>
                <w:szCs w:val="20"/>
                <w:color w:val="auto"/>
              </w:rPr>
            </w:pPr>
            <w:r>
              <w:rPr>
                <w:rFonts w:ascii="Arial" w:cs="Arial" w:eastAsia="Arial" w:hAnsi="Arial"/>
                <w:sz w:val="18"/>
                <w:szCs w:val="18"/>
                <w:color w:val="auto"/>
              </w:rPr>
              <w:t>Issuance of Ordinary shares upon conversion of loans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gridSpan w:val="4"/>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left="1520" w:right="20" w:hanging="499"/>
        <w:spacing w:after="0" w:line="291" w:lineRule="auto"/>
        <w:tabs>
          <w:tab w:leader="none" w:pos="15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87" w:lineRule="auto"/>
        <w:tabs>
          <w:tab w:leader="none" w:pos="15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March 31, 2013. The Company plans to have its securities listed on the NASDAQ Stock Market (the "NASDAQ") in the late first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48" w:lineRule="exact"/>
        <w:rPr>
          <w:sz w:val="20"/>
          <w:szCs w:val="20"/>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ind w:left="1540" w:right="20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ind w:left="1540" w:right="4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71" w:lineRule="exact"/>
        <w:rPr>
          <w:rFonts w:ascii="Arial" w:cs="Arial" w:eastAsia="Arial" w:hAnsi="Arial"/>
          <w:sz w:val="18"/>
          <w:szCs w:val="18"/>
          <w:color w:val="auto"/>
        </w:rPr>
      </w:pPr>
    </w:p>
    <w:p>
      <w:pPr>
        <w:ind w:left="1540" w:right="20"/>
        <w:spacing w:after="0" w:line="302" w:lineRule="auto"/>
        <w:rPr>
          <w:rFonts w:ascii="Arial" w:cs="Arial" w:eastAsia="Arial" w:hAnsi="Arial"/>
          <w:sz w:val="18"/>
          <w:szCs w:val="18"/>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Short-term bank deposit</w:t>
      </w:r>
    </w:p>
    <w:p>
      <w:pPr>
        <w:spacing w:after="0" w:line="225" w:lineRule="exact"/>
        <w:rPr>
          <w:rFonts w:ascii="Arial" w:cs="Arial" w:eastAsia="Arial" w:hAnsi="Arial"/>
          <w:sz w:val="18"/>
          <w:szCs w:val="18"/>
          <w:color w:val="auto"/>
        </w:rPr>
      </w:pPr>
    </w:p>
    <w:p>
      <w:pPr>
        <w:jc w:val="both"/>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Restricted bank deposits: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Restricted bank deposits are pledged in favor of the bank which provides to the Company guarantees with respect to office lease agreements and credit card usage.</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540" w:right="36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4160" w:type="dxa"/>
            <w:vAlign w:val="bottom"/>
          </w:tcPr>
          <w:p>
            <w:pPr>
              <w:spacing w:after="0"/>
              <w:rPr>
                <w:sz w:val="20"/>
                <w:szCs w:val="20"/>
                <w:color w:val="auto"/>
              </w:rPr>
            </w:pPr>
          </w:p>
        </w:tc>
      </w:tr>
      <w:tr>
        <w:trPr>
          <w:trHeight w:val="411"/>
        </w:trPr>
        <w:tc>
          <w:tcPr>
            <w:tcW w:w="4900" w:type="dxa"/>
            <w:vAlign w:val="bottom"/>
          </w:tcPr>
          <w:p>
            <w:pPr>
              <w:ind w:left="1560"/>
              <w:spacing w:after="0"/>
              <w:rPr>
                <w:sz w:val="20"/>
                <w:szCs w:val="20"/>
                <w:color w:val="auto"/>
              </w:rPr>
            </w:pPr>
            <w:r>
              <w:rPr>
                <w:rFonts w:ascii="Arial" w:cs="Arial" w:eastAsia="Arial" w:hAnsi="Arial"/>
                <w:sz w:val="18"/>
                <w:szCs w:val="18"/>
                <w:color w:val="auto"/>
              </w:rPr>
              <w:t>Computers and electronic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15-33</w:t>
            </w:r>
          </w:p>
        </w:tc>
        <w:tc>
          <w:tcPr>
            <w:tcW w:w="4160" w:type="dxa"/>
            <w:vAlign w:val="bottom"/>
          </w:tcPr>
          <w:p>
            <w:pPr>
              <w:spacing w:after="0"/>
              <w:rPr>
                <w:sz w:val="24"/>
                <w:szCs w:val="24"/>
                <w:color w:val="auto"/>
              </w:rPr>
            </w:pPr>
          </w:p>
        </w:tc>
      </w:tr>
      <w:tr>
        <w:trPr>
          <w:trHeight w:val="216"/>
        </w:trPr>
        <w:tc>
          <w:tcPr>
            <w:tcW w:w="4900" w:type="dxa"/>
            <w:vAlign w:val="bottom"/>
          </w:tcPr>
          <w:p>
            <w:pPr>
              <w:ind w:left="1560"/>
              <w:spacing w:after="0"/>
              <w:rPr>
                <w:sz w:val="20"/>
                <w:szCs w:val="20"/>
                <w:color w:val="auto"/>
              </w:rPr>
            </w:pPr>
            <w:r>
              <w:rPr>
                <w:rFonts w:ascii="Arial" w:cs="Arial" w:eastAsia="Arial" w:hAnsi="Arial"/>
                <w:sz w:val="18"/>
                <w:szCs w:val="18"/>
                <w:color w:val="auto"/>
              </w:rPr>
              <w:t>Office furniture and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9"/>
              </w:rPr>
              <w:t>6</w:t>
            </w:r>
          </w:p>
        </w:tc>
        <w:tc>
          <w:tcPr>
            <w:tcW w:w="4160" w:type="dxa"/>
            <w:vAlign w:val="bottom"/>
          </w:tcPr>
          <w:p>
            <w:pPr>
              <w:spacing w:after="0"/>
              <w:rPr>
                <w:sz w:val="18"/>
                <w:szCs w:val="18"/>
                <w:color w:val="auto"/>
              </w:rPr>
            </w:pPr>
          </w:p>
        </w:tc>
      </w:tr>
      <w:tr>
        <w:trPr>
          <w:trHeight w:val="230"/>
        </w:trPr>
        <w:tc>
          <w:tcPr>
            <w:tcW w:w="4900" w:type="dxa"/>
            <w:vAlign w:val="bottom"/>
          </w:tcPr>
          <w:p>
            <w:pPr>
              <w:ind w:left="1560"/>
              <w:spacing w:after="0"/>
              <w:rPr>
                <w:sz w:val="20"/>
                <w:szCs w:val="20"/>
                <w:color w:val="auto"/>
              </w:rPr>
            </w:pPr>
            <w:r>
              <w:rPr>
                <w:rFonts w:ascii="Arial" w:cs="Arial" w:eastAsia="Arial" w:hAnsi="Arial"/>
                <w:sz w:val="18"/>
                <w:szCs w:val="18"/>
                <w:color w:val="auto"/>
              </w:rPr>
              <w:t>Clinical and medical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15-33</w:t>
            </w:r>
          </w:p>
        </w:tc>
        <w:tc>
          <w:tcPr>
            <w:tcW w:w="4160" w:type="dxa"/>
            <w:vAlign w:val="bottom"/>
          </w:tcPr>
          <w:p>
            <w:pPr>
              <w:spacing w:after="0"/>
              <w:rPr>
                <w:sz w:val="20"/>
                <w:szCs w:val="20"/>
                <w:color w:val="auto"/>
              </w:rPr>
            </w:pPr>
          </w:p>
        </w:tc>
      </w:tr>
      <w:tr>
        <w:trPr>
          <w:trHeight w:val="648"/>
        </w:trPr>
        <w:tc>
          <w:tcPr>
            <w:tcW w:w="49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F-9</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40" w:right="40"/>
        <w:spacing w:after="0" w:line="293"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5" w:lineRule="exact"/>
        <w:rPr>
          <w:sz w:val="20"/>
          <w:szCs w:val="20"/>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Long-term deposits: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Long-term deposits include long-term deposits for motor vehicles under operating leases, presented at their cost.</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Research and development expenses are expensed as incurred. Those expenses includes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5"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7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Severance pay expense for the years ended December 31, 2012 and 2011 amounted to $18 and $14,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540" w:right="2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540" w:right="20"/>
        <w:spacing w:after="0" w:line="257"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88"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believes that its tax positions are all highly certain of being upheld upon examination. As such, as of December 31, 2012 and 2011 the Company has not recorded a liability for uncertain tax positions.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cash equivalents, short term bank deposit and restricted bank deposits.</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81"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right="20"/>
        <w:spacing w:after="0" w:line="308" w:lineRule="auto"/>
        <w:rPr>
          <w:rFonts w:ascii="Arial" w:cs="Arial" w:eastAsia="Arial" w:hAnsi="Arial"/>
          <w:sz w:val="18"/>
          <w:szCs w:val="18"/>
          <w:color w:val="auto"/>
        </w:rPr>
      </w:pPr>
      <w:r>
        <w:rPr>
          <w:rFonts w:ascii="Arial" w:cs="Arial" w:eastAsia="Arial" w:hAnsi="Arial"/>
          <w:sz w:val="17"/>
          <w:szCs w:val="17"/>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540"/>
        <w:spacing w:after="0" w:line="273"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pacing w:after="0" w:line="170" w:lineRule="exact"/>
        <w:rPr>
          <w:sz w:val="20"/>
          <w:szCs w:val="20"/>
          <w:color w:val="auto"/>
        </w:rPr>
      </w:pPr>
    </w:p>
    <w:p>
      <w:pPr>
        <w:jc w:val="both"/>
        <w:ind w:left="2640" w:hanging="1147"/>
        <w:spacing w:after="0" w:line="259" w:lineRule="auto"/>
        <w:tabs>
          <w:tab w:leader="none" w:pos="26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87" w:lineRule="exact"/>
        <w:rPr>
          <w:sz w:val="20"/>
          <w:szCs w:val="20"/>
          <w:color w:val="auto"/>
        </w:rPr>
      </w:pPr>
    </w:p>
    <w:p>
      <w:pPr>
        <w:jc w:val="both"/>
        <w:ind w:left="2640" w:hanging="1147"/>
        <w:spacing w:after="0" w:line="277" w:lineRule="auto"/>
        <w:tabs>
          <w:tab w:leader="none" w:pos="26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25"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70" w:lineRule="exact"/>
        <w:rPr>
          <w:sz w:val="20"/>
          <w:szCs w:val="20"/>
          <w:color w:val="auto"/>
        </w:rPr>
      </w:pPr>
    </w:p>
    <w:p>
      <w:pPr>
        <w:ind w:left="1520" w:hanging="49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540"/>
        <w:spacing w:after="0" w:line="312" w:lineRule="auto"/>
        <w:rPr>
          <w:rFonts w:ascii="Arial" w:cs="Arial" w:eastAsia="Arial" w:hAnsi="Arial"/>
          <w:sz w:val="18"/>
          <w:szCs w:val="18"/>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7"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net loss per share because all such securities are anti-dilutive for all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88"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540" w:right="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 is not traded on any stock exchange market, quoted prices of the Company's share are unavailable.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 due to insufficient or no historical data for a company, the expected volatility determination was based on similar companies' stock volatility.</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540" w:right="80"/>
        <w:spacing w:after="0" w:line="259" w:lineRule="auto"/>
        <w:rPr>
          <w:sz w:val="20"/>
          <w:szCs w:val="20"/>
          <w:color w:val="auto"/>
        </w:rPr>
      </w:pPr>
      <w:r>
        <w:rPr>
          <w:rFonts w:ascii="Arial" w:cs="Arial" w:eastAsia="Arial" w:hAnsi="Arial"/>
          <w:sz w:val="18"/>
          <w:szCs w:val="18"/>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3:- RECEIVABLES AND PREPAID EXPENSES</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Government authorities</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Advance to suppliers</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shd w:val="clear" w:color="auto" w:fill="CCFFCC"/>
          </w:tcPr>
          <w:p>
            <w:pPr>
              <w:spacing w:after="0" w:line="20" w:lineRule="exact"/>
              <w:rPr>
                <w:sz w:val="1"/>
                <w:szCs w:val="1"/>
                <w:color w:val="auto"/>
              </w:rPr>
            </w:pPr>
          </w:p>
        </w:tc>
        <w:tc>
          <w:tcPr>
            <w:tcW w:w="196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gridSpan w:val="2"/>
            <w:vMerge w:val="restart"/>
          </w:tcPr>
          <w:p>
            <w:pPr>
              <w:ind w:left="660"/>
              <w:spacing w:after="0"/>
              <w:rPr>
                <w:sz w:val="20"/>
                <w:szCs w:val="20"/>
                <w:color w:val="auto"/>
              </w:rPr>
            </w:pPr>
            <w:r>
              <w:rPr>
                <w:rFonts w:ascii="Arial" w:cs="Arial" w:eastAsia="Arial" w:hAnsi="Arial"/>
                <w:sz w:val="18"/>
                <w:szCs w:val="18"/>
                <w:color w:val="auto"/>
              </w:rPr>
              <w:t>Cost:</w:t>
            </w: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Computers and electronic equipment</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Computers and electronic equipment</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Depreciated cost</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tcBorders>
              <w:top w:val="single" w:sz="8" w:color="CCFFCC"/>
            </w:tcBorders>
          </w:tcPr>
          <w:p>
            <w:pPr>
              <w:spacing w:after="0" w:line="20" w:lineRule="exact"/>
              <w:rPr>
                <w:sz w:val="1"/>
                <w:szCs w:val="1"/>
                <w:color w:val="auto"/>
              </w:rPr>
            </w:pPr>
          </w:p>
        </w:tc>
        <w:tc>
          <w:tcPr>
            <w:tcW w:w="19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expenses for the years ended December 31, 2012 and 2011 were $7 and $6, respectively.</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5" w:right="179" w:bottom="1440" w:gutter="0" w:footer="0" w:header="0"/>
        </w:sectPr>
      </w:pPr>
    </w:p>
    <w:bookmarkStart w:id="107" w:name="page108"/>
    <w:bookmarkEnd w:id="107"/>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5:- OTHER ACCOUNTS PAYABLE</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5"/>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60" w:type="dxa"/>
            <w:vAlign w:val="bottom"/>
            <w:shd w:val="clear" w:color="auto" w:fill="CCFFCC"/>
          </w:tcPr>
          <w:p>
            <w:pPr>
              <w:ind w:left="40"/>
              <w:spacing w:after="0"/>
              <w:rPr>
                <w:sz w:val="20"/>
                <w:szCs w:val="20"/>
                <w:color w:val="auto"/>
              </w:rPr>
            </w:pPr>
            <w:r>
              <w:rPr>
                <w:rFonts w:ascii="Arial" w:cs="Arial" w:eastAsia="Arial" w:hAnsi="Arial"/>
                <w:sz w:val="18"/>
                <w:szCs w:val="18"/>
                <w:color w:val="auto"/>
              </w:rPr>
              <w:t>Employees and payroll accruals</w:t>
            </w:r>
          </w:p>
        </w:tc>
        <w:tc>
          <w:tcPr>
            <w:tcW w:w="33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FFCC"/>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Borders>
              <w:top w:val="single" w:sz="8" w:color="CCFFCC"/>
            </w:tcBorders>
            <w:shd w:val="clear" w:color="auto" w:fill="CCFFCC"/>
          </w:tcPr>
          <w:p>
            <w:pPr>
              <w:spacing w:after="0"/>
              <w:rPr>
                <w:sz w:val="18"/>
                <w:szCs w:val="18"/>
                <w:color w:val="auto"/>
              </w:rPr>
            </w:pPr>
          </w:p>
        </w:tc>
        <w:tc>
          <w:tcPr>
            <w:tcW w:w="24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3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CONVERTIBLE NOTES</w:t>
      </w:r>
    </w:p>
    <w:p>
      <w:pPr>
        <w:spacing w:after="0" w:line="229" w:lineRule="exact"/>
        <w:rPr>
          <w:sz w:val="20"/>
          <w:szCs w:val="20"/>
          <w:color w:val="auto"/>
        </w:rPr>
      </w:pPr>
    </w:p>
    <w:p>
      <w:pPr>
        <w:jc w:val="both"/>
        <w:ind w:left="1520" w:right="60" w:hanging="499"/>
        <w:spacing w:after="0" w:line="273" w:lineRule="auto"/>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9(b)(6)) the convertible note and the accumulated interest, in an amount of $ 224 were converted into 21,893 Preferred B2 shares.</w:t>
      </w:r>
    </w:p>
    <w:p>
      <w:pPr>
        <w:spacing w:after="0" w:line="178" w:lineRule="exact"/>
        <w:rPr>
          <w:rFonts w:ascii="Arial" w:cs="Arial" w:eastAsia="Arial" w:hAnsi="Arial"/>
          <w:sz w:val="17"/>
          <w:szCs w:val="17"/>
          <w:color w:val="auto"/>
        </w:rPr>
      </w:pPr>
    </w:p>
    <w:p>
      <w:pPr>
        <w:jc w:val="both"/>
        <w:ind w:left="1520" w:right="60" w:hanging="499"/>
        <w:spacing w:after="0" w:line="272" w:lineRule="auto"/>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8" w:lineRule="exact"/>
        <w:rPr>
          <w:sz w:val="20"/>
          <w:szCs w:val="20"/>
          <w:color w:val="auto"/>
        </w:rPr>
      </w:pPr>
    </w:p>
    <w:p>
      <w:pPr>
        <w:jc w:val="both"/>
        <w:ind w:left="1020" w:right="60"/>
        <w:spacing w:after="0" w:line="297" w:lineRule="auto"/>
        <w:rPr>
          <w:sz w:val="20"/>
          <w:szCs w:val="20"/>
          <w:color w:val="auto"/>
        </w:rPr>
      </w:pPr>
      <w:r>
        <w:rPr>
          <w:rFonts w:ascii="Arial" w:cs="Arial" w:eastAsia="Arial" w:hAnsi="Arial"/>
          <w:sz w:val="16"/>
          <w:szCs w:val="16"/>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w:t>
      </w:r>
    </w:p>
    <w:p>
      <w:pPr>
        <w:spacing w:after="0" w:line="158" w:lineRule="exact"/>
        <w:rPr>
          <w:sz w:val="20"/>
          <w:szCs w:val="20"/>
          <w:color w:val="auto"/>
        </w:rPr>
      </w:pPr>
    </w:p>
    <w:p>
      <w:pPr>
        <w:jc w:val="both"/>
        <w:ind w:left="1020" w:right="60"/>
        <w:spacing w:after="0" w:line="277" w:lineRule="auto"/>
        <w:rPr>
          <w:sz w:val="20"/>
          <w:szCs w:val="20"/>
          <w:color w:val="auto"/>
        </w:rPr>
      </w:pPr>
      <w:r>
        <w:rPr>
          <w:rFonts w:ascii="Arial" w:cs="Arial" w:eastAsia="Arial" w:hAnsi="Arial"/>
          <w:sz w:val="18"/>
          <w:szCs w:val="18"/>
          <w:color w:val="auto"/>
        </w:rPr>
        <w:t>Upon conversion of the convertible note in February 2010, the entire redemption amount was derecognized against additional paid in capital in the amount of $ 279. As of December 31, 2012, the convertible notes redemption amount was $ 662.</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108" w:name="page109"/>
    <w:bookmarkEnd w:id="108"/>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 rates applicable to the Company:</w:t>
      </w:r>
    </w:p>
    <w:p>
      <w:pPr>
        <w:spacing w:after="0" w:line="225" w:lineRule="exact"/>
        <w:rPr>
          <w:rFonts w:ascii="Arial" w:cs="Arial" w:eastAsia="Arial" w:hAnsi="Arial"/>
          <w:sz w:val="18"/>
          <w:szCs w:val="18"/>
          <w:color w:val="auto"/>
        </w:rPr>
      </w:pPr>
    </w:p>
    <w:p>
      <w:pPr>
        <w:ind w:left="1540" w:right="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incorporated in Israel. Taxable income of Israeli companies is subject to tax at the rate of 24% in 2011 and 25% in 2012 and onwards.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540" w:right="8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accumulated losses for tax purposes as of December 31, 2012 in the amount of approximately $ 4,600 which may be carried forward and offset against taxable income in the future for an indefinite period.</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right="6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77"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carryforward</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97"/>
              </w:rPr>
              <w:t>1,153</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703</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r>
      <w:tr>
        <w:trPr>
          <w:trHeight w:val="210"/>
        </w:trPr>
        <w:tc>
          <w:tcPr>
            <w:tcW w:w="696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deferred tax asset before valuation allowance</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1,461</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(1,461)</w:t>
            </w:r>
          </w:p>
        </w:tc>
        <w:tc>
          <w:tcPr>
            <w:tcW w:w="4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(1,044)</w:t>
            </w:r>
          </w:p>
        </w:tc>
      </w:tr>
      <w:tr>
        <w:trPr>
          <w:trHeight w:val="210"/>
        </w:trPr>
        <w:tc>
          <w:tcPr>
            <w:tcW w:w="69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Net deferred tax asset</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left="1540" w:right="60"/>
        <w:spacing w:after="0" w:line="259" w:lineRule="auto"/>
        <w:rPr>
          <w:sz w:val="20"/>
          <w:szCs w:val="20"/>
          <w:color w:val="auto"/>
        </w:rPr>
      </w:pPr>
      <w:r>
        <w:rPr>
          <w:rFonts w:ascii="Arial" w:cs="Arial" w:eastAsia="Arial" w:hAnsi="Arial"/>
          <w:sz w:val="18"/>
          <w:szCs w:val="18"/>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87" w:lineRule="exact"/>
        <w:rPr>
          <w:sz w:val="20"/>
          <w:szCs w:val="20"/>
          <w:color w:val="auto"/>
        </w:rPr>
      </w:pPr>
    </w:p>
    <w:p>
      <w:pPr>
        <w:ind w:left="1520" w:hanging="49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a result of implementation of ASC 740.</w:t>
      </w:r>
    </w:p>
    <w:p>
      <w:pPr>
        <w:spacing w:after="0" w:line="225" w:lineRule="exact"/>
        <w:rPr>
          <w:rFonts w:ascii="Arial" w:cs="Arial" w:eastAsia="Arial" w:hAnsi="Arial"/>
          <w:sz w:val="18"/>
          <w:szCs w:val="18"/>
          <w:color w:val="auto"/>
        </w:rPr>
      </w:pPr>
    </w:p>
    <w:p>
      <w:pPr>
        <w:jc w:val="both"/>
        <w:ind w:left="1520" w:right="80" w:hanging="499"/>
        <w:spacing w:after="0" w:line="264" w:lineRule="auto"/>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CONTINGENT LIABILITIES AND COMMITMENTS</w:t>
      </w:r>
    </w:p>
    <w:p>
      <w:pPr>
        <w:spacing w:after="0" w:line="229" w:lineRule="exact"/>
        <w:rPr>
          <w:sz w:val="20"/>
          <w:szCs w:val="20"/>
          <w:color w:val="auto"/>
        </w:rPr>
      </w:pPr>
    </w:p>
    <w:p>
      <w:pPr>
        <w:ind w:left="1520" w:hanging="499"/>
        <w:spacing w:after="0" w:line="342" w:lineRule="auto"/>
        <w:tabs>
          <w:tab w:leader="none" w:pos="1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23" w:lineRule="exact"/>
        <w:rPr>
          <w:rFonts w:ascii="Arial" w:cs="Arial" w:eastAsia="Arial" w:hAnsi="Arial"/>
          <w:sz w:val="16"/>
          <w:szCs w:val="16"/>
          <w:color w:val="auto"/>
        </w:rPr>
      </w:pPr>
    </w:p>
    <w:p>
      <w:pPr>
        <w:ind w:left="1520" w:hanging="499"/>
        <w:spacing w:after="0" w:line="342" w:lineRule="auto"/>
        <w:tabs>
          <w:tab w:leader="none" w:pos="1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87" w:lineRule="exact"/>
        <w:rPr>
          <w:sz w:val="20"/>
          <w:szCs w:val="20"/>
          <w:color w:val="auto"/>
        </w:rPr>
      </w:pPr>
    </w:p>
    <w:tbl>
      <w:tblPr>
        <w:tblLayout w:type="fixed"/>
        <w:tblInd w:w="1560" w:type="dxa"/>
        <w:tblCellMar>
          <w:top w:w="0" w:type="dxa"/>
          <w:left w:w="0" w:type="dxa"/>
          <w:bottom w:w="0" w:type="dxa"/>
          <w:right w:w="0" w:type="dxa"/>
        </w:tblCellMar>
      </w:tblPr>
      <w:tr>
        <w:trPr>
          <w:trHeight w:val="227"/>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19"/>
                <w:szCs w:val="19"/>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Total</w:t>
            </w:r>
          </w:p>
        </w:tc>
      </w:tr>
      <w:tr>
        <w:trPr>
          <w:trHeight w:val="34"/>
        </w:trPr>
        <w:tc>
          <w:tcPr>
            <w:tcW w:w="1960" w:type="dxa"/>
            <w:vAlign w:val="bottom"/>
            <w:tcBorders>
              <w:top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19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60" w:type="dxa"/>
            <w:vAlign w:val="bottom"/>
            <w:shd w:val="clear" w:color="auto" w:fill="CCFFCC"/>
          </w:tcPr>
          <w:p>
            <w:pPr>
              <w:jc w:val="right"/>
              <w:ind w:right="1450"/>
              <w:spacing w:after="0"/>
              <w:rPr>
                <w:sz w:val="20"/>
                <w:szCs w:val="20"/>
                <w:color w:val="auto"/>
              </w:rPr>
            </w:pPr>
            <w:r>
              <w:rPr>
                <w:rFonts w:ascii="Arial" w:cs="Arial" w:eastAsia="Arial" w:hAnsi="Arial"/>
                <w:sz w:val="18"/>
                <w:szCs w:val="18"/>
                <w:color w:val="auto"/>
                <w:w w:val="99"/>
              </w:rPr>
              <w:t>2013</w:t>
            </w:r>
          </w:p>
        </w:tc>
        <w:tc>
          <w:tcPr>
            <w:tcW w:w="452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FFCC"/>
          </w:tcPr>
          <w:p>
            <w:pPr>
              <w:spacing w:after="0"/>
              <w:rPr>
                <w:sz w:val="18"/>
                <w:szCs w:val="18"/>
                <w:color w:val="auto"/>
              </w:rPr>
            </w:pPr>
          </w:p>
        </w:tc>
      </w:tr>
      <w:tr>
        <w:trPr>
          <w:trHeight w:val="230"/>
        </w:trPr>
        <w:tc>
          <w:tcPr>
            <w:tcW w:w="1960" w:type="dxa"/>
            <w:vAlign w:val="bottom"/>
          </w:tcPr>
          <w:p>
            <w:pPr>
              <w:jc w:val="right"/>
              <w:ind w:right="1450"/>
              <w:spacing w:after="0"/>
              <w:rPr>
                <w:sz w:val="20"/>
                <w:szCs w:val="20"/>
                <w:color w:val="auto"/>
              </w:rPr>
            </w:pPr>
            <w:r>
              <w:rPr>
                <w:rFonts w:ascii="Arial" w:cs="Arial" w:eastAsia="Arial" w:hAnsi="Arial"/>
                <w:sz w:val="18"/>
                <w:szCs w:val="18"/>
                <w:color w:val="auto"/>
                <w:w w:val="99"/>
              </w:rPr>
              <w:t>2014</w:t>
            </w:r>
          </w:p>
        </w:tc>
        <w:tc>
          <w:tcPr>
            <w:tcW w:w="4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0"/>
        </w:trPr>
        <w:tc>
          <w:tcPr>
            <w:tcW w:w="1960" w:type="dxa"/>
            <w:vAlign w:val="bottom"/>
            <w:tcBorders>
              <w:top w:val="single" w:sz="8" w:color="CCFFCC"/>
            </w:tcBorders>
            <w:shd w:val="clear" w:color="auto" w:fill="CCFFCC"/>
          </w:tcPr>
          <w:p>
            <w:pPr>
              <w:spacing w:after="0"/>
              <w:rPr>
                <w:sz w:val="18"/>
                <w:szCs w:val="18"/>
                <w:color w:val="auto"/>
              </w:rPr>
            </w:pPr>
          </w:p>
        </w:tc>
        <w:tc>
          <w:tcPr>
            <w:tcW w:w="45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43"/>
        </w:trPr>
        <w:tc>
          <w:tcPr>
            <w:tcW w:w="19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r>
      <w:tr>
        <w:trPr>
          <w:trHeight w:val="20"/>
        </w:trPr>
        <w:tc>
          <w:tcPr>
            <w:tcW w:w="1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may impose certain conditions on any arrangement under which it permits the Company to transfer technology or development out of Israel.</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w:t>
      </w:r>
    </w:p>
    <w:p>
      <w:pPr>
        <w:spacing w:after="0" w:line="229" w:lineRule="exact"/>
        <w:rPr>
          <w:sz w:val="20"/>
          <w:szCs w:val="20"/>
          <w:color w:val="auto"/>
        </w:rPr>
      </w:pPr>
    </w:p>
    <w:p>
      <w:pPr>
        <w:ind w:left="1520" w:hanging="499"/>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2040" w:hanging="506"/>
        <w:spacing w:after="0"/>
        <w:tabs>
          <w:tab w:leader="none" w:pos="2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On February 7, 2008, (inception day) the Company issued 980,000 Ordinary shares in consideration of their par value.</w:t>
      </w:r>
    </w:p>
    <w:p>
      <w:pPr>
        <w:spacing w:after="0" w:line="236" w:lineRule="exact"/>
        <w:rPr>
          <w:rFonts w:ascii="Arial" w:cs="Arial" w:eastAsia="Arial" w:hAnsi="Arial"/>
          <w:sz w:val="17"/>
          <w:szCs w:val="17"/>
          <w:color w:val="auto"/>
        </w:rPr>
      </w:pPr>
    </w:p>
    <w:p>
      <w:pPr>
        <w:ind w:left="2040" w:right="20" w:hanging="506"/>
        <w:spacing w:after="0" w:line="277" w:lineRule="auto"/>
        <w:tabs>
          <w:tab w:leader="none" w:pos="2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February 2008, the Company entered into an investment agreement, according to the agreement, the Company issued 74,074 Preferred A shares in consideration of $ 400.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2040" w:right="20" w:hanging="506"/>
        <w:spacing w:after="0" w:line="264" w:lineRule="auto"/>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May 2008, an agreement to purchase Preferred A shares was signed with a new investor (the "Investor"). Accordingly, as of December 31, 2008, 16,204 Preferred A shares were issued inconsideration of $ 88. In January 2009, additional 16,203 Preferred A shares, were issued in consideration of $ 87.</w:t>
      </w:r>
    </w:p>
    <w:p>
      <w:pPr>
        <w:spacing w:after="0" w:line="181" w:lineRule="exact"/>
        <w:rPr>
          <w:rFonts w:ascii="Arial" w:cs="Arial" w:eastAsia="Arial" w:hAnsi="Arial"/>
          <w:sz w:val="18"/>
          <w:szCs w:val="18"/>
          <w:color w:val="auto"/>
        </w:rPr>
      </w:pPr>
    </w:p>
    <w:p>
      <w:pPr>
        <w:jc w:val="both"/>
        <w:ind w:left="2040"/>
        <w:spacing w:after="0" w:line="264" w:lineRule="auto"/>
        <w:rPr>
          <w:rFonts w:ascii="Arial" w:cs="Arial" w:eastAsia="Arial" w:hAnsi="Arial"/>
          <w:sz w:val="18"/>
          <w:szCs w:val="18"/>
          <w:color w:val="auto"/>
        </w:rPr>
      </w:pPr>
      <w:r>
        <w:rPr>
          <w:rFonts w:ascii="Arial" w:cs="Arial" w:eastAsia="Arial" w:hAnsi="Arial"/>
          <w:sz w:val="18"/>
          <w:szCs w:val="18"/>
          <w:color w:val="auto"/>
        </w:rPr>
        <w:t>In addition, the Company and the Investor agreed that the Investor shall supply clinical trial services in a value of up to $ 250 in exchange of up to 46,296 Preferred A shares. As of December 31, 2008, the investor provided part of the clinical trial services, for which 13,889 Preferred A shares were issued.</w:t>
      </w:r>
    </w:p>
    <w:p>
      <w:pPr>
        <w:spacing w:after="0" w:line="18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7"/>
          <w:szCs w:val="17"/>
          <w:color w:val="auto"/>
        </w:rPr>
        <w:t>In January 2009, the Investor carried out the rest of the services and an additional 32,407 Preferred A shares were issued.</w:t>
      </w:r>
    </w:p>
    <w:p>
      <w:pPr>
        <w:spacing w:after="0" w:line="236" w:lineRule="exact"/>
        <w:rPr>
          <w:rFonts w:ascii="Arial" w:cs="Arial" w:eastAsia="Arial" w:hAnsi="Arial"/>
          <w:sz w:val="18"/>
          <w:szCs w:val="18"/>
          <w:color w:val="auto"/>
        </w:rPr>
      </w:pPr>
    </w:p>
    <w:p>
      <w:pPr>
        <w:ind w:left="2040" w:right="20" w:hanging="506"/>
        <w:spacing w:after="0" w:line="342" w:lineRule="auto"/>
        <w:tabs>
          <w:tab w:leader="none" w:pos="20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37,037 Preferred A shares were issued in consideration of $ 184. In February 2009, 18,519 Preferred A shares were issued in consideration of $ 100.</w:t>
      </w:r>
    </w:p>
    <w:p>
      <w:pPr>
        <w:spacing w:after="0" w:line="123" w:lineRule="exact"/>
        <w:rPr>
          <w:rFonts w:ascii="Arial" w:cs="Arial" w:eastAsia="Arial" w:hAnsi="Arial"/>
          <w:sz w:val="16"/>
          <w:szCs w:val="16"/>
          <w:color w:val="auto"/>
        </w:rPr>
      </w:pPr>
    </w:p>
    <w:p>
      <w:pPr>
        <w:ind w:left="2040" w:hanging="506"/>
        <w:spacing w:after="0" w:line="277" w:lineRule="auto"/>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relation with the convertible loan agreement dated June 2009, in July 2009, 78,703 Preferred A shares of an existing investor that did not participate in the loan agreement, were converted into 78,703 Ordinary shares.</w:t>
      </w:r>
    </w:p>
    <w:p>
      <w:pPr>
        <w:spacing w:after="0" w:line="170" w:lineRule="exact"/>
        <w:rPr>
          <w:rFonts w:ascii="Arial" w:cs="Arial" w:eastAsia="Arial" w:hAnsi="Arial"/>
          <w:sz w:val="18"/>
          <w:szCs w:val="18"/>
          <w:color w:val="auto"/>
        </w:rPr>
      </w:pPr>
    </w:p>
    <w:p>
      <w:pPr>
        <w:jc w:val="both"/>
        <w:ind w:left="2040" w:right="20" w:hanging="506"/>
        <w:spacing w:after="0" w:line="302" w:lineRule="auto"/>
        <w:tabs>
          <w:tab w:leader="none" w:pos="20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31,236 Preferred B shares issued in consideration of $ 400. In addition, the Convertible Notes were converted (see Note 6(a)). As a part of the above agreement, the Company granted to investors warrants to purchase 13,282 Preferred B-3 shares at an exercise price of $ 16.02 per share. The warrants will expire five years after the date of grant. As of December 31, 2012, the warrants were not exercised.</w:t>
      </w:r>
    </w:p>
    <w:p>
      <w:pPr>
        <w:spacing w:after="0" w:line="154" w:lineRule="exact"/>
        <w:rPr>
          <w:rFonts w:ascii="Arial" w:cs="Arial" w:eastAsia="Arial" w:hAnsi="Arial"/>
          <w:sz w:val="16"/>
          <w:szCs w:val="16"/>
          <w:color w:val="auto"/>
        </w:rPr>
      </w:pPr>
    </w:p>
    <w:p>
      <w:pPr>
        <w:jc w:val="both"/>
        <w:ind w:left="2040" w:right="20"/>
        <w:spacing w:after="0" w:line="279" w:lineRule="auto"/>
        <w:rPr>
          <w:rFonts w:ascii="Arial" w:cs="Arial" w:eastAsia="Arial" w:hAnsi="Arial"/>
          <w:sz w:val="16"/>
          <w:szCs w:val="16"/>
          <w:color w:val="auto"/>
        </w:rPr>
      </w:pPr>
      <w:r>
        <w:rPr>
          <w:rFonts w:ascii="Arial" w:cs="Arial" w:eastAsia="Arial" w:hAnsi="Arial"/>
          <w:sz w:val="17"/>
          <w:szCs w:val="17"/>
          <w:color w:val="auto"/>
        </w:rPr>
        <w:t>As a part of the 2010 Agreement, the Company entered into a service agreement according to which a service provider will provide clinical trial services for up to 9,371 Preferred B-1 shares. As of December 31, 2010, the services provider supplied the clinical trial services and 9,371 Preferred B-1 shares and 1,952 warrants to Preferred B-3 were issued. The Company recorded a compensation expense in the amount of $120 in the year ended December 31, 2010.</w:t>
      </w:r>
    </w:p>
    <w:p>
      <w:pPr>
        <w:spacing w:after="0" w:line="171" w:lineRule="exact"/>
        <w:rPr>
          <w:rFonts w:ascii="Arial" w:cs="Arial" w:eastAsia="Arial" w:hAnsi="Arial"/>
          <w:sz w:val="16"/>
          <w:szCs w:val="16"/>
          <w:color w:val="auto"/>
        </w:rPr>
      </w:pPr>
    </w:p>
    <w:p>
      <w:pPr>
        <w:ind w:left="2040" w:right="20"/>
        <w:spacing w:after="0" w:line="277" w:lineRule="auto"/>
        <w:rPr>
          <w:rFonts w:ascii="Arial" w:cs="Arial" w:eastAsia="Arial" w:hAnsi="Arial"/>
          <w:sz w:val="16"/>
          <w:szCs w:val="16"/>
          <w:color w:val="auto"/>
        </w:rPr>
      </w:pPr>
      <w:r>
        <w:rPr>
          <w:rFonts w:ascii="Arial" w:cs="Arial" w:eastAsia="Arial" w:hAnsi="Arial"/>
          <w:sz w:val="18"/>
          <w:szCs w:val="18"/>
          <w:color w:val="auto"/>
        </w:rPr>
        <w:t>In August 2010, additional 27,144 preferred B shares and 6,786 warrants to preferred B-3 were issued for a total consideration of $323 (net of $26 issuance expenses).</w:t>
      </w:r>
    </w:p>
    <w:p>
      <w:pPr>
        <w:spacing w:after="0" w:line="170" w:lineRule="exact"/>
        <w:rPr>
          <w:rFonts w:ascii="Arial" w:cs="Arial" w:eastAsia="Arial" w:hAnsi="Arial"/>
          <w:sz w:val="16"/>
          <w:szCs w:val="16"/>
          <w:color w:val="auto"/>
        </w:rPr>
      </w:pPr>
    </w:p>
    <w:p>
      <w:pPr>
        <w:jc w:val="both"/>
        <w:ind w:left="2040" w:hanging="506"/>
        <w:spacing w:after="0" w:line="255" w:lineRule="auto"/>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do not reach a Buyout agreement. To the extent a Buyout agreement is executed by March 2011, the loan will be converted into Ordinary shares. In March 2011, the Buyout agreement was executed and the Company issued to the Strategic Investor 34,068 Ordinary shares in consideration of $ 2,170 (net of $130 issuance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2040" w:right="20"/>
        <w:spacing w:after="0" w:line="273" w:lineRule="auto"/>
        <w:rPr>
          <w:sz w:val="20"/>
          <w:szCs w:val="20"/>
          <w:color w:val="auto"/>
        </w:rPr>
      </w:pPr>
      <w:r>
        <w:rPr>
          <w:rFonts w:ascii="Arial" w:cs="Arial" w:eastAsia="Arial" w:hAnsi="Arial"/>
          <w:sz w:val="17"/>
          <w:szCs w:val="17"/>
          <w:color w:val="auto"/>
        </w:rPr>
        <w:t>Additionally, 17,776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51,844 Ordinary shares to back the Company, without any consideration.</w:t>
      </w:r>
    </w:p>
    <w:p>
      <w:pPr>
        <w:spacing w:after="0" w:line="178" w:lineRule="exact"/>
        <w:rPr>
          <w:sz w:val="20"/>
          <w:szCs w:val="20"/>
          <w:color w:val="auto"/>
        </w:rPr>
      </w:pPr>
    </w:p>
    <w:p>
      <w:pPr>
        <w:jc w:val="both"/>
        <w:ind w:left="2040" w:right="20"/>
        <w:spacing w:after="0" w:line="284" w:lineRule="auto"/>
        <w:rPr>
          <w:sz w:val="20"/>
          <w:szCs w:val="20"/>
          <w:color w:val="auto"/>
        </w:rPr>
      </w:pPr>
      <w:r>
        <w:rPr>
          <w:rFonts w:ascii="Arial" w:cs="Arial" w:eastAsia="Arial" w:hAnsi="Arial"/>
          <w:sz w:val="16"/>
          <w:szCs w:val="16"/>
          <w:color w:val="auto"/>
        </w:rPr>
        <w:t>Prior to the closing of the Buyout agreement and as a condition to it, the Company affected an equity restructuring, under which, all of the Company's Preferred shares (219,274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 $ 15 and of $ 1,466 in the years ended December 31, 2012 and 2011, respectively. Additionally, a deemed dividend to other Ordinary shareholders was recorded in the amount of</w:t>
      </w:r>
    </w:p>
    <w:p>
      <w:pPr>
        <w:spacing w:after="0" w:line="5" w:lineRule="exact"/>
        <w:rPr>
          <w:sz w:val="20"/>
          <w:szCs w:val="20"/>
          <w:color w:val="auto"/>
        </w:rPr>
      </w:pPr>
    </w:p>
    <w:p>
      <w:pPr>
        <w:ind w:left="2180" w:hanging="130"/>
        <w:spacing w:after="0"/>
        <w:tabs>
          <w:tab w:leader="none" w:pos="21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180 for the year ended December 31, 2011.</w:t>
      </w:r>
    </w:p>
    <w:p>
      <w:pPr>
        <w:spacing w:after="0" w:line="210"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2010 incentive option plan:</w:t>
      </w:r>
    </w:p>
    <w:p>
      <w:pPr>
        <w:spacing w:after="0" w:line="225" w:lineRule="exact"/>
        <w:rPr>
          <w:rFonts w:ascii="Arial" w:cs="Arial" w:eastAsia="Arial" w:hAnsi="Arial"/>
          <w:sz w:val="18"/>
          <w:szCs w:val="18"/>
          <w:color w:val="auto"/>
        </w:rPr>
      </w:pPr>
    </w:p>
    <w:p>
      <w:pPr>
        <w:jc w:val="both"/>
        <w:ind w:left="1540" w:right="20"/>
        <w:spacing w:after="0" w:line="259" w:lineRule="auto"/>
        <w:rPr>
          <w:rFonts w:ascii="Arial" w:cs="Arial" w:eastAsia="Arial" w:hAnsi="Arial"/>
          <w:sz w:val="18"/>
          <w:szCs w:val="18"/>
          <w:color w:val="auto"/>
        </w:rPr>
      </w:pPr>
      <w:r>
        <w:rPr>
          <w:rFonts w:ascii="Arial" w:cs="Arial" w:eastAsia="Arial" w:hAnsi="Arial"/>
          <w:sz w:val="18"/>
          <w:szCs w:val="18"/>
          <w:color w:val="auto"/>
        </w:rPr>
        <w:t>In February 2010, the Company authorized through its 2010 incentive option plan (the "2010 Plan") the grant of options to officers, directors, advisors, management and other key employees. The Company reserved for grants of options up to 181,258 of the Company's Ordinary shares. The options granted have generally four year vesting terms and expire ten years after the grant date. As of December 31, 2012, 1,194 options were still available for future grants under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88"/>
              </w:rPr>
              <w:t>Year ended December 31,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gridSpan w:val="2"/>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exercise</w:t>
            </w:r>
          </w:p>
        </w:tc>
      </w:tr>
      <w:tr>
        <w:trPr>
          <w:trHeight w:val="234"/>
        </w:trPr>
        <w:tc>
          <w:tcPr>
            <w:tcW w:w="44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price</w:t>
            </w:r>
          </w:p>
        </w:tc>
      </w:tr>
      <w:tr>
        <w:trPr>
          <w:trHeight w:val="210"/>
        </w:trPr>
        <w:tc>
          <w:tcPr>
            <w:tcW w:w="44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79,305</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92,755</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FFCC"/>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FFCC"/>
          </w:tcPr>
          <w:p>
            <w:pPr>
              <w:spacing w:after="0"/>
              <w:rPr>
                <w:sz w:val="18"/>
                <w:szCs w:val="18"/>
                <w:color w:val="auto"/>
              </w:rPr>
            </w:pPr>
          </w:p>
        </w:tc>
      </w:tr>
      <w:tr>
        <w:trPr>
          <w:trHeight w:val="230"/>
        </w:trPr>
        <w:tc>
          <w:tcPr>
            <w:tcW w:w="4480" w:type="dxa"/>
            <w:vAlign w:val="bottom"/>
          </w:tcPr>
          <w:p>
            <w:pPr>
              <w:ind w:left="6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r>
      <w:tr>
        <w:trPr>
          <w:trHeight w:val="210"/>
        </w:trPr>
        <w:tc>
          <w:tcPr>
            <w:tcW w:w="44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83"/>
        </w:trPr>
        <w:tc>
          <w:tcPr>
            <w:tcW w:w="4480" w:type="dxa"/>
            <w:vAlign w:val="bottom"/>
          </w:tcPr>
          <w:p>
            <w:pPr>
              <w:ind w:left="60"/>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78,555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79,305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83"/>
        </w:trPr>
        <w:tc>
          <w:tcPr>
            <w:tcW w:w="4480" w:type="dxa"/>
            <w:vAlign w:val="bottom"/>
          </w:tcPr>
          <w:p>
            <w:pPr>
              <w:ind w:left="60"/>
              <w:spacing w:after="0"/>
              <w:rPr>
                <w:sz w:val="20"/>
                <w:szCs w:val="20"/>
                <w:color w:val="auto"/>
              </w:rPr>
            </w:pPr>
            <w:r>
              <w:rPr>
                <w:rFonts w:ascii="Arial" w:cs="Arial" w:eastAsia="Arial" w:hAnsi="Arial"/>
                <w:sz w:val="18"/>
                <w:szCs w:val="18"/>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78,555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79,305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43"/>
        </w:trPr>
        <w:tc>
          <w:tcPr>
            <w:tcW w:w="4480" w:type="dxa"/>
            <w:vAlign w:val="bottom"/>
          </w:tcPr>
          <w:p>
            <w:pPr>
              <w:ind w:left="60"/>
              <w:spacing w:after="0"/>
              <w:rPr>
                <w:sz w:val="20"/>
                <w:szCs w:val="20"/>
                <w:color w:val="auto"/>
              </w:rPr>
            </w:pPr>
            <w:r>
              <w:rPr>
                <w:rFonts w:ascii="Arial" w:cs="Arial" w:eastAsia="Arial" w:hAnsi="Arial"/>
                <w:sz w:val="18"/>
                <w:szCs w:val="18"/>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62,430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51,962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540" w:right="20"/>
        <w:spacing w:after="0" w:line="264" w:lineRule="auto"/>
        <w:rPr>
          <w:sz w:val="20"/>
          <w:szCs w:val="20"/>
          <w:color w:val="auto"/>
        </w:rPr>
      </w:pPr>
      <w:r>
        <w:rPr>
          <w:rFonts w:ascii="Arial" w:cs="Arial" w:eastAsia="Arial" w:hAnsi="Arial"/>
          <w:sz w:val="18"/>
          <w:szCs w:val="18"/>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81" w:lineRule="exact"/>
        <w:rPr>
          <w:sz w:val="20"/>
          <w:szCs w:val="20"/>
          <w:color w:val="auto"/>
        </w:rPr>
      </w:pPr>
    </w:p>
    <w:p>
      <w:pPr>
        <w:jc w:val="both"/>
        <w:ind w:left="1520"/>
        <w:spacing w:after="0" w:line="297" w:lineRule="auto"/>
        <w:rPr>
          <w:sz w:val="20"/>
          <w:szCs w:val="20"/>
          <w:color w:val="auto"/>
        </w:rPr>
      </w:pPr>
      <w:r>
        <w:rPr>
          <w:rFonts w:ascii="Arial" w:cs="Arial" w:eastAsia="Arial" w:hAnsi="Arial"/>
          <w:sz w:val="16"/>
          <w:szCs w:val="16"/>
          <w:color w:val="auto"/>
        </w:rPr>
        <w:t>In addition, the Company granted an employee the following: (a) Options to purchase 15,000 Ordinary shares granted in 2010, at an exercise price of $ 1.92 per share. The options will vest immediately prior to and subject to the event of a merger of the Company into another corporation; (b) Options to purchase 15,256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58" w:lineRule="exact"/>
        <w:rPr>
          <w:sz w:val="20"/>
          <w:szCs w:val="20"/>
          <w:color w:val="auto"/>
        </w:rPr>
      </w:pPr>
    </w:p>
    <w:p>
      <w:pPr>
        <w:jc w:val="both"/>
        <w:ind w:left="1520" w:right="20"/>
        <w:spacing w:after="0" w:line="277" w:lineRule="auto"/>
        <w:rPr>
          <w:sz w:val="20"/>
          <w:szCs w:val="20"/>
          <w:color w:val="auto"/>
        </w:rPr>
      </w:pPr>
      <w:r>
        <w:rPr>
          <w:rFonts w:ascii="Arial" w:cs="Arial" w:eastAsia="Arial" w:hAnsi="Arial"/>
          <w:sz w:val="18"/>
          <w:szCs w:val="18"/>
          <w:color w:val="auto"/>
        </w:rPr>
        <w:t>According to ASC-718-10-20, compensation cost will be recognized if the performance condition is satisfied. As of December 31, 2012, no compensation cost was recognized.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1520" w:right="20"/>
        <w:spacing w:after="0" w:line="257" w:lineRule="auto"/>
        <w:rPr>
          <w:sz w:val="20"/>
          <w:szCs w:val="20"/>
          <w:color w:val="auto"/>
        </w:rPr>
      </w:pPr>
      <w:r>
        <w:rPr>
          <w:rFonts w:ascii="Arial" w:cs="Arial" w:eastAsia="Arial" w:hAnsi="Arial"/>
          <w:sz w:val="18"/>
          <w:szCs w:val="18"/>
          <w:color w:val="auto"/>
        </w:rPr>
        <w:t>In addition, in December 2012, the Company granted a director the following options: (a) Options to purchase 15,256 Ordinary shares. The exercise price shall be the effective price determined in the course of the Transaction; (b) Options to purchase 3,814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88" w:lineRule="exact"/>
        <w:rPr>
          <w:sz w:val="20"/>
          <w:szCs w:val="20"/>
          <w:color w:val="auto"/>
        </w:rPr>
      </w:pPr>
    </w:p>
    <w:p>
      <w:pPr>
        <w:jc w:val="both"/>
        <w:ind w:left="1520" w:right="20"/>
        <w:spacing w:after="0" w:line="342"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24" w:lineRule="exact"/>
        <w:rPr>
          <w:sz w:val="20"/>
          <w:szCs w:val="20"/>
          <w:color w:val="auto"/>
        </w:rPr>
      </w:pPr>
    </w:p>
    <w:p>
      <w:pPr>
        <w:ind w:left="1520" w:hanging="49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right="980"/>
        <w:spacing w:after="0" w:line="498"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820"/>
              <w:spacing w:after="0"/>
              <w:rPr>
                <w:sz w:val="20"/>
                <w:szCs w:val="20"/>
                <w:color w:val="auto"/>
              </w:rPr>
            </w:pPr>
            <w:r>
              <w:rPr>
                <w:rFonts w:ascii="Arial" w:cs="Arial" w:eastAsia="Arial" w:hAnsi="Arial"/>
                <w:sz w:val="18"/>
                <w:szCs w:val="18"/>
                <w:b w:val="1"/>
                <w:bCs w:val="1"/>
                <w:color w:val="auto"/>
              </w:rPr>
              <w:t>Grant date</w:t>
            </w: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 of options</w:t>
            </w:r>
          </w:p>
        </w:tc>
        <w:tc>
          <w:tcPr>
            <w:tcW w:w="180" w:type="dxa"/>
            <w:vAlign w:val="bottom"/>
          </w:tcPr>
          <w:p>
            <w:pPr>
              <w:spacing w:after="0"/>
              <w:rPr>
                <w:sz w:val="20"/>
                <w:szCs w:val="20"/>
                <w:color w:val="auto"/>
              </w:rPr>
            </w:pPr>
          </w:p>
        </w:tc>
        <w:tc>
          <w:tcPr>
            <w:tcW w:w="2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price</w:t>
            </w:r>
          </w:p>
        </w:tc>
        <w:tc>
          <w:tcPr>
            <w:tcW w:w="3020" w:type="dxa"/>
            <w:vAlign w:val="bottom"/>
            <w:gridSpan w:val="2"/>
          </w:tcPr>
          <w:p>
            <w:pPr>
              <w:ind w:left="92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April 2, 2008</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2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0.003</w:t>
            </w:r>
          </w:p>
        </w:tc>
        <w:tc>
          <w:tcPr>
            <w:tcW w:w="3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April 2, 2018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60"/>
              <w:spacing w:after="0"/>
              <w:rPr>
                <w:sz w:val="20"/>
                <w:szCs w:val="20"/>
                <w:color w:val="auto"/>
              </w:rPr>
            </w:pPr>
            <w:r>
              <w:rPr>
                <w:rFonts w:ascii="Arial" w:cs="Arial" w:eastAsia="Arial" w:hAnsi="Arial"/>
                <w:sz w:val="18"/>
                <w:szCs w:val="18"/>
                <w:color w:val="auto"/>
              </w:rPr>
              <w:t>February 28, 2010</w:t>
            </w:r>
          </w:p>
        </w:tc>
        <w:tc>
          <w:tcPr>
            <w:tcW w:w="1840" w:type="dxa"/>
            <w:vAlign w:val="bottom"/>
          </w:tcPr>
          <w:p>
            <w:pPr>
              <w:jc w:val="right"/>
              <w:spacing w:after="0"/>
              <w:rPr>
                <w:sz w:val="20"/>
                <w:szCs w:val="20"/>
                <w:color w:val="auto"/>
              </w:rPr>
            </w:pPr>
            <w:r>
              <w:rPr>
                <w:rFonts w:ascii="Arial" w:cs="Arial" w:eastAsia="Arial" w:hAnsi="Arial"/>
                <w:sz w:val="18"/>
                <w:szCs w:val="18"/>
                <w:color w:val="auto"/>
              </w:rPr>
              <w:t>1,500</w:t>
            </w:r>
          </w:p>
        </w:tc>
        <w:tc>
          <w:tcPr>
            <w:tcW w:w="2300" w:type="dxa"/>
            <w:vAlign w:val="bottom"/>
            <w:gridSpan w:val="3"/>
          </w:tcPr>
          <w:p>
            <w:pPr>
              <w:jc w:val="right"/>
              <w:ind w:right="180"/>
              <w:spacing w:after="0"/>
              <w:rPr>
                <w:sz w:val="20"/>
                <w:szCs w:val="20"/>
                <w:color w:val="auto"/>
              </w:rPr>
            </w:pPr>
            <w:r>
              <w:rPr>
                <w:rFonts w:ascii="Arial" w:cs="Arial" w:eastAsia="Arial" w:hAnsi="Arial"/>
                <w:sz w:val="18"/>
                <w:szCs w:val="18"/>
                <w:color w:val="auto"/>
              </w:rPr>
              <w:t>12.82</w:t>
            </w:r>
          </w:p>
        </w:tc>
        <w:tc>
          <w:tcPr>
            <w:tcW w:w="3000" w:type="dxa"/>
            <w:vAlign w:val="bottom"/>
          </w:tcPr>
          <w:p>
            <w:pPr>
              <w:jc w:val="right"/>
              <w:spacing w:after="0"/>
              <w:rPr>
                <w:sz w:val="20"/>
                <w:szCs w:val="20"/>
                <w:color w:val="auto"/>
              </w:rPr>
            </w:pPr>
            <w:r>
              <w:rPr>
                <w:rFonts w:ascii="Arial" w:cs="Arial" w:eastAsia="Arial" w:hAnsi="Arial"/>
                <w:sz w:val="18"/>
                <w:szCs w:val="18"/>
                <w:color w:val="auto"/>
              </w:rPr>
              <w:t>February 28,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February 13, 2011</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2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0.003</w:t>
            </w:r>
          </w:p>
        </w:tc>
        <w:tc>
          <w:tcPr>
            <w:tcW w:w="3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February 13,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Borders>
              <w:bottom w:val="single" w:sz="8" w:color="CCFFCC"/>
            </w:tcBorders>
            <w:gridSpan w:val="2"/>
          </w:tcPr>
          <w:p>
            <w:pPr>
              <w:ind w:left="60"/>
              <w:spacing w:after="0"/>
              <w:rPr>
                <w:sz w:val="20"/>
                <w:szCs w:val="20"/>
                <w:color w:val="auto"/>
              </w:rPr>
            </w:pPr>
            <w:r>
              <w:rPr>
                <w:rFonts w:ascii="Arial" w:cs="Arial" w:eastAsia="Arial" w:hAnsi="Arial"/>
                <w:sz w:val="18"/>
                <w:szCs w:val="18"/>
                <w:color w:val="auto"/>
              </w:rPr>
              <w:t>February 17, 2011</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300" w:type="dxa"/>
            <w:vAlign w:val="bottom"/>
            <w:tcBorders>
              <w:bottom w:val="single" w:sz="8" w:color="CCFFCC"/>
            </w:tcBorders>
            <w:gridSpan w:val="3"/>
          </w:tcPr>
          <w:p>
            <w:pPr>
              <w:jc w:val="right"/>
              <w:ind w:right="180"/>
              <w:spacing w:after="0"/>
              <w:rPr>
                <w:sz w:val="20"/>
                <w:szCs w:val="20"/>
                <w:color w:val="auto"/>
              </w:rPr>
            </w:pPr>
            <w:r>
              <w:rPr>
                <w:rFonts w:ascii="Arial" w:cs="Arial" w:eastAsia="Arial" w:hAnsi="Arial"/>
                <w:sz w:val="18"/>
                <w:szCs w:val="18"/>
                <w:color w:val="auto"/>
              </w:rPr>
              <w:t>0.003</w:t>
            </w:r>
          </w:p>
        </w:tc>
        <w:tc>
          <w:tcPr>
            <w:tcW w:w="300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February 17,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12,348*)</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Period from</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February 7, 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6"/>
              </w:rPr>
              <w:t>Year ended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(date of inception)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December 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Research and development, net</w:t>
            </w:r>
          </w:p>
        </w:tc>
        <w:tc>
          <w:tcPr>
            <w:tcW w:w="240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580" w:type="dxa"/>
            <w:vAlign w:val="bottom"/>
            <w:gridSpan w:val="2"/>
          </w:tcPr>
          <w:p>
            <w:pPr>
              <w:ind w:left="60"/>
              <w:spacing w:after="0"/>
              <w:rPr>
                <w:sz w:val="20"/>
                <w:szCs w:val="20"/>
                <w:color w:val="auto"/>
              </w:rPr>
            </w:pPr>
            <w:r>
              <w:rPr>
                <w:rFonts w:ascii="Arial" w:cs="Arial" w:eastAsia="Arial" w:hAnsi="Arial"/>
                <w:sz w:val="18"/>
                <w:szCs w:val="18"/>
                <w:color w:val="auto"/>
              </w:rPr>
              <w:t>General and administrative expenses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1,535</w:t>
            </w:r>
          </w:p>
        </w:tc>
        <w:tc>
          <w:tcPr>
            <w:tcW w:w="1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3280" w:type="dxa"/>
            <w:vAlign w:val="bottom"/>
            <w:tcBorders>
              <w:top w:val="single" w:sz="8" w:color="CCFFCC"/>
            </w:tcBorders>
            <w:shd w:val="clear" w:color="auto" w:fill="CCFFCC"/>
          </w:tcPr>
          <w:p>
            <w:pPr>
              <w:spacing w:after="0"/>
              <w:rPr>
                <w:sz w:val="18"/>
                <w:szCs w:val="18"/>
                <w:color w:val="auto"/>
              </w:rPr>
            </w:pPr>
          </w:p>
        </w:tc>
        <w:tc>
          <w:tcPr>
            <w:tcW w:w="158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3280" w:type="dxa"/>
            <w:vAlign w:val="bottom"/>
            <w:vMerge w:val="restart"/>
          </w:tcPr>
          <w:p>
            <w:pPr>
              <w:ind w:left="180"/>
              <w:spacing w:after="0"/>
              <w:rPr>
                <w:sz w:val="20"/>
                <w:szCs w:val="20"/>
                <w:color w:val="auto"/>
              </w:rPr>
            </w:pPr>
            <w:r>
              <w:rPr>
                <w:rFonts w:ascii="Arial" w:cs="Arial" w:eastAsia="Arial" w:hAnsi="Arial"/>
                <w:sz w:val="18"/>
                <w:szCs w:val="18"/>
                <w:color w:val="auto"/>
              </w:rPr>
              <w:t>Represents an amount lower than $ 1.</w:t>
            </w:r>
          </w:p>
        </w:tc>
        <w:tc>
          <w:tcPr>
            <w:tcW w:w="1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860" w:type="dxa"/>
            <w:vAlign w:val="bottom"/>
            <w:gridSpan w:val="2"/>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570"/>
              <w:spacing w:after="0"/>
              <w:rPr>
                <w:sz w:val="20"/>
                <w:szCs w:val="20"/>
                <w:color w:val="auto"/>
              </w:rPr>
            </w:pPr>
            <w:r>
              <w:rPr>
                <w:rFonts w:ascii="Arial" w:cs="Arial" w:eastAsia="Arial" w:hAnsi="Arial"/>
                <w:sz w:val="18"/>
                <w:szCs w:val="18"/>
                <w:color w:val="auto"/>
              </w:rPr>
              <w:t>F-21</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6080"/>
        <w:spacing w:after="0"/>
        <w:rPr>
          <w:sz w:val="20"/>
          <w:szCs w:val="20"/>
          <w:color w:val="auto"/>
        </w:rPr>
      </w:pPr>
      <w:r>
        <w:rPr>
          <w:rFonts w:ascii="Arial" w:cs="Arial" w:eastAsia="Arial" w:hAnsi="Arial"/>
          <w:sz w:val="17"/>
          <w:szCs w:val="17"/>
          <w:b w:val="1"/>
          <w:bCs w:val="1"/>
          <w:color w:val="auto"/>
        </w:rPr>
        <w:t>NOTE 10:- RELATED PARTY BALANCES AND TRANSACTIONS</w:t>
      </w:r>
    </w:p>
    <w:p>
      <w:pPr>
        <w:spacing w:after="0" w:line="24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Balances with related parties: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Convertible Notes (Note 6 (b))</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610</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Other accounts payable (c)</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bottom w:val="single" w:sz="8" w:color="CCFFCC"/>
            </w:tcBorders>
            <w:gridSpan w:val="2"/>
            <w:vMerge w:val="restart"/>
          </w:tcPr>
          <w:p>
            <w:pPr>
              <w:ind w:left="120"/>
              <w:spacing w:after="0"/>
              <w:rPr>
                <w:sz w:val="20"/>
                <w:szCs w:val="20"/>
                <w:color w:val="auto"/>
              </w:rPr>
            </w:pPr>
            <w:r>
              <w:rPr>
                <w:rFonts w:ascii="Arial" w:cs="Arial" w:eastAsia="Arial" w:hAnsi="Arial"/>
                <w:sz w:val="18"/>
                <w:szCs w:val="18"/>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Borders>
              <w:bottom w:val="single" w:sz="8" w:color="CCFFCC"/>
            </w:tcBorders>
          </w:tcPr>
          <w:p>
            <w:pPr>
              <w:spacing w:after="0"/>
              <w:rPr>
                <w:sz w:val="19"/>
                <w:szCs w:val="19"/>
                <w:color w:val="auto"/>
              </w:rPr>
            </w:pPr>
          </w:p>
        </w:tc>
        <w:tc>
          <w:tcPr>
            <w:tcW w:w="4620" w:type="dxa"/>
            <w:vAlign w:val="bottom"/>
            <w:tcBorders>
              <w:bottom w:val="single" w:sz="8" w:color="CCFFCC"/>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Amounts charged to: *)</w:t>
            </w:r>
          </w:p>
        </w:tc>
        <w:tc>
          <w:tcPr>
            <w:tcW w:w="14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General and administrative expense (a) (b) (c) (d)</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401</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Financial expense (Note 6 (b))</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FFCC"/>
            </w:tcBorders>
          </w:tcPr>
          <w:p>
            <w:pPr>
              <w:spacing w:after="0" w:line="20" w:lineRule="exact"/>
              <w:rPr>
                <w:sz w:val="1"/>
                <w:szCs w:val="1"/>
                <w:color w:val="auto"/>
              </w:rPr>
            </w:pPr>
          </w:p>
        </w:tc>
        <w:tc>
          <w:tcPr>
            <w:tcW w:w="4620" w:type="dxa"/>
            <w:vAlign w:val="bottom"/>
            <w:tcBorders>
              <w:top w:val="single" w:sz="8" w:color="CCFFCC"/>
            </w:tcBorders>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9120" w:type="dxa"/>
            <w:vAlign w:val="bottom"/>
            <w:gridSpan w:val="8"/>
          </w:tcPr>
          <w:p>
            <w:pPr>
              <w:ind w:left="180"/>
              <w:spacing w:after="0"/>
              <w:rPr>
                <w:sz w:val="20"/>
                <w:szCs w:val="20"/>
                <w:color w:val="auto"/>
              </w:rPr>
            </w:pPr>
            <w:r>
              <w:rPr>
                <w:rFonts w:ascii="Arial" w:cs="Arial" w:eastAsia="Arial" w:hAnsi="Arial"/>
                <w:sz w:val="18"/>
                <w:szCs w:val="18"/>
                <w:color w:val="auto"/>
                <w:w w:val="89"/>
              </w:rPr>
              <w:t>Including share based compensation expenses for the years ended December 31, 2012 and 2011 in the amounts of $ 26 and</w:t>
            </w:r>
          </w:p>
        </w:tc>
        <w:tc>
          <w:tcPr>
            <w:tcW w:w="0" w:type="dxa"/>
            <w:vAlign w:val="bottom"/>
          </w:tcPr>
          <w:p>
            <w:pPr>
              <w:spacing w:after="0"/>
              <w:rPr>
                <w:sz w:val="1"/>
                <w:szCs w:val="1"/>
                <w:color w:val="auto"/>
              </w:rPr>
            </w:pPr>
          </w:p>
        </w:tc>
      </w:tr>
    </w:tbl>
    <w:p>
      <w:pPr>
        <w:ind w:left="2580" w:hanging="128"/>
        <w:spacing w:after="0"/>
        <w:tabs>
          <w:tab w:leader="none" w:pos="2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1,394, respectively.</w:t>
      </w:r>
    </w:p>
    <w:p>
      <w:pPr>
        <w:spacing w:after="0" w:line="210" w:lineRule="exact"/>
        <w:rPr>
          <w:rFonts w:ascii="Arial" w:cs="Arial" w:eastAsia="Arial" w:hAnsi="Arial"/>
          <w:sz w:val="18"/>
          <w:szCs w:val="18"/>
          <w:color w:val="auto"/>
        </w:rPr>
      </w:pPr>
    </w:p>
    <w:p>
      <w:pPr>
        <w:ind w:left="1520" w:right="20" w:hanging="499"/>
        <w:spacing w:after="0" w:line="342" w:lineRule="auto"/>
        <w:tabs>
          <w:tab w:leader="none" w:pos="15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23" w:lineRule="exact"/>
        <w:rPr>
          <w:rFonts w:ascii="Arial" w:cs="Arial" w:eastAsia="Arial" w:hAnsi="Arial"/>
          <w:sz w:val="16"/>
          <w:szCs w:val="16"/>
          <w:color w:val="auto"/>
        </w:rPr>
      </w:pPr>
    </w:p>
    <w:p>
      <w:pPr>
        <w:jc w:val="both"/>
        <w:ind w:left="1520" w:right="20" w:hanging="499"/>
        <w:spacing w:after="0" w:line="264" w:lineRule="auto"/>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ind w:left="1520" w:hanging="499"/>
        <w:spacing w:after="0" w:line="342" w:lineRule="auto"/>
        <w:tabs>
          <w:tab w:leader="none" w:pos="15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 agreement was signed on June 2, 2011 between the Company and one its shareholders, as an independent contractor to render services related to pre clinical, clinical, regulatory and intellectual property issues, for an amount of approximately $ 3 per month.</w:t>
      </w:r>
    </w:p>
    <w:p>
      <w:pPr>
        <w:spacing w:after="0" w:line="123" w:lineRule="exact"/>
        <w:rPr>
          <w:rFonts w:ascii="Arial" w:cs="Arial" w:eastAsia="Arial" w:hAnsi="Arial"/>
          <w:sz w:val="16"/>
          <w:szCs w:val="16"/>
          <w:color w:val="auto"/>
        </w:rPr>
      </w:pPr>
    </w:p>
    <w:p>
      <w:pPr>
        <w:jc w:val="both"/>
        <w:ind w:left="1520" w:hanging="499"/>
        <w:spacing w:after="0" w:line="259" w:lineRule="auto"/>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ALCOBRA LTD.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gridSpan w:val="6"/>
          </w:tcPr>
          <w:p>
            <w:pPr>
              <w:jc w:val="right"/>
              <w:spacing w:after="0"/>
              <w:rPr>
                <w:sz w:val="20"/>
                <w:szCs w:val="20"/>
                <w:color w:val="auto"/>
              </w:rPr>
            </w:pPr>
            <w:r>
              <w:rPr>
                <w:rFonts w:ascii="Arial" w:cs="Arial" w:eastAsia="Arial" w:hAnsi="Arial"/>
                <w:sz w:val="18"/>
                <w:szCs w:val="18"/>
                <w:b w:val="1"/>
                <w:bCs w:val="1"/>
                <w:color w:val="auto"/>
                <w:w w:val="88"/>
              </w:rPr>
              <w:t>(A development stage company)</w:t>
            </w:r>
          </w:p>
        </w:tc>
        <w:tc>
          <w:tcPr>
            <w:tcW w:w="0" w:type="dxa"/>
            <w:vAlign w:val="bottom"/>
          </w:tcPr>
          <w:p>
            <w:pPr>
              <w:spacing w:after="0"/>
              <w:rPr>
                <w:sz w:val="1"/>
                <w:szCs w:val="1"/>
                <w:color w:val="auto"/>
              </w:rPr>
            </w:pPr>
          </w:p>
        </w:tc>
      </w:tr>
      <w:tr>
        <w:trPr>
          <w:trHeight w:val="432"/>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NET</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February 7, 2008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(date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Year ended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inception) to</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w w:val="93"/>
              </w:rPr>
              <w:t>December 31,</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 rate</w:t>
            </w:r>
          </w:p>
        </w:tc>
        <w:tc>
          <w:tcPr>
            <w:tcW w:w="9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on convertible notes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BASIC AND DILUTED NET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(1,579)</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computing net loss per share of Ordinary shares, basic and diluted</w:t>
            </w: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1,327,416</w:t>
            </w: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1,336,182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260"/>
        <w:spacing w:after="0" w:line="277" w:lineRule="auto"/>
        <w:rPr>
          <w:sz w:val="20"/>
          <w:szCs w:val="20"/>
          <w:color w:val="auto"/>
        </w:rPr>
      </w:pPr>
      <w:r>
        <w:rPr>
          <w:rFonts w:ascii="Arial" w:cs="Arial" w:eastAsia="Arial" w:hAnsi="Arial"/>
          <w:sz w:val="18"/>
          <w:szCs w:val="18"/>
          <w:color w:val="auto"/>
        </w:rPr>
        <w:t>For the years ended December 31, 2012 and 2011, all outstanding options and warrants have been excluded from the calculation of the diluted net loss per share since their effect was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On January 30, 2013, the Company’s board of directors resolved, subject to approval of the shareholders, to amend the vesting term of 15,000 options granted to an employee in 2010, such that the options will also vest immediately prior to and subject to the completion of an initial public offering of the Company’s Ordinary shares. See also Note 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1652270</wp:posOffset>
            </wp:positionV>
            <wp:extent cx="18097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709295</wp:posOffset>
            </wp:positionV>
            <wp:extent cx="1534795" cy="4972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347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192405</wp:posOffset>
            </wp:positionV>
            <wp:extent cx="18097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Aegis Capital Corp</w:t>
      </w:r>
      <w:r>
        <w:rPr>
          <w:rFonts w:ascii="Arial" w:cs="Arial" w:eastAsia="Arial" w:hAnsi="Arial"/>
          <w:sz w:val="26"/>
          <w:szCs w:val="2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885190</wp:posOffset>
            </wp:positionV>
            <wp:extent cx="724662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1339850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Officers and Employees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An Israeli company may indemnify an office holder in respect of certain liabilities either in advance of an event or following an event provided that a provision authorizing such indemnification is inserted in its articles of association. Our amended and restated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company may indemnify an office holder against the following liabilities incurred for acts performed as an office holder:</w:t>
      </w:r>
    </w:p>
    <w:p>
      <w:pPr>
        <w:spacing w:after="0" w:line="225" w:lineRule="exact"/>
        <w:rPr>
          <w:sz w:val="20"/>
          <w:szCs w:val="20"/>
          <w:color w:val="auto"/>
        </w:rPr>
      </w:pPr>
    </w:p>
    <w:p>
      <w:pPr>
        <w:ind w:left="660" w:right="160" w:hanging="328"/>
        <w:spacing w:after="0" w:line="276" w:lineRule="auto"/>
        <w:tabs>
          <w:tab w:leader="none" w:pos="660" w:val="left"/>
        </w:tabs>
        <w:numPr>
          <w:ilvl w:val="0"/>
          <w:numId w:val="104"/>
        </w:numPr>
        <w:rPr>
          <w:rFonts w:ascii="Arial" w:cs="Arial" w:eastAsia="Arial" w:hAnsi="Arial"/>
          <w:sz w:val="17"/>
          <w:szCs w:val="17"/>
          <w:color w:val="A6A6A6"/>
        </w:rPr>
      </w:pPr>
      <w:r>
        <w:rPr>
          <w:rFonts w:ascii="Arial" w:cs="Arial" w:eastAsia="Arial" w:hAnsi="Arial"/>
          <w:sz w:val="17"/>
          <w:szCs w:val="17"/>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72" w:lineRule="exact"/>
        <w:rPr>
          <w:rFonts w:ascii="Arial" w:cs="Arial" w:eastAsia="Arial" w:hAnsi="Arial"/>
          <w:sz w:val="17"/>
          <w:szCs w:val="17"/>
          <w:color w:val="A6A6A6"/>
        </w:rPr>
      </w:pPr>
    </w:p>
    <w:p>
      <w:pPr>
        <w:ind w:left="660" w:right="120" w:hanging="328"/>
        <w:spacing w:after="0" w:line="264" w:lineRule="auto"/>
        <w:tabs>
          <w:tab w:leader="none" w:pos="660" w:val="left"/>
        </w:tabs>
        <w:numPr>
          <w:ilvl w:val="0"/>
          <w:numId w:val="104"/>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104"/>
        </w:numPr>
        <w:rPr>
          <w:rFonts w:ascii="Arial" w:cs="Arial" w:eastAsia="Arial" w:hAnsi="Arial"/>
          <w:sz w:val="18"/>
          <w:szCs w:val="18"/>
          <w:color w:val="A6A6A6"/>
        </w:rPr>
      </w:pPr>
      <w:r>
        <w:rPr>
          <w:rFonts w:ascii="Arial" w:cs="Arial" w:eastAsia="Arial" w:hAnsi="Arial"/>
          <w:sz w:val="18"/>
          <w:szCs w:val="18"/>
          <w:color w:val="auto"/>
        </w:rPr>
        <w:t>An Israeli company may insure a director or officer against the following liabilities incurred for acts performed as a director or officer: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4"/>
        </w:numPr>
        <w:rPr>
          <w:rFonts w:ascii="Arial" w:cs="Arial" w:eastAsia="Arial" w:hAnsi="Arial"/>
          <w:sz w:val="18"/>
          <w:szCs w:val="18"/>
          <w:color w:val="A6A6A6"/>
        </w:rPr>
      </w:pPr>
      <w:r>
        <w:rPr>
          <w:rFonts w:ascii="Arial" w:cs="Arial" w:eastAsia="Arial" w:hAnsi="Arial"/>
          <w:sz w:val="18"/>
          <w:szCs w:val="18"/>
          <w:color w:val="auto"/>
        </w:rPr>
        <w:t>a breach of duty of care to the Company or to a third party, including a breach arising out of the negligent conduct of an office holder;</w:t>
      </w:r>
    </w:p>
    <w:p>
      <w:pPr>
        <w:spacing w:after="0" w:line="225" w:lineRule="exact"/>
        <w:rPr>
          <w:rFonts w:ascii="Arial" w:cs="Arial" w:eastAsia="Arial" w:hAnsi="Arial"/>
          <w:sz w:val="18"/>
          <w:szCs w:val="18"/>
          <w:color w:val="A6A6A6"/>
        </w:rPr>
      </w:pPr>
    </w:p>
    <w:p>
      <w:pPr>
        <w:ind w:left="660" w:right="440" w:hanging="328"/>
        <w:spacing w:after="0" w:line="277" w:lineRule="auto"/>
        <w:tabs>
          <w:tab w:leader="none" w:pos="660" w:val="left"/>
        </w:tabs>
        <w:numPr>
          <w:ilvl w:val="0"/>
          <w:numId w:val="104"/>
        </w:numPr>
        <w:rPr>
          <w:rFonts w:ascii="Arial" w:cs="Arial" w:eastAsia="Arial" w:hAnsi="Arial"/>
          <w:sz w:val="18"/>
          <w:szCs w:val="18"/>
          <w:color w:val="A6A6A6"/>
        </w:rPr>
      </w:pPr>
      <w:r>
        <w:rPr>
          <w:rFonts w:ascii="Arial" w:cs="Arial" w:eastAsia="Arial" w:hAnsi="Arial"/>
          <w:sz w:val="18"/>
          <w:szCs w:val="18"/>
          <w:color w:val="auto"/>
        </w:rPr>
        <w:t>a breach of duty of loyalty to the Company, provided the director or officer acted in good faith and had a reasonable basis to believe that the act would not prejudice the interests of the Company;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04"/>
        </w:numPr>
        <w:rPr>
          <w:rFonts w:ascii="Arial" w:cs="Arial" w:eastAsia="Arial" w:hAnsi="Arial"/>
          <w:sz w:val="18"/>
          <w:szCs w:val="18"/>
          <w:color w:val="A6A6A6"/>
        </w:rPr>
      </w:pPr>
      <w:r>
        <w:rPr>
          <w:rFonts w:ascii="Arial" w:cs="Arial" w:eastAsia="Arial" w:hAnsi="Arial"/>
          <w:sz w:val="18"/>
          <w:szCs w:val="18"/>
          <w:color w:val="auto"/>
        </w:rPr>
        <w:t>Financial liabilities imposed on the office holder for the benefit of a third party.</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Israeli company may not, however, indemnify or insure an office holder against any of the following:</w:t>
      </w:r>
    </w:p>
    <w:p>
      <w:pPr>
        <w:spacing w:after="0" w:line="225" w:lineRule="exact"/>
        <w:rPr>
          <w:sz w:val="20"/>
          <w:szCs w:val="20"/>
          <w:color w:val="auto"/>
        </w:rPr>
      </w:pPr>
    </w:p>
    <w:p>
      <w:pPr>
        <w:ind w:left="660" w:right="140" w:hanging="328"/>
        <w:spacing w:after="0" w:line="277" w:lineRule="auto"/>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05"/>
        </w:numPr>
        <w:rPr>
          <w:rFonts w:ascii="Arial" w:cs="Arial" w:eastAsia="Arial" w:hAnsi="Arial"/>
          <w:sz w:val="17"/>
          <w:szCs w:val="17"/>
          <w:color w:val="A6A6A6"/>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6A6A6"/>
        </w:rPr>
      </w:pPr>
    </w:p>
    <w:p>
      <w:pPr>
        <w:ind w:left="660" w:hanging="328"/>
        <w:spacing w:after="0"/>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and officers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spacing w:after="0" w:line="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the sales of all securities by the Company since January 1, 2010.</w:t>
      </w:r>
    </w:p>
    <w:p>
      <w:pPr>
        <w:spacing w:after="0" w:line="225" w:lineRule="exact"/>
        <w:rPr>
          <w:sz w:val="20"/>
          <w:szCs w:val="20"/>
          <w:color w:val="auto"/>
        </w:rPr>
      </w:pPr>
    </w:p>
    <w:p>
      <w:pPr>
        <w:ind w:left="660" w:hanging="328"/>
        <w:spacing w:after="0" w:line="342" w:lineRule="auto"/>
        <w:tabs>
          <w:tab w:leader="none" w:pos="660" w:val="left"/>
        </w:tabs>
        <w:numPr>
          <w:ilvl w:val="0"/>
          <w:numId w:val="106"/>
        </w:numPr>
        <w:rPr>
          <w:rFonts w:ascii="Arial" w:cs="Arial" w:eastAsia="Arial" w:hAnsi="Arial"/>
          <w:sz w:val="16"/>
          <w:szCs w:val="16"/>
          <w:color w:val="A6A6A6"/>
        </w:rPr>
      </w:pPr>
      <w:r>
        <w:rPr>
          <w:rFonts w:ascii="Arial" w:cs="Arial" w:eastAsia="Arial" w:hAnsi="Arial"/>
          <w:sz w:val="16"/>
          <w:szCs w:val="16"/>
          <w:color w:val="auto"/>
        </w:rPr>
        <w:t>In February and August 2010 we issued an aggregate of 67,751 Series B1 preferred shares, convertible into ordinary shares on a one-for-one basis. The price per Series B1 preferred share was approximately $12.82 and the aggregate consideration received was approximately $867,000.</w:t>
      </w:r>
    </w:p>
    <w:p>
      <w:pPr>
        <w:spacing w:after="0" w:line="123" w:lineRule="exact"/>
        <w:rPr>
          <w:rFonts w:ascii="Arial" w:cs="Arial" w:eastAsia="Arial" w:hAnsi="Arial"/>
          <w:sz w:val="16"/>
          <w:szCs w:val="16"/>
          <w:color w:val="A6A6A6"/>
        </w:rPr>
      </w:pPr>
    </w:p>
    <w:p>
      <w:pPr>
        <w:ind w:left="640" w:right="240"/>
        <w:spacing w:after="0" w:line="308" w:lineRule="auto"/>
        <w:rPr>
          <w:rFonts w:ascii="Arial" w:cs="Arial" w:eastAsia="Arial" w:hAnsi="Arial"/>
          <w:sz w:val="16"/>
          <w:szCs w:val="16"/>
          <w:color w:val="A6A6A6"/>
        </w:rPr>
      </w:pPr>
      <w:r>
        <w:rPr>
          <w:rFonts w:ascii="Arial" w:cs="Arial" w:eastAsia="Arial" w:hAnsi="Arial"/>
          <w:sz w:val="17"/>
          <w:szCs w:val="17"/>
          <w:color w:val="auto"/>
        </w:rPr>
        <w:t>Additionally, in February 2010 we issued 21,893 Series B2 preferred shares, convertible into ordinary shares on a one-for-one basis. The price per Series B2 preferred share was approximately $10.26 and the aggregate consideration received was approximately $224,000.</w:t>
      </w:r>
    </w:p>
    <w:p>
      <w:pPr>
        <w:spacing w:after="0" w:line="146" w:lineRule="exact"/>
        <w:rPr>
          <w:rFonts w:ascii="Arial" w:cs="Arial" w:eastAsia="Arial" w:hAnsi="Arial"/>
          <w:sz w:val="16"/>
          <w:szCs w:val="16"/>
          <w:color w:val="A6A6A6"/>
        </w:rPr>
      </w:pPr>
    </w:p>
    <w:p>
      <w:pPr>
        <w:ind w:left="640" w:right="20"/>
        <w:spacing w:after="0" w:line="264" w:lineRule="auto"/>
        <w:rPr>
          <w:rFonts w:ascii="Arial" w:cs="Arial" w:eastAsia="Arial" w:hAnsi="Arial"/>
          <w:sz w:val="16"/>
          <w:szCs w:val="16"/>
          <w:color w:val="A6A6A6"/>
        </w:rPr>
      </w:pPr>
      <w:r>
        <w:rPr>
          <w:rFonts w:ascii="Arial" w:cs="Arial" w:eastAsia="Arial" w:hAnsi="Arial"/>
          <w:sz w:val="18"/>
          <w:szCs w:val="18"/>
          <w:color w:val="auto"/>
        </w:rPr>
        <w:t>In connection with the issuance of Series B1 preferred shares and Series B2 preferred shares, in February and August 2010 we issued warrants to purchase up to 22,020 Series B3 preferred shares, convertible into ordinary shares on a one-for-one basis, at an exercise price of $16.02 per share. As of the date of this registration statement, none of the warrants have been exercised.</w:t>
      </w:r>
    </w:p>
    <w:p>
      <w:pPr>
        <w:spacing w:after="0" w:line="181" w:lineRule="exact"/>
        <w:rPr>
          <w:rFonts w:ascii="Arial" w:cs="Arial" w:eastAsia="Arial" w:hAnsi="Arial"/>
          <w:sz w:val="16"/>
          <w:szCs w:val="16"/>
          <w:color w:val="A6A6A6"/>
        </w:rPr>
      </w:pPr>
    </w:p>
    <w:p>
      <w:pPr>
        <w:ind w:left="660" w:hanging="328"/>
        <w:spacing w:after="0" w:line="277" w:lineRule="auto"/>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In March 2011 we issued 51,844 ordinary shares, at a price per share of approximately $67.51 and an aggregate consideration of approximately $3.5 million.</w:t>
      </w:r>
    </w:p>
    <w:p>
      <w:pPr>
        <w:spacing w:after="0" w:line="170" w:lineRule="exact"/>
        <w:rPr>
          <w:rFonts w:ascii="Arial" w:cs="Arial" w:eastAsia="Arial" w:hAnsi="Arial"/>
          <w:sz w:val="18"/>
          <w:szCs w:val="18"/>
          <w:color w:val="A6A6A6"/>
        </w:rPr>
      </w:pPr>
    </w:p>
    <w:p>
      <w:pPr>
        <w:jc w:val="both"/>
        <w:ind w:left="660" w:hanging="328"/>
        <w:spacing w:after="0" w:line="264" w:lineRule="auto"/>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In July through November 2012 we issued convertible notes for an aggregate principal amount of $600,000. According to the terms of the convertible notes, the total amount, bearing an annual interest rate of 6% shall be automatically converted into ordinary shares as of immediately after closing of this offering, at a 25% discount from the initial public offering price.</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issuance of the above-referenced securities was exempt from registration under the Securities Act because they were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07"/>
        </w:numPr>
        <w:rPr>
          <w:rFonts w:ascii="Arial" w:cs="Arial" w:eastAsia="Arial" w:hAnsi="Arial"/>
          <w:sz w:val="18"/>
          <w:szCs w:val="18"/>
          <w:color w:val="A6A6A6"/>
        </w:rPr>
      </w:pPr>
      <w:r>
        <w:rPr>
          <w:rFonts w:ascii="Arial" w:cs="Arial" w:eastAsia="Arial" w:hAnsi="Arial"/>
          <w:sz w:val="18"/>
          <w:szCs w:val="18"/>
          <w:color w:val="auto"/>
        </w:rPr>
        <w:t>We granted options to employees, directors and consultants under our equity incentive plan covering an aggregate of 229,286 ordinary shares, with exercise prices ranging from $0.03 to the initial public offering price per share. As of the date of this registration statement, 49,835 ordinary shares have been issued upon the exercise of these options; an additional amount of 49,222 options have been forfeited and cancelled without being exercised.</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underwriters were employed in connection with any of the securities issuances set forth in this Item 7.</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80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414"/>
        </w:trPr>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80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234"/>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0" w:type="dxa"/>
            <w:vAlign w:val="bottom"/>
          </w:tcPr>
          <w:p>
            <w:pPr>
              <w:spacing w:after="0"/>
              <w:rPr>
                <w:sz w:val="20"/>
                <w:szCs w:val="20"/>
                <w:color w:val="auto"/>
              </w:rPr>
            </w:pPr>
          </w:p>
        </w:tc>
        <w:tc>
          <w:tcPr>
            <w:tcW w:w="890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172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Underwriting Agreement by and among the Company and the underwriters named therein</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Amended and Restated Articles of Association of the Company, as currently in effect.</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Articles of Association of the Company, to be in effect upon completion of this offering.</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a Convertible Note</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Representative’s Warrant</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w w:val="92"/>
              </w:rPr>
              <w:t>Opinion of Zysman, Aharoni, Gayer &amp; Co., Israeli counsel to the Company, as to the validity of the ordinary shares being</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offered (including consent).</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Consulting Agreement between the Company and Adler Consulting LLC, dated November 2010.</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rPr>
              <w:t>10.2**</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w w:val="90"/>
              </w:rPr>
              <w:t>Addendum to Services Agreement between the Company and Top-Notch Consulting 2009 Ltd., dated June 1, 2010, and as</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w w:val="92"/>
              </w:rPr>
              <w:t>an exhibit thereto, Services Agreement between the Company and Top-Notch Finance (2003) Ltd., dated March 1, 2008.</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10.3**</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Alcobra Ltd. 2010 Incentive Option Plan.</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Services Agreement between the Company and Ehud Gilboa.</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Services Agreement between the Company and Dalia Megiddo.</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Employment agreement between the Company and Yaron Daniely.</w:t>
            </w:r>
          </w:p>
        </w:tc>
      </w:tr>
      <w:tr>
        <w:trPr>
          <w:trHeight w:val="596"/>
        </w:trPr>
        <w:tc>
          <w:tcPr>
            <w:tcW w:w="1720" w:type="dxa"/>
            <w:vAlign w:val="bottom"/>
          </w:tcPr>
          <w:p>
            <w:pPr>
              <w:jc w:val="center"/>
              <w:spacing w:after="0"/>
              <w:rPr>
                <w:sz w:val="20"/>
                <w:szCs w:val="20"/>
                <w:color w:val="auto"/>
              </w:rPr>
            </w:pPr>
            <w:r>
              <w:rPr>
                <w:rFonts w:ascii="Arial" w:cs="Arial" w:eastAsia="Arial" w:hAnsi="Arial"/>
                <w:sz w:val="18"/>
                <w:szCs w:val="18"/>
                <w:color w:val="auto"/>
                <w:w w:val="85"/>
              </w:rPr>
              <w:t>10.8</w:t>
            </w:r>
            <w:r>
              <w:rPr>
                <w:rFonts w:ascii="Arial" w:cs="Arial" w:eastAsia="Arial" w:hAnsi="Arial"/>
                <w:sz w:val="30"/>
                <w:szCs w:val="30"/>
                <w:color w:val="auto"/>
                <w:w w:val="85"/>
                <w:vertAlign w:val="superscript"/>
              </w:rPr>
              <w:t>∞</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Letter of Approval from the Office of Chief Scientist.</w:t>
            </w:r>
          </w:p>
        </w:tc>
      </w:tr>
    </w:tbl>
    <w:p>
      <w:pPr>
        <w:sectPr>
          <w:pgSz w:w="11900" w:h="16858" w:orient="portrait"/>
          <w:cols w:equalWidth="0" w:num="1">
            <w:col w:w="11420"/>
          </w:cols>
          <w:pgMar w:left="240" w:top="904" w:right="239" w:bottom="0" w:gutter="0" w:footer="0" w:header="0"/>
        </w:sectPr>
      </w:pPr>
    </w:p>
    <w:bookmarkStart w:id="119" w:name="page120"/>
    <w:bookmarkEnd w:id="119"/>
    <w:p>
      <w:pPr>
        <w:spacing w:after="0" w:line="1" w:lineRule="exact"/>
        <w:rPr>
          <w:sz w:val="20"/>
          <w:szCs w:val="20"/>
          <w:color w:val="auto"/>
        </w:rPr>
      </w:pPr>
    </w:p>
    <w:tbl>
      <w:tblPr>
        <w:tblLayout w:type="fixed"/>
        <w:tblInd w:w="126" w:type="dxa"/>
        <w:tblCellMar>
          <w:top w:w="0" w:type="dxa"/>
          <w:left w:w="0" w:type="dxa"/>
          <w:bottom w:w="0" w:type="dxa"/>
          <w:right w:w="0" w:type="dxa"/>
        </w:tblCellMar>
      </w:tblPr>
      <w:tr>
        <w:trPr>
          <w:trHeight w:val="230"/>
        </w:trPr>
        <w:tc>
          <w:tcPr>
            <w:tcW w:w="1200" w:type="dxa"/>
            <w:vAlign w:val="bottom"/>
          </w:tcPr>
          <w:p>
            <w:pPr>
              <w:jc w:val="center"/>
              <w:ind w:right="630"/>
              <w:spacing w:after="0"/>
              <w:rPr>
                <w:sz w:val="20"/>
                <w:szCs w:val="20"/>
                <w:color w:val="auto"/>
              </w:rPr>
            </w:pPr>
            <w:r>
              <w:rPr>
                <w:rFonts w:ascii="Arial" w:cs="Arial" w:eastAsia="Arial" w:hAnsi="Arial"/>
                <w:sz w:val="18"/>
                <w:szCs w:val="18"/>
                <w:color w:val="auto"/>
                <w:w w:val="91"/>
              </w:rPr>
              <w:t>23.1</w:t>
            </w:r>
          </w:p>
        </w:tc>
        <w:tc>
          <w:tcPr>
            <w:tcW w:w="6600" w:type="dxa"/>
            <w:vAlign w:val="bottom"/>
          </w:tcPr>
          <w:p>
            <w:pPr>
              <w:ind w:left="700"/>
              <w:spacing w:after="0"/>
              <w:rPr>
                <w:sz w:val="20"/>
                <w:szCs w:val="20"/>
                <w:color w:val="auto"/>
              </w:rPr>
            </w:pPr>
            <w:r>
              <w:rPr>
                <w:rFonts w:ascii="Arial" w:cs="Arial" w:eastAsia="Arial" w:hAnsi="Arial"/>
                <w:sz w:val="18"/>
                <w:szCs w:val="18"/>
                <w:color w:val="auto"/>
                <w:w w:val="92"/>
              </w:rPr>
              <w:t>Consent of Kost Forer Gabbay &amp; Kasierer (a Member of Ernst &amp; Young Global).</w:t>
            </w:r>
          </w:p>
        </w:tc>
      </w:tr>
      <w:tr>
        <w:trPr>
          <w:trHeight w:val="432"/>
        </w:trPr>
        <w:tc>
          <w:tcPr>
            <w:tcW w:w="1200" w:type="dxa"/>
            <w:vAlign w:val="bottom"/>
          </w:tcPr>
          <w:p>
            <w:pPr>
              <w:jc w:val="center"/>
              <w:ind w:right="630"/>
              <w:spacing w:after="0"/>
              <w:rPr>
                <w:sz w:val="20"/>
                <w:szCs w:val="20"/>
                <w:color w:val="auto"/>
              </w:rPr>
            </w:pPr>
            <w:r>
              <w:rPr>
                <w:rFonts w:ascii="Arial" w:cs="Arial" w:eastAsia="Arial" w:hAnsi="Arial"/>
                <w:sz w:val="18"/>
                <w:szCs w:val="18"/>
                <w:color w:val="auto"/>
                <w:w w:val="91"/>
              </w:rPr>
              <w:t>23.2</w:t>
            </w:r>
          </w:p>
        </w:tc>
        <w:tc>
          <w:tcPr>
            <w:tcW w:w="6600" w:type="dxa"/>
            <w:vAlign w:val="bottom"/>
          </w:tcPr>
          <w:p>
            <w:pPr>
              <w:ind w:left="700"/>
              <w:spacing w:after="0"/>
              <w:rPr>
                <w:sz w:val="20"/>
                <w:szCs w:val="20"/>
                <w:color w:val="auto"/>
              </w:rPr>
            </w:pPr>
            <w:r>
              <w:rPr>
                <w:rFonts w:ascii="Arial" w:cs="Arial" w:eastAsia="Arial" w:hAnsi="Arial"/>
                <w:sz w:val="18"/>
                <w:szCs w:val="18"/>
                <w:color w:val="auto"/>
              </w:rPr>
              <w:t>Consent of Zysman, Aharoni, Gayer, &amp; Co. (included in Exhibit 5.1).</w:t>
            </w:r>
          </w:p>
        </w:tc>
      </w:tr>
      <w:tr>
        <w:trPr>
          <w:trHeight w:val="432"/>
        </w:trPr>
        <w:tc>
          <w:tcPr>
            <w:tcW w:w="1200" w:type="dxa"/>
            <w:vAlign w:val="bottom"/>
          </w:tcPr>
          <w:p>
            <w:pPr>
              <w:jc w:val="center"/>
              <w:ind w:right="610"/>
              <w:spacing w:after="0"/>
              <w:rPr>
                <w:sz w:val="20"/>
                <w:szCs w:val="20"/>
                <w:color w:val="auto"/>
              </w:rPr>
            </w:pPr>
            <w:r>
              <w:rPr>
                <w:rFonts w:ascii="Arial" w:cs="Arial" w:eastAsia="Arial" w:hAnsi="Arial"/>
                <w:sz w:val="18"/>
                <w:szCs w:val="18"/>
                <w:color w:val="auto"/>
              </w:rPr>
              <w:t>24.1**</w:t>
            </w:r>
          </w:p>
        </w:tc>
        <w:tc>
          <w:tcPr>
            <w:tcW w:w="6600" w:type="dxa"/>
            <w:vAlign w:val="bottom"/>
          </w:tcPr>
          <w:p>
            <w:pPr>
              <w:ind w:left="700"/>
              <w:spacing w:after="0"/>
              <w:rPr>
                <w:sz w:val="20"/>
                <w:szCs w:val="20"/>
                <w:color w:val="auto"/>
              </w:rPr>
            </w:pPr>
            <w:r>
              <w:rPr>
                <w:rFonts w:ascii="Arial" w:cs="Arial" w:eastAsia="Arial" w:hAnsi="Arial"/>
                <w:sz w:val="18"/>
                <w:szCs w:val="18"/>
                <w:color w:val="auto"/>
                <w:w w:val="90"/>
              </w:rPr>
              <w:t>Power of Attorney (included on the signature page of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171450</wp:posOffset>
            </wp:positionV>
            <wp:extent cx="18097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 w:right="7659" w:hanging="6"/>
        <w:spacing w:after="0" w:line="291" w:lineRule="auto"/>
        <w:tabs>
          <w:tab w:leader="none" w:pos="14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6"/>
        <w:spacing w:after="0"/>
        <w:rPr>
          <w:rFonts w:ascii="Arial" w:cs="Arial" w:eastAsia="Arial" w:hAnsi="Arial"/>
          <w:sz w:val="16"/>
          <w:szCs w:val="16"/>
          <w:color w:val="auto"/>
        </w:rPr>
      </w:pPr>
      <w:r>
        <w:rPr>
          <w:rFonts w:ascii="Arial" w:cs="Arial" w:eastAsia="Arial" w:hAnsi="Arial"/>
          <w:sz w:val="18"/>
          <w:szCs w:val="18"/>
          <w:color w:val="auto"/>
        </w:rPr>
        <w:t>∞ English translation of original Hebrew document.</w:t>
      </w:r>
    </w:p>
    <w:p>
      <w:pPr>
        <w:spacing w:after="0" w:line="200" w:lineRule="exact"/>
        <w:rPr>
          <w:sz w:val="20"/>
          <w:szCs w:val="20"/>
          <w:color w:val="auto"/>
        </w:rPr>
      </w:pPr>
    </w:p>
    <w:p>
      <w:pPr>
        <w:spacing w:after="0" w:line="227" w:lineRule="exact"/>
        <w:rPr>
          <w:sz w:val="20"/>
          <w:szCs w:val="20"/>
          <w:color w:val="auto"/>
        </w:rPr>
      </w:pPr>
    </w:p>
    <w:p>
      <w:pPr>
        <w:ind w:left="5086"/>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23495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25"/>
          </w:cols>
          <w:pgMar w:left="734" w:top="341" w:right="1440"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right="200" w:firstLine="413"/>
        <w:spacing w:after="0" w:line="277"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right="160" w:firstLine="413"/>
        <w:spacing w:after="0" w:line="291"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420" w:hanging="7"/>
        <w:spacing w:after="0" w:line="286" w:lineRule="auto"/>
        <w:tabs>
          <w:tab w:leader="none" w:pos="67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420" w:right="20" w:hanging="7"/>
        <w:spacing w:after="0" w:line="264" w:lineRule="auto"/>
        <w:tabs>
          <w:tab w:leader="none" w:pos="6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February 19, 2013.</w:t>
      </w:r>
    </w:p>
    <w:p>
      <w:pPr>
        <w:spacing w:after="0" w:line="18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u w:val="single" w:color="auto"/>
          <w:color w:val="auto"/>
        </w:rPr>
        <w:t>By: /s/ Dr. Yaron Daniely</w:t>
      </w:r>
      <w:r>
        <w:rPr>
          <w:rFonts w:ascii="Arial" w:cs="Arial" w:eastAsia="Arial" w:hAnsi="Arial"/>
          <w:sz w:val="18"/>
          <w:szCs w:val="18"/>
          <w:color w:val="auto"/>
        </w:rPr>
        <w:t>_________</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Yaron Daniely</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on Form F-1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1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Date</w:t>
            </w:r>
          </w:p>
        </w:tc>
      </w:tr>
      <w:tr>
        <w:trPr>
          <w:trHeight w:val="642"/>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Yaron Daniely</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c>
          <w:tcPr>
            <w:tcW w:w="2160" w:type="dxa"/>
            <w:vAlign w:val="bottom"/>
          </w:tcPr>
          <w:p>
            <w:pPr>
              <w:spacing w:after="0"/>
              <w:rPr>
                <w:sz w:val="20"/>
                <w:szCs w:val="20"/>
                <w:color w:val="auto"/>
              </w:rPr>
            </w:pPr>
            <w:r>
              <w:rPr>
                <w:rFonts w:ascii="Arial" w:cs="Arial" w:eastAsia="Arial" w:hAnsi="Arial"/>
                <w:sz w:val="18"/>
                <w:szCs w:val="18"/>
                <w:color w:val="auto"/>
              </w:rPr>
              <w:t>February 19,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Yaron Daniely</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(Principal Executive Officer) and Director</w:t>
            </w:r>
          </w:p>
        </w:tc>
        <w:tc>
          <w:tcPr>
            <w:tcW w:w="216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Udi Gilboa*</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2160" w:type="dxa"/>
            <w:vAlign w:val="bottom"/>
          </w:tcPr>
          <w:p>
            <w:pPr>
              <w:spacing w:after="0"/>
              <w:rPr>
                <w:sz w:val="20"/>
                <w:szCs w:val="20"/>
                <w:color w:val="auto"/>
              </w:rPr>
            </w:pPr>
            <w:r>
              <w:rPr>
                <w:rFonts w:ascii="Arial" w:cs="Arial" w:eastAsia="Arial" w:hAnsi="Arial"/>
                <w:sz w:val="18"/>
                <w:szCs w:val="18"/>
                <w:color w:val="auto"/>
              </w:rPr>
              <w:t>February 19,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Udi Gilboa</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and Accounting Officer) and Director</w:t>
            </w:r>
          </w:p>
        </w:tc>
        <w:tc>
          <w:tcPr>
            <w:tcW w:w="216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Aharon Schwartz*</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2160" w:type="dxa"/>
            <w:vAlign w:val="bottom"/>
          </w:tcPr>
          <w:p>
            <w:pPr>
              <w:spacing w:after="0"/>
              <w:rPr>
                <w:sz w:val="20"/>
                <w:szCs w:val="20"/>
                <w:color w:val="auto"/>
              </w:rPr>
            </w:pPr>
            <w:r>
              <w:rPr>
                <w:rFonts w:ascii="Arial" w:cs="Arial" w:eastAsia="Arial" w:hAnsi="Arial"/>
                <w:sz w:val="18"/>
                <w:szCs w:val="18"/>
                <w:color w:val="auto"/>
              </w:rPr>
              <w:t>February 19,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Dalia Megiddo*</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0"/>
                <w:szCs w:val="20"/>
                <w:color w:val="auto"/>
              </w:rPr>
            </w:pPr>
            <w:r>
              <w:rPr>
                <w:rFonts w:ascii="Arial" w:cs="Arial" w:eastAsia="Arial" w:hAnsi="Arial"/>
                <w:sz w:val="18"/>
                <w:szCs w:val="18"/>
                <w:color w:val="auto"/>
              </w:rPr>
              <w:t>February 19,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Dalia Megiddo</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  By: /s/ Yaron Daniely</w:t>
            </w:r>
          </w:p>
        </w:tc>
        <w:tc>
          <w:tcPr>
            <w:tcW w:w="2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Yaron Daniely, Attorney-in-Fact</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634"/>
        </w:trPr>
        <w:tc>
          <w:tcPr>
            <w:tcW w:w="5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II-4</w:t>
            </w: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22" w:name="page123"/>
    <w:bookmarkEnd w:id="122"/>
    <w:p>
      <w:pPr>
        <w:ind w:left="250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Securities Act of 1933, as amended, the undersigned, Zysman, Aharoni, Gayer &amp; Sullivan &amp; Worcester LLP, the duly authorized representative in the United States of Alcobra Ltd., has signed this registration statement on February 19, 2013.</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ZYSMAN, AHARONI, GAYER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SULLIVAN &amp; WORCESTER LLP</w:t>
      </w:r>
    </w:p>
    <w:p>
      <w:pPr>
        <w:spacing w:after="0" w:line="200" w:lineRule="exact"/>
        <w:rPr>
          <w:sz w:val="20"/>
          <w:szCs w:val="20"/>
          <w:color w:val="auto"/>
        </w:rPr>
      </w:pPr>
    </w:p>
    <w:p>
      <w:pPr>
        <w:spacing w:after="0" w:line="227"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-10160</wp:posOffset>
            </wp:positionV>
            <wp:extent cx="17240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904" w:right="9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u w:val="single" w:color="auto"/>
          <w:color w:val="auto"/>
        </w:rPr>
        <w:t>Exhibit 3.1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RTICLES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SSOCIATION</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OF</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LCOBRA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NTERPRETATION</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following terms in these Amended and Restated Articles of Association shall have the respective meanings ascribed to them below:</w:t>
      </w:r>
    </w:p>
    <w:p>
      <w:pPr>
        <w:spacing w:after="0" w:line="225" w:lineRule="exact"/>
        <w:rPr>
          <w:sz w:val="20"/>
          <w:szCs w:val="20"/>
          <w:color w:val="auto"/>
        </w:rPr>
      </w:pPr>
    </w:p>
    <w:p>
      <w:pPr>
        <w:ind w:left="660"/>
        <w:spacing w:after="0"/>
        <w:tabs>
          <w:tab w:leader="none" w:pos="4960" w:val="left"/>
        </w:tabs>
        <w:rPr>
          <w:sz w:val="20"/>
          <w:szCs w:val="20"/>
          <w:color w:val="auto"/>
        </w:rPr>
      </w:pPr>
      <w:r>
        <w:rPr>
          <w:rFonts w:ascii="Arial" w:cs="Arial" w:eastAsia="Arial" w:hAnsi="Arial"/>
          <w:sz w:val="18"/>
          <w:szCs w:val="18"/>
          <w:i w:val="1"/>
          <w:iCs w:val="1"/>
          <w:color w:val="auto"/>
        </w:rPr>
        <w:t>Affiliate</w:t>
      </w:r>
      <w:r>
        <w:rPr>
          <w:sz w:val="20"/>
          <w:szCs w:val="20"/>
          <w:color w:val="auto"/>
        </w:rPr>
        <w:tab/>
      </w:r>
      <w:r>
        <w:rPr>
          <w:rFonts w:ascii="Arial" w:cs="Arial" w:eastAsia="Arial" w:hAnsi="Arial"/>
          <w:sz w:val="18"/>
          <w:szCs w:val="18"/>
          <w:color w:val="auto"/>
        </w:rPr>
        <w:t>(i) in the case of a Shareholder who is an individual - a spouse, child, brother,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sister, or parent of the Shareholder and any corporate entity which is fully owned</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him or her and as long as such corporate entity is fully owned by him or her,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vice versa</w:t>
      </w:r>
      <w:r>
        <w:rPr>
          <w:rFonts w:ascii="Arial" w:cs="Arial" w:eastAsia="Arial" w:hAnsi="Arial"/>
          <w:sz w:val="18"/>
          <w:szCs w:val="18"/>
          <w:color w:val="auto"/>
        </w:rPr>
        <w:t>; (ii) in the case of any incorporated Shareholder (whether a</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company or other entity) - any legal entity which controls, is controlled by, or is</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under common control with such incorporated Shareholder; and (iii) in the case of</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Shareholder which is a general or limited partnership – its partners, and</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affiliated partnerships managed by the same management company or managing</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general partner or by an entity which controls, is controlled by, or is under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common control with, such management company or managing general partner.</w:t>
      </w:r>
    </w:p>
    <w:p>
      <w:pPr>
        <w:sectPr>
          <w:pgSz w:w="11900" w:h="16838" w:orient="portrait"/>
          <w:cols w:equalWidth="0" w:num="1">
            <w:col w:w="11420"/>
          </w:cols>
          <w:pgMar w:left="240" w:top="337" w:right="2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Articles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Business Day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Amended and Restated Articles of Association of the Company, as set forth herein or as amended expressly or pursuant to the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the Company.</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Sunday to Thursday, inclusive, with the exception of holidays and official days of rest in 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391795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260" w:space="720"/>
            <w:col w:w="6440"/>
          </w:cols>
          <w:pgMar w:left="240" w:top="337" w:right="23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Companies Law</w:t>
            </w:r>
          </w:p>
        </w:tc>
        <w:tc>
          <w:tcPr>
            <w:tcW w:w="7740" w:type="dxa"/>
            <w:vAlign w:val="bottom"/>
          </w:tcPr>
          <w:p>
            <w:pPr>
              <w:ind w:left="1300"/>
              <w:spacing w:after="0"/>
              <w:rPr>
                <w:sz w:val="20"/>
                <w:szCs w:val="20"/>
                <w:color w:val="auto"/>
              </w:rPr>
            </w:pPr>
            <w:r>
              <w:rPr>
                <w:rFonts w:ascii="Arial" w:cs="Arial" w:eastAsia="Arial" w:hAnsi="Arial"/>
                <w:sz w:val="18"/>
                <w:szCs w:val="18"/>
                <w:color w:val="auto"/>
              </w:rPr>
              <w:t>The Companies Law, 1999, as may be amended from time to time.</w:t>
            </w:r>
          </w:p>
        </w:tc>
      </w:tr>
      <w:tr>
        <w:trPr>
          <w:trHeight w:val="432"/>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Companies Regulations</w:t>
            </w:r>
          </w:p>
        </w:tc>
        <w:tc>
          <w:tcPr>
            <w:tcW w:w="7740" w:type="dxa"/>
            <w:vAlign w:val="bottom"/>
          </w:tcPr>
          <w:p>
            <w:pPr>
              <w:ind w:left="1300"/>
              <w:spacing w:after="0"/>
              <w:rPr>
                <w:sz w:val="20"/>
                <w:szCs w:val="20"/>
                <w:color w:val="auto"/>
              </w:rPr>
            </w:pPr>
            <w:r>
              <w:rPr>
                <w:rFonts w:ascii="Arial" w:cs="Arial" w:eastAsia="Arial" w:hAnsi="Arial"/>
                <w:sz w:val="18"/>
                <w:szCs w:val="18"/>
                <w:color w:val="auto"/>
              </w:rPr>
              <w:t>Regulations promulgated under the Companies Law.</w:t>
            </w:r>
          </w:p>
        </w:tc>
      </w:tr>
      <w:tr>
        <w:trPr>
          <w:trHeight w:val="432"/>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Company</w:t>
            </w:r>
          </w:p>
        </w:tc>
        <w:tc>
          <w:tcPr>
            <w:tcW w:w="7740" w:type="dxa"/>
            <w:vAlign w:val="bottom"/>
          </w:tcPr>
          <w:p>
            <w:pPr>
              <w:ind w:left="1300"/>
              <w:spacing w:after="0"/>
              <w:rPr>
                <w:sz w:val="20"/>
                <w:szCs w:val="20"/>
                <w:color w:val="auto"/>
              </w:rPr>
            </w:pPr>
            <w:r>
              <w:rPr>
                <w:rFonts w:ascii="Arial" w:cs="Arial" w:eastAsia="Arial" w:hAnsi="Arial"/>
                <w:sz w:val="18"/>
                <w:szCs w:val="18"/>
                <w:color w:val="auto"/>
              </w:rPr>
              <w:t>Alcobra Ltd.</w:t>
            </w:r>
          </w:p>
        </w:tc>
      </w:tr>
      <w:tr>
        <w:trPr>
          <w:trHeight w:val="418"/>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control</w:t>
            </w:r>
          </w:p>
        </w:tc>
        <w:tc>
          <w:tcPr>
            <w:tcW w:w="7740" w:type="dxa"/>
            <w:vAlign w:val="bottom"/>
          </w:tcPr>
          <w:p>
            <w:pPr>
              <w:ind w:left="1300"/>
              <w:spacing w:after="0"/>
              <w:rPr>
                <w:sz w:val="20"/>
                <w:szCs w:val="20"/>
                <w:color w:val="auto"/>
              </w:rPr>
            </w:pPr>
            <w:r>
              <w:rPr>
                <w:rFonts w:ascii="Arial" w:cs="Arial" w:eastAsia="Arial" w:hAnsi="Arial"/>
                <w:sz w:val="18"/>
                <w:szCs w:val="18"/>
                <w:color w:val="auto"/>
              </w:rPr>
              <w:t>shall have the meaning ascribed to such term under the Israeli Securities Law –</w:t>
            </w:r>
          </w:p>
        </w:tc>
      </w:tr>
      <w:tr>
        <w:trPr>
          <w:trHeight w:val="230"/>
        </w:trPr>
        <w:tc>
          <w:tcPr>
            <w:tcW w:w="3680" w:type="dxa"/>
            <w:vAlign w:val="bottom"/>
          </w:tcPr>
          <w:p>
            <w:pPr>
              <w:spacing w:after="0"/>
              <w:rPr>
                <w:sz w:val="20"/>
                <w:szCs w:val="20"/>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rPr>
              <w:t>1968.</w:t>
            </w:r>
          </w:p>
        </w:tc>
      </w:tr>
      <w:tr>
        <w:trPr>
          <w:trHeight w:val="418"/>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Convertible Securities</w:t>
            </w:r>
          </w:p>
        </w:tc>
        <w:tc>
          <w:tcPr>
            <w:tcW w:w="7740" w:type="dxa"/>
            <w:vAlign w:val="bottom"/>
          </w:tcPr>
          <w:p>
            <w:pPr>
              <w:ind w:left="1300"/>
              <w:spacing w:after="0"/>
              <w:rPr>
                <w:sz w:val="20"/>
                <w:szCs w:val="20"/>
                <w:color w:val="auto"/>
              </w:rPr>
            </w:pPr>
            <w:r>
              <w:rPr>
                <w:rFonts w:ascii="Arial" w:cs="Arial" w:eastAsia="Arial" w:hAnsi="Arial"/>
                <w:sz w:val="18"/>
                <w:szCs w:val="18"/>
                <w:color w:val="auto"/>
              </w:rPr>
              <w:t>At any time, any options, warrants, convertible notes or other securities or rights</w:t>
            </w:r>
          </w:p>
        </w:tc>
      </w:tr>
      <w:tr>
        <w:trPr>
          <w:trHeight w:val="216"/>
        </w:trPr>
        <w:tc>
          <w:tcPr>
            <w:tcW w:w="3680" w:type="dxa"/>
            <w:vAlign w:val="bottom"/>
          </w:tcPr>
          <w:p>
            <w:pPr>
              <w:spacing w:after="0"/>
              <w:rPr>
                <w:sz w:val="18"/>
                <w:szCs w:val="18"/>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rPr>
              <w:t>convertible,  exchangeable  or  exercisable,  with  or  without  the  payment  of</w:t>
            </w:r>
          </w:p>
        </w:tc>
      </w:tr>
      <w:tr>
        <w:trPr>
          <w:trHeight w:val="230"/>
        </w:trPr>
        <w:tc>
          <w:tcPr>
            <w:tcW w:w="3680" w:type="dxa"/>
            <w:vAlign w:val="bottom"/>
          </w:tcPr>
          <w:p>
            <w:pPr>
              <w:spacing w:after="0"/>
              <w:rPr>
                <w:sz w:val="20"/>
                <w:szCs w:val="20"/>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rPr>
              <w:t>additional consideration, into or for Ordinary Shares, directly or indirectly.</w:t>
            </w:r>
          </w:p>
        </w:tc>
      </w:tr>
      <w:tr>
        <w:trPr>
          <w:trHeight w:val="418"/>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Director</w:t>
            </w:r>
          </w:p>
        </w:tc>
        <w:tc>
          <w:tcPr>
            <w:tcW w:w="7740" w:type="dxa"/>
            <w:vAlign w:val="bottom"/>
          </w:tcPr>
          <w:p>
            <w:pPr>
              <w:ind w:left="1300"/>
              <w:spacing w:after="0"/>
              <w:rPr>
                <w:sz w:val="20"/>
                <w:szCs w:val="20"/>
                <w:color w:val="auto"/>
              </w:rPr>
            </w:pPr>
            <w:r>
              <w:rPr>
                <w:rFonts w:ascii="Arial" w:cs="Arial" w:eastAsia="Arial" w:hAnsi="Arial"/>
                <w:sz w:val="18"/>
                <w:szCs w:val="18"/>
                <w:color w:val="auto"/>
              </w:rPr>
              <w:t>A director of the Company in accordance with the definition of the Companies</w:t>
            </w:r>
          </w:p>
        </w:tc>
      </w:tr>
      <w:tr>
        <w:trPr>
          <w:trHeight w:val="230"/>
        </w:trPr>
        <w:tc>
          <w:tcPr>
            <w:tcW w:w="3680" w:type="dxa"/>
            <w:vAlign w:val="bottom"/>
          </w:tcPr>
          <w:p>
            <w:pPr>
              <w:spacing w:after="0"/>
              <w:rPr>
                <w:sz w:val="20"/>
                <w:szCs w:val="20"/>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rPr>
              <w:t>Law.</w:t>
            </w:r>
          </w:p>
        </w:tc>
      </w:tr>
      <w:tr>
        <w:trPr>
          <w:trHeight w:val="432"/>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Liquidation</w:t>
            </w:r>
          </w:p>
        </w:tc>
        <w:tc>
          <w:tcPr>
            <w:tcW w:w="7740" w:type="dxa"/>
            <w:vAlign w:val="bottom"/>
          </w:tcPr>
          <w:p>
            <w:pPr>
              <w:ind w:left="1300"/>
              <w:spacing w:after="0"/>
              <w:rPr>
                <w:sz w:val="20"/>
                <w:szCs w:val="20"/>
                <w:color w:val="auto"/>
              </w:rPr>
            </w:pPr>
            <w:r>
              <w:rPr>
                <w:rFonts w:ascii="Arial" w:cs="Arial" w:eastAsia="Arial" w:hAnsi="Arial"/>
                <w:sz w:val="18"/>
                <w:szCs w:val="18"/>
                <w:color w:val="auto"/>
              </w:rPr>
              <w:t>As defined in Article 95.2 below.</w:t>
            </w:r>
          </w:p>
        </w:tc>
      </w:tr>
      <w:tr>
        <w:trPr>
          <w:trHeight w:val="432"/>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Dollar or $</w:t>
            </w:r>
          </w:p>
        </w:tc>
        <w:tc>
          <w:tcPr>
            <w:tcW w:w="7740" w:type="dxa"/>
            <w:vAlign w:val="bottom"/>
          </w:tcPr>
          <w:p>
            <w:pPr>
              <w:ind w:left="1300"/>
              <w:spacing w:after="0"/>
              <w:rPr>
                <w:sz w:val="20"/>
                <w:szCs w:val="20"/>
                <w:color w:val="auto"/>
              </w:rPr>
            </w:pPr>
            <w:r>
              <w:rPr>
                <w:rFonts w:ascii="Arial" w:cs="Arial" w:eastAsia="Arial" w:hAnsi="Arial"/>
                <w:sz w:val="18"/>
                <w:szCs w:val="18"/>
                <w:color w:val="auto"/>
              </w:rPr>
              <w:t>United States Dollars</w:t>
            </w:r>
          </w:p>
        </w:tc>
      </w:tr>
      <w:tr>
        <w:trPr>
          <w:trHeight w:val="432"/>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Founders</w:t>
            </w:r>
          </w:p>
        </w:tc>
        <w:tc>
          <w:tcPr>
            <w:tcW w:w="7740" w:type="dxa"/>
            <w:vAlign w:val="bottom"/>
          </w:tcPr>
          <w:p>
            <w:pPr>
              <w:ind w:left="1300"/>
              <w:spacing w:after="0"/>
              <w:rPr>
                <w:sz w:val="20"/>
                <w:szCs w:val="20"/>
                <w:color w:val="auto"/>
              </w:rPr>
            </w:pPr>
            <w:r>
              <w:rPr>
                <w:rFonts w:ascii="Arial" w:cs="Arial" w:eastAsia="Arial" w:hAnsi="Arial"/>
                <w:sz w:val="18"/>
                <w:szCs w:val="18"/>
                <w:color w:val="auto"/>
              </w:rPr>
              <w:t>Dalia Megiddo and Udi Gilboa.</w:t>
            </w:r>
          </w:p>
        </w:tc>
      </w:tr>
      <w:tr>
        <w:trPr>
          <w:trHeight w:val="418"/>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General Meeting</w:t>
            </w:r>
          </w:p>
        </w:tc>
        <w:tc>
          <w:tcPr>
            <w:tcW w:w="7740" w:type="dxa"/>
            <w:vAlign w:val="bottom"/>
          </w:tcPr>
          <w:p>
            <w:pPr>
              <w:ind w:left="1300"/>
              <w:spacing w:after="0"/>
              <w:rPr>
                <w:sz w:val="20"/>
                <w:szCs w:val="20"/>
                <w:color w:val="auto"/>
              </w:rPr>
            </w:pPr>
            <w:r>
              <w:rPr>
                <w:rFonts w:ascii="Arial" w:cs="Arial" w:eastAsia="Arial" w:hAnsi="Arial"/>
                <w:sz w:val="18"/>
                <w:szCs w:val="18"/>
                <w:color w:val="auto"/>
                <w:w w:val="99"/>
              </w:rPr>
              <w:t>An annual or special meeting of the Shareholders of the Company in accordance</w:t>
            </w:r>
          </w:p>
        </w:tc>
      </w:tr>
      <w:tr>
        <w:trPr>
          <w:trHeight w:val="230"/>
        </w:trPr>
        <w:tc>
          <w:tcPr>
            <w:tcW w:w="3680" w:type="dxa"/>
            <w:vAlign w:val="bottom"/>
          </w:tcPr>
          <w:p>
            <w:pPr>
              <w:spacing w:after="0"/>
              <w:rPr>
                <w:sz w:val="20"/>
                <w:szCs w:val="20"/>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rPr>
              <w:t>with the Companies Law.</w:t>
            </w:r>
          </w:p>
        </w:tc>
      </w:tr>
      <w:tr>
        <w:trPr>
          <w:trHeight w:val="418"/>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IPO</w:t>
            </w:r>
          </w:p>
        </w:tc>
        <w:tc>
          <w:tcPr>
            <w:tcW w:w="7740" w:type="dxa"/>
            <w:vAlign w:val="bottom"/>
          </w:tcPr>
          <w:p>
            <w:pPr>
              <w:ind w:left="1300"/>
              <w:spacing w:after="0"/>
              <w:rPr>
                <w:sz w:val="20"/>
                <w:szCs w:val="20"/>
                <w:color w:val="auto"/>
              </w:rPr>
            </w:pPr>
            <w:r>
              <w:rPr>
                <w:rFonts w:ascii="Arial" w:cs="Arial" w:eastAsia="Arial" w:hAnsi="Arial"/>
                <w:sz w:val="18"/>
                <w:szCs w:val="18"/>
                <w:color w:val="auto"/>
              </w:rPr>
              <w:t>means a firmly underwritten public offering by the Company of its Ordinary</w:t>
            </w:r>
          </w:p>
        </w:tc>
      </w:tr>
      <w:tr>
        <w:trPr>
          <w:trHeight w:val="216"/>
        </w:trPr>
        <w:tc>
          <w:tcPr>
            <w:tcW w:w="3680" w:type="dxa"/>
            <w:vAlign w:val="bottom"/>
          </w:tcPr>
          <w:p>
            <w:pPr>
              <w:spacing w:after="0"/>
              <w:rPr>
                <w:sz w:val="18"/>
                <w:szCs w:val="18"/>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rPr>
              <w:t>Shares to the public in a bona fide underwriting pursuant to a registration</w:t>
            </w:r>
          </w:p>
        </w:tc>
      </w:tr>
      <w:tr>
        <w:trPr>
          <w:trHeight w:val="216"/>
        </w:trPr>
        <w:tc>
          <w:tcPr>
            <w:tcW w:w="3680" w:type="dxa"/>
            <w:vAlign w:val="bottom"/>
          </w:tcPr>
          <w:p>
            <w:pPr>
              <w:spacing w:after="0"/>
              <w:rPr>
                <w:sz w:val="18"/>
                <w:szCs w:val="18"/>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w w:val="97"/>
              </w:rPr>
              <w:t>statement under the U.S. Securities Act of 1933, as amended, the Israeli Securities</w:t>
            </w:r>
          </w:p>
        </w:tc>
      </w:tr>
      <w:tr>
        <w:trPr>
          <w:trHeight w:val="230"/>
        </w:trPr>
        <w:tc>
          <w:tcPr>
            <w:tcW w:w="3680" w:type="dxa"/>
            <w:vAlign w:val="bottom"/>
          </w:tcPr>
          <w:p>
            <w:pPr>
              <w:spacing w:after="0"/>
              <w:rPr>
                <w:sz w:val="20"/>
                <w:szCs w:val="20"/>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rPr>
              <w:t>Law, 1968, or similar securities laws of another jurisdiction</w:t>
            </w:r>
          </w:p>
        </w:tc>
      </w:tr>
      <w:tr>
        <w:trPr>
          <w:trHeight w:val="432"/>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Law</w:t>
            </w:r>
          </w:p>
        </w:tc>
        <w:tc>
          <w:tcPr>
            <w:tcW w:w="7740" w:type="dxa"/>
            <w:vAlign w:val="bottom"/>
          </w:tcPr>
          <w:p>
            <w:pPr>
              <w:ind w:left="1300"/>
              <w:spacing w:after="0"/>
              <w:rPr>
                <w:sz w:val="20"/>
                <w:szCs w:val="20"/>
                <w:color w:val="auto"/>
              </w:rPr>
            </w:pPr>
            <w:r>
              <w:rPr>
                <w:rFonts w:ascii="Arial" w:cs="Arial" w:eastAsia="Arial" w:hAnsi="Arial"/>
                <w:sz w:val="18"/>
                <w:szCs w:val="18"/>
                <w:color w:val="auto"/>
              </w:rPr>
              <w:t>The provisions of any law (“din”) as defined in the Interpretation Law, 1981.</w:t>
            </w:r>
          </w:p>
        </w:tc>
      </w:tr>
      <w:tr>
        <w:trPr>
          <w:trHeight w:val="432"/>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NIS</w:t>
            </w:r>
          </w:p>
        </w:tc>
        <w:tc>
          <w:tcPr>
            <w:tcW w:w="7740" w:type="dxa"/>
            <w:vAlign w:val="bottom"/>
          </w:tcPr>
          <w:p>
            <w:pPr>
              <w:ind w:left="1300"/>
              <w:spacing w:after="0"/>
              <w:rPr>
                <w:sz w:val="20"/>
                <w:szCs w:val="20"/>
                <w:color w:val="auto"/>
              </w:rPr>
            </w:pPr>
            <w:r>
              <w:rPr>
                <w:rFonts w:ascii="Arial" w:cs="Arial" w:eastAsia="Arial" w:hAnsi="Arial"/>
                <w:sz w:val="18"/>
                <w:szCs w:val="18"/>
                <w:color w:val="auto"/>
              </w:rPr>
              <w:t>New Israeli Shekels.</w:t>
            </w:r>
          </w:p>
        </w:tc>
      </w:tr>
      <w:tr>
        <w:trPr>
          <w:trHeight w:val="418"/>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Ordinary Majority</w:t>
            </w:r>
          </w:p>
        </w:tc>
        <w:tc>
          <w:tcPr>
            <w:tcW w:w="7740" w:type="dxa"/>
            <w:vAlign w:val="bottom"/>
          </w:tcPr>
          <w:p>
            <w:pPr>
              <w:ind w:left="1300"/>
              <w:spacing w:after="0"/>
              <w:rPr>
                <w:sz w:val="20"/>
                <w:szCs w:val="20"/>
                <w:color w:val="auto"/>
              </w:rPr>
            </w:pPr>
            <w:r>
              <w:rPr>
                <w:rFonts w:ascii="Arial" w:cs="Arial" w:eastAsia="Arial" w:hAnsi="Arial"/>
                <w:sz w:val="18"/>
                <w:szCs w:val="18"/>
                <w:color w:val="auto"/>
              </w:rPr>
              <w:t>More than fifty (50%) of the votes of the Shareholders who are entitled to vote</w:t>
            </w:r>
          </w:p>
        </w:tc>
      </w:tr>
      <w:tr>
        <w:trPr>
          <w:trHeight w:val="216"/>
        </w:trPr>
        <w:tc>
          <w:tcPr>
            <w:tcW w:w="3680" w:type="dxa"/>
            <w:vAlign w:val="bottom"/>
          </w:tcPr>
          <w:p>
            <w:pPr>
              <w:spacing w:after="0"/>
              <w:rPr>
                <w:sz w:val="18"/>
                <w:szCs w:val="18"/>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rPr>
              <w:t>and who voted (excluding abstentions) in a General Meeting in person or by</w:t>
            </w:r>
          </w:p>
        </w:tc>
      </w:tr>
      <w:tr>
        <w:trPr>
          <w:trHeight w:val="230"/>
        </w:trPr>
        <w:tc>
          <w:tcPr>
            <w:tcW w:w="3680" w:type="dxa"/>
            <w:vAlign w:val="bottom"/>
          </w:tcPr>
          <w:p>
            <w:pPr>
              <w:spacing w:after="0"/>
              <w:rPr>
                <w:sz w:val="20"/>
                <w:szCs w:val="20"/>
                <w:color w:val="auto"/>
              </w:rPr>
            </w:pPr>
          </w:p>
        </w:tc>
        <w:tc>
          <w:tcPr>
            <w:tcW w:w="7740" w:type="dxa"/>
            <w:vAlign w:val="bottom"/>
          </w:tcPr>
          <w:p>
            <w:pPr>
              <w:ind w:left="1300"/>
              <w:spacing w:after="0"/>
              <w:rPr>
                <w:sz w:val="20"/>
                <w:szCs w:val="20"/>
                <w:color w:val="auto"/>
              </w:rPr>
            </w:pPr>
            <w:r>
              <w:rPr>
                <w:rFonts w:ascii="Arial" w:cs="Arial" w:eastAsia="Arial" w:hAnsi="Arial"/>
                <w:sz w:val="18"/>
                <w:szCs w:val="18"/>
                <w:color w:val="auto"/>
              </w:rPr>
              <w:t>means of a proxy.</w:t>
            </w:r>
          </w:p>
        </w:tc>
      </w:tr>
      <w:tr>
        <w:trPr>
          <w:trHeight w:val="432"/>
        </w:trPr>
        <w:tc>
          <w:tcPr>
            <w:tcW w:w="3680" w:type="dxa"/>
            <w:vAlign w:val="bottom"/>
          </w:tcPr>
          <w:p>
            <w:pPr>
              <w:ind w:left="660"/>
              <w:spacing w:after="0"/>
              <w:rPr>
                <w:sz w:val="20"/>
                <w:szCs w:val="20"/>
                <w:color w:val="auto"/>
              </w:rPr>
            </w:pPr>
            <w:r>
              <w:rPr>
                <w:rFonts w:ascii="Arial" w:cs="Arial" w:eastAsia="Arial" w:hAnsi="Arial"/>
                <w:sz w:val="18"/>
                <w:szCs w:val="18"/>
                <w:i w:val="1"/>
                <w:iCs w:val="1"/>
                <w:color w:val="auto"/>
              </w:rPr>
              <w:t>Ordinary Shares</w:t>
            </w:r>
          </w:p>
        </w:tc>
        <w:tc>
          <w:tcPr>
            <w:tcW w:w="7740" w:type="dxa"/>
            <w:vAlign w:val="bottom"/>
          </w:tcPr>
          <w:p>
            <w:pPr>
              <w:ind w:left="1300"/>
              <w:spacing w:after="0"/>
              <w:rPr>
                <w:sz w:val="20"/>
                <w:szCs w:val="20"/>
                <w:color w:val="auto"/>
              </w:rPr>
            </w:pPr>
            <w:r>
              <w:rPr>
                <w:rFonts w:ascii="Arial" w:cs="Arial" w:eastAsia="Arial" w:hAnsi="Arial"/>
                <w:sz w:val="18"/>
                <w:szCs w:val="18"/>
                <w:color w:val="auto"/>
              </w:rPr>
              <w:t>The Company’s Ordinary Shares, nominal value NIS 0.01 each.</w:t>
            </w:r>
          </w:p>
        </w:tc>
      </w:tr>
      <w:tr>
        <w:trPr>
          <w:trHeight w:val="648"/>
        </w:trPr>
        <w:tc>
          <w:tcPr>
            <w:tcW w:w="368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881"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ind w:left="660"/>
              <w:spacing w:after="0"/>
              <w:rPr>
                <w:sz w:val="20"/>
                <w:szCs w:val="20"/>
                <w:color w:val="auto"/>
              </w:rPr>
            </w:pPr>
            <w:r>
              <w:rPr>
                <w:rFonts w:ascii="Arial" w:cs="Arial" w:eastAsia="Arial" w:hAnsi="Arial"/>
                <w:sz w:val="18"/>
                <w:szCs w:val="18"/>
                <w:i w:val="1"/>
                <w:iCs w:val="1"/>
                <w:color w:val="auto"/>
              </w:rPr>
              <w:t>Permitted Transferee</w:t>
            </w:r>
          </w:p>
        </w:tc>
        <w:tc>
          <w:tcPr>
            <w:tcW w:w="7780" w:type="dxa"/>
            <w:vAlign w:val="bottom"/>
          </w:tcPr>
          <w:p>
            <w:pPr>
              <w:ind w:left="1340"/>
              <w:spacing w:after="0"/>
              <w:rPr>
                <w:sz w:val="20"/>
                <w:szCs w:val="20"/>
                <w:color w:val="auto"/>
              </w:rPr>
            </w:pPr>
            <w:r>
              <w:rPr>
                <w:rFonts w:ascii="Arial" w:cs="Arial" w:eastAsia="Arial" w:hAnsi="Arial"/>
                <w:sz w:val="18"/>
                <w:szCs w:val="18"/>
                <w:color w:val="auto"/>
                <w:w w:val="99"/>
              </w:rPr>
              <w:t>With respect to a Shareholder, means either: (i) a transferee of such Shareholder</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by operation of law; (ii) an Affiliate of such Shareholder; (iii) a trustee of such</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w w:val="97"/>
              </w:rPr>
              <w:t>Shareholder and the transferee of a transfer from a trustee to a Shareholder which</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is the beneficiary of such trustee (including the direct transfer of shares from one</w:t>
            </w:r>
          </w:p>
        </w:tc>
      </w:tr>
      <w:tr>
        <w:trPr>
          <w:trHeight w:val="212"/>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w w:val="99"/>
              </w:rPr>
              <w:t>trustee to another); or (iv) with respect to Hadasit Medical Research Services and</w:t>
            </w:r>
          </w:p>
        </w:tc>
      </w:tr>
      <w:tr>
        <w:trPr>
          <w:trHeight w:val="220"/>
        </w:trPr>
        <w:tc>
          <w:tcPr>
            <w:tcW w:w="3640" w:type="dxa"/>
            <w:vAlign w:val="bottom"/>
          </w:tcPr>
          <w:p>
            <w:pPr>
              <w:spacing w:after="0"/>
              <w:rPr>
                <w:sz w:val="19"/>
                <w:szCs w:val="19"/>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Development Limited ("</w:t>
            </w:r>
            <w:r>
              <w:rPr>
                <w:rFonts w:ascii="Arial" w:cs="Arial" w:eastAsia="Arial" w:hAnsi="Arial"/>
                <w:sz w:val="18"/>
                <w:szCs w:val="18"/>
                <w:b w:val="1"/>
                <w:bCs w:val="1"/>
                <w:color w:val="auto"/>
              </w:rPr>
              <w:t>Hadasit</w:t>
            </w:r>
            <w:r>
              <w:rPr>
                <w:rFonts w:ascii="Arial" w:cs="Arial" w:eastAsia="Arial" w:hAnsi="Arial"/>
                <w:sz w:val="18"/>
                <w:szCs w:val="18"/>
                <w:color w:val="auto"/>
              </w:rPr>
              <w:t>") – any employees and/or inventors employed</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by Hadassah Medical Organization, provided, however, that at all times until an</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IPO, the right to vote such shares shall be held by Hadasit; or (v) with respect to</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Nextar chempharma solutions Ltd, Orna Draezen and Avi Semel, any transferee</w:t>
            </w:r>
          </w:p>
        </w:tc>
      </w:tr>
      <w:tr>
        <w:trPr>
          <w:trHeight w:val="230"/>
        </w:trPr>
        <w:tc>
          <w:tcPr>
            <w:tcW w:w="3640" w:type="dxa"/>
            <w:vAlign w:val="bottom"/>
          </w:tcPr>
          <w:p>
            <w:pPr>
              <w:spacing w:after="0"/>
              <w:rPr>
                <w:sz w:val="20"/>
                <w:szCs w:val="20"/>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of transfers between any of them.</w:t>
            </w:r>
          </w:p>
        </w:tc>
      </w:tr>
      <w:tr>
        <w:trPr>
          <w:trHeight w:val="418"/>
        </w:trPr>
        <w:tc>
          <w:tcPr>
            <w:tcW w:w="3640" w:type="dxa"/>
            <w:vAlign w:val="bottom"/>
          </w:tcPr>
          <w:p>
            <w:pPr>
              <w:ind w:left="660"/>
              <w:spacing w:after="0"/>
              <w:rPr>
                <w:sz w:val="20"/>
                <w:szCs w:val="20"/>
                <w:color w:val="auto"/>
              </w:rPr>
            </w:pPr>
            <w:r>
              <w:rPr>
                <w:rFonts w:ascii="Arial" w:cs="Arial" w:eastAsia="Arial" w:hAnsi="Arial"/>
                <w:sz w:val="18"/>
                <w:szCs w:val="18"/>
                <w:i w:val="1"/>
                <w:iCs w:val="1"/>
                <w:color w:val="auto"/>
              </w:rPr>
              <w:t>Person</w:t>
            </w:r>
          </w:p>
        </w:tc>
        <w:tc>
          <w:tcPr>
            <w:tcW w:w="7780" w:type="dxa"/>
            <w:vAlign w:val="bottom"/>
          </w:tcPr>
          <w:p>
            <w:pPr>
              <w:ind w:left="1340"/>
              <w:spacing w:after="0"/>
              <w:rPr>
                <w:sz w:val="20"/>
                <w:szCs w:val="20"/>
                <w:color w:val="auto"/>
              </w:rPr>
            </w:pPr>
            <w:r>
              <w:rPr>
                <w:rFonts w:ascii="Arial" w:cs="Arial" w:eastAsia="Arial" w:hAnsi="Arial"/>
                <w:sz w:val="18"/>
                <w:szCs w:val="18"/>
                <w:color w:val="auto"/>
              </w:rPr>
              <w:t>An individual, corporation, partnership, joint venture, trust, and any other body</w:t>
            </w:r>
          </w:p>
        </w:tc>
      </w:tr>
      <w:tr>
        <w:trPr>
          <w:trHeight w:val="230"/>
        </w:trPr>
        <w:tc>
          <w:tcPr>
            <w:tcW w:w="3640" w:type="dxa"/>
            <w:vAlign w:val="bottom"/>
          </w:tcPr>
          <w:p>
            <w:pPr>
              <w:spacing w:after="0"/>
              <w:rPr>
                <w:sz w:val="20"/>
                <w:szCs w:val="20"/>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corporate or unincorporated organization.</w:t>
            </w:r>
          </w:p>
        </w:tc>
      </w:tr>
      <w:tr>
        <w:trPr>
          <w:trHeight w:val="418"/>
        </w:trPr>
        <w:tc>
          <w:tcPr>
            <w:tcW w:w="3640" w:type="dxa"/>
            <w:vAlign w:val="bottom"/>
          </w:tcPr>
          <w:p>
            <w:pPr>
              <w:ind w:left="660"/>
              <w:spacing w:after="0"/>
              <w:rPr>
                <w:sz w:val="20"/>
                <w:szCs w:val="20"/>
                <w:color w:val="auto"/>
              </w:rPr>
            </w:pPr>
            <w:r>
              <w:rPr>
                <w:rFonts w:ascii="Arial" w:cs="Arial" w:eastAsia="Arial" w:hAnsi="Arial"/>
                <w:sz w:val="18"/>
                <w:szCs w:val="18"/>
                <w:i w:val="1"/>
                <w:iCs w:val="1"/>
                <w:color w:val="auto"/>
              </w:rPr>
              <w:t>Recapitalization Event</w:t>
            </w:r>
          </w:p>
        </w:tc>
        <w:tc>
          <w:tcPr>
            <w:tcW w:w="7780" w:type="dxa"/>
            <w:vAlign w:val="bottom"/>
          </w:tcPr>
          <w:p>
            <w:pPr>
              <w:ind w:left="1340"/>
              <w:spacing w:after="0"/>
              <w:rPr>
                <w:sz w:val="20"/>
                <w:szCs w:val="20"/>
                <w:color w:val="auto"/>
              </w:rPr>
            </w:pPr>
            <w:r>
              <w:rPr>
                <w:rFonts w:ascii="Arial" w:cs="Arial" w:eastAsia="Arial" w:hAnsi="Arial"/>
                <w:sz w:val="18"/>
                <w:szCs w:val="18"/>
                <w:color w:val="auto"/>
              </w:rPr>
              <w:t>Any event of share combination or subdivision, share split, reverse share split,</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share  dividend,  distribution  of  bonus  shares  or  any  other  reclassification,</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reorganization or recapitalization of the Company’s share capital or other similar</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w w:val="97"/>
              </w:rPr>
              <w:t>events resulting in a change of such shares into a different number of shares of the</w:t>
            </w:r>
          </w:p>
        </w:tc>
      </w:tr>
      <w:tr>
        <w:trPr>
          <w:trHeight w:val="230"/>
        </w:trPr>
        <w:tc>
          <w:tcPr>
            <w:tcW w:w="3640" w:type="dxa"/>
            <w:vAlign w:val="bottom"/>
          </w:tcPr>
          <w:p>
            <w:pPr>
              <w:spacing w:after="0"/>
              <w:rPr>
                <w:sz w:val="20"/>
                <w:szCs w:val="20"/>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same class or any other class or classes of shares.</w:t>
            </w:r>
          </w:p>
        </w:tc>
      </w:tr>
      <w:tr>
        <w:trPr>
          <w:trHeight w:val="418"/>
        </w:trPr>
        <w:tc>
          <w:tcPr>
            <w:tcW w:w="3640" w:type="dxa"/>
            <w:vAlign w:val="bottom"/>
          </w:tcPr>
          <w:p>
            <w:pPr>
              <w:ind w:left="660"/>
              <w:spacing w:after="0"/>
              <w:rPr>
                <w:sz w:val="20"/>
                <w:szCs w:val="20"/>
                <w:color w:val="auto"/>
              </w:rPr>
            </w:pPr>
            <w:r>
              <w:rPr>
                <w:rFonts w:ascii="Arial" w:cs="Arial" w:eastAsia="Arial" w:hAnsi="Arial"/>
                <w:sz w:val="18"/>
                <w:szCs w:val="18"/>
                <w:i w:val="1"/>
                <w:iCs w:val="1"/>
                <w:color w:val="auto"/>
              </w:rPr>
              <w:t>Securities</w:t>
            </w:r>
          </w:p>
        </w:tc>
        <w:tc>
          <w:tcPr>
            <w:tcW w:w="7780" w:type="dxa"/>
            <w:vAlign w:val="bottom"/>
          </w:tcPr>
          <w:p>
            <w:pPr>
              <w:ind w:left="1340"/>
              <w:spacing w:after="0"/>
              <w:rPr>
                <w:sz w:val="20"/>
                <w:szCs w:val="20"/>
                <w:color w:val="auto"/>
              </w:rPr>
            </w:pPr>
            <w:r>
              <w:rPr>
                <w:rFonts w:ascii="Arial" w:cs="Arial" w:eastAsia="Arial" w:hAnsi="Arial"/>
                <w:sz w:val="18"/>
                <w:szCs w:val="18"/>
                <w:color w:val="auto"/>
                <w:w w:val="97"/>
              </w:rPr>
              <w:t>Shares, bonds, capital notes or securities convertible, exchangeable or exercisable</w:t>
            </w:r>
          </w:p>
        </w:tc>
      </w:tr>
      <w:tr>
        <w:trPr>
          <w:trHeight w:val="216"/>
        </w:trPr>
        <w:tc>
          <w:tcPr>
            <w:tcW w:w="3640" w:type="dxa"/>
            <w:vAlign w:val="bottom"/>
          </w:tcPr>
          <w:p>
            <w:pPr>
              <w:spacing w:after="0"/>
              <w:rPr>
                <w:sz w:val="18"/>
                <w:szCs w:val="18"/>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into shares, and certificates conferring a right in such securities, issued by the</w:t>
            </w:r>
          </w:p>
        </w:tc>
      </w:tr>
      <w:tr>
        <w:trPr>
          <w:trHeight w:val="230"/>
        </w:trPr>
        <w:tc>
          <w:tcPr>
            <w:tcW w:w="3640" w:type="dxa"/>
            <w:vAlign w:val="bottom"/>
          </w:tcPr>
          <w:p>
            <w:pPr>
              <w:spacing w:after="0"/>
              <w:rPr>
                <w:sz w:val="20"/>
                <w:szCs w:val="20"/>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Company.</w:t>
            </w:r>
          </w:p>
        </w:tc>
      </w:tr>
      <w:tr>
        <w:trPr>
          <w:trHeight w:val="418"/>
        </w:trPr>
        <w:tc>
          <w:tcPr>
            <w:tcW w:w="3640" w:type="dxa"/>
            <w:vAlign w:val="bottom"/>
          </w:tcPr>
          <w:p>
            <w:pPr>
              <w:spacing w:after="0"/>
              <w:rPr>
                <w:sz w:val="24"/>
                <w:szCs w:val="24"/>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Anyone registered as a shareholder in the Shareholder Register as a holder of</w:t>
            </w:r>
          </w:p>
        </w:tc>
      </w:tr>
      <w:tr>
        <w:trPr>
          <w:trHeight w:val="230"/>
        </w:trPr>
        <w:tc>
          <w:tcPr>
            <w:tcW w:w="3640" w:type="dxa"/>
            <w:vAlign w:val="bottom"/>
          </w:tcPr>
          <w:p>
            <w:pPr>
              <w:ind w:left="660"/>
              <w:spacing w:after="0"/>
              <w:rPr>
                <w:sz w:val="20"/>
                <w:szCs w:val="20"/>
                <w:color w:val="auto"/>
              </w:rPr>
            </w:pPr>
            <w:r>
              <w:rPr>
                <w:rFonts w:ascii="Arial" w:cs="Arial" w:eastAsia="Arial" w:hAnsi="Arial"/>
                <w:sz w:val="18"/>
                <w:szCs w:val="18"/>
                <w:i w:val="1"/>
                <w:iCs w:val="1"/>
                <w:color w:val="auto"/>
              </w:rPr>
              <w:t>Shareholder</w:t>
            </w:r>
          </w:p>
        </w:tc>
        <w:tc>
          <w:tcPr>
            <w:tcW w:w="7780" w:type="dxa"/>
            <w:vAlign w:val="bottom"/>
          </w:tcPr>
          <w:p>
            <w:pPr>
              <w:ind w:left="1340"/>
              <w:spacing w:after="0"/>
              <w:rPr>
                <w:sz w:val="20"/>
                <w:szCs w:val="20"/>
                <w:color w:val="auto"/>
              </w:rPr>
            </w:pPr>
            <w:r>
              <w:rPr>
                <w:rFonts w:ascii="Arial" w:cs="Arial" w:eastAsia="Arial" w:hAnsi="Arial"/>
                <w:sz w:val="18"/>
                <w:szCs w:val="18"/>
                <w:color w:val="auto"/>
              </w:rPr>
              <w:t>Ordinary Share(s).</w:t>
            </w:r>
          </w:p>
        </w:tc>
      </w:tr>
      <w:tr>
        <w:trPr>
          <w:trHeight w:val="418"/>
        </w:trPr>
        <w:tc>
          <w:tcPr>
            <w:tcW w:w="3640" w:type="dxa"/>
            <w:vAlign w:val="bottom"/>
          </w:tcPr>
          <w:p>
            <w:pPr>
              <w:ind w:left="660"/>
              <w:spacing w:after="0"/>
              <w:rPr>
                <w:sz w:val="20"/>
                <w:szCs w:val="20"/>
                <w:color w:val="auto"/>
              </w:rPr>
            </w:pPr>
            <w:r>
              <w:rPr>
                <w:rFonts w:ascii="Arial" w:cs="Arial" w:eastAsia="Arial" w:hAnsi="Arial"/>
                <w:sz w:val="18"/>
                <w:szCs w:val="18"/>
                <w:i w:val="1"/>
                <w:iCs w:val="1"/>
                <w:color w:val="auto"/>
              </w:rPr>
              <w:t>Shareholder Register</w:t>
            </w:r>
          </w:p>
        </w:tc>
        <w:tc>
          <w:tcPr>
            <w:tcW w:w="7780" w:type="dxa"/>
            <w:vAlign w:val="bottom"/>
          </w:tcPr>
          <w:p>
            <w:pPr>
              <w:ind w:left="1340"/>
              <w:spacing w:after="0"/>
              <w:rPr>
                <w:sz w:val="20"/>
                <w:szCs w:val="20"/>
                <w:color w:val="auto"/>
              </w:rPr>
            </w:pPr>
            <w:r>
              <w:rPr>
                <w:rFonts w:ascii="Arial" w:cs="Arial" w:eastAsia="Arial" w:hAnsi="Arial"/>
                <w:sz w:val="18"/>
                <w:szCs w:val="18"/>
                <w:color w:val="auto"/>
              </w:rPr>
              <w:t>The  Register  of  Shareholders  of  the  Company,  administered  and  kept  in</w:t>
            </w:r>
          </w:p>
        </w:tc>
      </w:tr>
      <w:tr>
        <w:trPr>
          <w:trHeight w:val="230"/>
        </w:trPr>
        <w:tc>
          <w:tcPr>
            <w:tcW w:w="3640" w:type="dxa"/>
            <w:vAlign w:val="bottom"/>
          </w:tcPr>
          <w:p>
            <w:pPr>
              <w:spacing w:after="0"/>
              <w:rPr>
                <w:sz w:val="20"/>
                <w:szCs w:val="20"/>
                <w:color w:val="auto"/>
              </w:rPr>
            </w:pPr>
          </w:p>
        </w:tc>
        <w:tc>
          <w:tcPr>
            <w:tcW w:w="7780" w:type="dxa"/>
            <w:vAlign w:val="bottom"/>
          </w:tcPr>
          <w:p>
            <w:pPr>
              <w:ind w:left="1340"/>
              <w:spacing w:after="0"/>
              <w:rPr>
                <w:sz w:val="20"/>
                <w:szCs w:val="20"/>
                <w:color w:val="auto"/>
              </w:rPr>
            </w:pPr>
            <w:r>
              <w:rPr>
                <w:rFonts w:ascii="Arial" w:cs="Arial" w:eastAsia="Arial" w:hAnsi="Arial"/>
                <w:sz w:val="18"/>
                <w:szCs w:val="18"/>
                <w:color w:val="auto"/>
              </w:rPr>
              <w:t>accordance with the Companies Law.</w:t>
            </w:r>
          </w:p>
        </w:tc>
      </w:tr>
      <w:tr>
        <w:trPr>
          <w:trHeight w:val="648"/>
        </w:trPr>
        <w:tc>
          <w:tcPr>
            <w:tcW w:w="364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881" w:right="239" w:bottom="1440" w:gutter="0" w:footer="0" w:header="0"/>
        </w:sectPr>
      </w:pPr>
    </w:p>
    <w:bookmarkStart w:id="126" w:name="page127"/>
    <w:bookmarkEnd w:id="126"/>
    <w:p>
      <w:pPr>
        <w:jc w:val="both"/>
        <w:ind w:left="660"/>
        <w:spacing w:after="0" w:line="297" w:lineRule="auto"/>
        <w:rPr>
          <w:sz w:val="20"/>
          <w:szCs w:val="20"/>
          <w:color w:val="auto"/>
        </w:rPr>
      </w:pPr>
      <w:r>
        <w:rPr>
          <w:rFonts w:ascii="Arial" w:cs="Arial" w:eastAsia="Arial" w:hAnsi="Arial"/>
          <w:sz w:val="16"/>
          <w:szCs w:val="16"/>
          <w:color w:val="auto"/>
        </w:rPr>
        <w:t>1.2. The specific provisions of these Articles shall supersede the provisions of the Companies Law to the extent permitted under the Companies Law. Unless the subject or the context otherwise requires, each word and expression not specifically defined herein and defined in the Companies Law as in effect on the date when these Articles first became effective shall have the same meaning herein, and to the extent that no meaning is attached to it in the Companies Law, the meaning ascribed to it in the Companies Regulations, and if no meaning is ascribed thereto in the Companies Regulations, the meaning ascribed to it in the Securities Law, 1968 or the regulations promulgated thereunder.</w:t>
      </w:r>
    </w:p>
    <w:p>
      <w:pPr>
        <w:spacing w:after="0" w:line="15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1.3. Words and expressions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words and expressions importing the masculine gender shall include the feminine gender and words and expressions importing persons shall include corporate entities.</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1.4. The captions in these Articles are for convenience only and shall not be deemed a part hereof or affect the construction of any provision hereof.</w:t>
      </w:r>
    </w:p>
    <w:p>
      <w:pPr>
        <w:spacing w:after="0" w:line="166"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RIVATE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a private company, as defined in the Companies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Furthermore:</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2.1. The number of Shareholders for the time being of the Company (exclusive of persons who are in the employment of the Company and of persons who having been formerly in the employment of the Company were, while in such employment, and have continued after termination of such employment to be, Shareholders of the Company), shall not exceed fifty (50), but where two or more persons jointly own one or more shares in the Company, they shall, for the purposes of this Article, be treated as a single Shareholder;</w:t>
      </w:r>
    </w:p>
    <w:p>
      <w:pPr>
        <w:spacing w:after="0" w:line="18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Any invitation to the public to subscribe for any shares or debentures of the Company is hereby prohibited; and</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right to transfer shares in the Company shall be restricted as hereinafter provided.</w:t>
      </w:r>
    </w:p>
    <w:p>
      <w:pPr>
        <w:spacing w:after="0" w:line="221"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URPOSE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purpose of the Company is to operate in accordance with business considerations and to generate profits, inter alia, through the reformulation of drugs and/or engagement in any other field in the life sciences; provided, however, that the Company may donate reasonable amounts to worthy causes, as the Board may determine in its discretion, even if such donations are not within the framework of business considerations.</w:t>
      </w:r>
    </w:p>
    <w:p>
      <w:pPr>
        <w:spacing w:after="0" w:line="162"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BJECTIVES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shall engage in any lawful business.</w:t>
      </w:r>
    </w:p>
    <w:p>
      <w:pPr>
        <w:spacing w:after="0" w:line="221"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IMITED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liability of the Shareholders of the Company is limited, each one up to the full amount undertaken to be paid to the Company in consideration or upon subscription of the shares of the Company held be such Shareholder.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u w:val="single" w:color="auto"/>
          <w:color w:val="auto"/>
        </w:rPr>
        <w:t>SHARE CAPITAL</w:t>
      </w:r>
    </w:p>
    <w:p>
      <w:pPr>
        <w:spacing w:after="0" w:line="225"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p>
    <w:p>
      <w:pPr>
        <w:spacing w:after="0" w:line="229"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authorized and registered share capital of the Company is NIS 100,000 divided into 10,000,000 Ordinary Shares, nominal value NIS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0.01 each.</w:t>
      </w:r>
    </w:p>
    <w:p>
      <w:pPr>
        <w:spacing w:after="0" w:line="211"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6.2. The Ordinary Shares shall confer upon the holders thereof all the rights attached to the Ordinary Shares in these Articles, including, without limitation, the right to receive notices of, and to attend, General Meetings, and to vote at General Meetings with each Ordinary Share entitling the holder thereof to one vote on each matter upon which the vote is held, the right to participate in distribution of dividends and bonus shares and to participate in distribution of surplus assets/property and funds of the Company in the event of winding up, liquidation or dissolution of the Company and no other rights except as may be provided for herein or under the Companies Law.</w:t>
      </w:r>
    </w:p>
    <w:p>
      <w:pPr>
        <w:spacing w:after="0" w:line="17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6.3. All the Ordinary Shares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relation to the amounts of capital paid or credited as paid on their nominal value, in connection with dividend, the distribution of bonus shares and any other distribution, return of the capital and participation in a distribution of the Company's surplus assets/property and fund of the Company in the event of winding up, liquidation or dissolution of the Company.</w:t>
      </w:r>
    </w:p>
    <w:p>
      <w:pPr>
        <w:spacing w:after="0" w:line="162"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ESERVED</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NCREASE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8.1. The Company may, from time to time, by a resolution of the General Meeting adopted by an Ordinary Majority, whether or not all the shares then authorized and registered have been issued, and whether or not all the shares theretofore issued have been called up for payment, increase its share capital by the creation of new shares. Any such increase shall be in such amount and shall be divided into shares of such nominal amounts, and such shares shall confer such rights and preferences, and shall be subject to such restrictions, as such resolution of the General Meeting shall provide.</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8.2. Except to the extent otherwise provided in such resolution of the General Meeting, such new shares shall be subject to all the provisions applicable to the shares of the original capital.</w:t>
      </w:r>
    </w:p>
    <w:p>
      <w:pPr>
        <w:spacing w:after="0" w:line="166"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PECIAL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M</w:t>
      </w:r>
      <w:r>
        <w:rPr>
          <w:rFonts w:ascii="Arial" w:cs="Arial" w:eastAsia="Arial" w:hAnsi="Arial"/>
          <w:sz w:val="12"/>
          <w:szCs w:val="12"/>
          <w:b w:val="1"/>
          <w:bCs w:val="1"/>
          <w:color w:val="auto"/>
        </w:rPr>
        <w:t>ODIFICATIONS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p>
    <w:p>
      <w:pPr>
        <w:spacing w:after="0" w:line="229"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9.1. The Company may, from time to time, by a resolution of the General Meeting adopted by an Ordinary Majority, provide for shares having the same rights as existing shares or with such preferred or deferred rights or rights of redemption or other special rights and/or such restrictions, whether with respect to liquidation, dividends, voting, conversion, repayment of share capital or otherwise, as may be stipulated in such resolution.</w:t>
      </w:r>
    </w:p>
    <w:p>
      <w:pPr>
        <w:spacing w:after="0" w:line="147"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9.2. The Company may, by a shareholders' resolution adopted by an Ordinary Majority, unless otherwise provided by the terms of these Articles or the terms of issue of the shares of that class, modify, convert, broaden, add or otherwise alter the rights, privileges, advantages, restrictions and provisions related or unrelated at that time to the shares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8" w:name="page129"/>
    <w:bookmarkEnd w:id="128"/>
    <w:p>
      <w:pPr>
        <w:jc w:val="both"/>
        <w:ind w:left="660"/>
        <w:spacing w:after="0" w:line="259" w:lineRule="auto"/>
        <w:rPr>
          <w:sz w:val="20"/>
          <w:szCs w:val="20"/>
          <w:color w:val="auto"/>
        </w:rPr>
      </w:pPr>
      <w:r>
        <w:rPr>
          <w:rFonts w:ascii="Arial" w:cs="Arial" w:eastAsia="Arial" w:hAnsi="Arial"/>
          <w:sz w:val="18"/>
          <w:szCs w:val="18"/>
          <w:color w:val="auto"/>
        </w:rPr>
        <w:t>9.3. To the maximum extent permitted under applicable law, and unless otherwise explicitly provided by these Articles, all shareholders of the Company shall vote together as a single class on any matter presented to the shareholders and all matters shall require the approval by the holders of an Ordinary Majority, including, without limitation, any amendment to these Articles, any issuance of securities of the Company, or any transaction under Sections 341, 342 or 350 of the Israeli Companies Law.</w:t>
      </w:r>
    </w:p>
    <w:p>
      <w:pPr>
        <w:spacing w:after="0" w:line="183"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ONSOLIDATION</w:t>
      </w:r>
      <w:r>
        <w:rPr>
          <w:rFonts w:ascii="Arial" w:cs="Arial" w:eastAsia="Arial" w:hAnsi="Arial"/>
          <w:sz w:val="18"/>
          <w:szCs w:val="18"/>
          <w:b w:val="1"/>
          <w:bCs w:val="1"/>
          <w:color w:val="auto"/>
        </w:rPr>
        <w:t>, S</w:t>
      </w:r>
      <w:r>
        <w:rPr>
          <w:rFonts w:ascii="Arial" w:cs="Arial" w:eastAsia="Arial" w:hAnsi="Arial"/>
          <w:sz w:val="12"/>
          <w:szCs w:val="12"/>
          <w:b w:val="1"/>
          <w:bCs w:val="1"/>
          <w:color w:val="auto"/>
        </w:rPr>
        <w:t>UBDIVISION</w:t>
      </w:r>
      <w:r>
        <w:rPr>
          <w:rFonts w:ascii="Arial" w:cs="Arial" w:eastAsia="Arial" w:hAnsi="Arial"/>
          <w:sz w:val="18"/>
          <w:szCs w:val="18"/>
          <w:b w:val="1"/>
          <w:bCs w:val="1"/>
          <w:color w:val="auto"/>
        </w:rPr>
        <w:t>, C</w:t>
      </w:r>
      <w:r>
        <w:rPr>
          <w:rFonts w:ascii="Arial" w:cs="Arial" w:eastAsia="Arial" w:hAnsi="Arial"/>
          <w:sz w:val="12"/>
          <w:szCs w:val="12"/>
          <w:b w:val="1"/>
          <w:bCs w:val="1"/>
          <w:color w:val="auto"/>
        </w:rPr>
        <w:t>ANCELLATION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EDUCTION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Company may, from time to time, by a resolution of the General Meeting adopted by an Ordinary Majority:</w:t>
      </w:r>
    </w:p>
    <w:p>
      <w:pPr>
        <w:spacing w:after="0" w:line="225" w:lineRule="exact"/>
        <w:rPr>
          <w:sz w:val="20"/>
          <w:szCs w:val="20"/>
          <w:color w:val="auto"/>
        </w:rPr>
      </w:pPr>
    </w:p>
    <w:p>
      <w:pPr>
        <w:ind w:left="1960" w:hanging="655"/>
        <w:spacing w:after="0"/>
        <w:tabs>
          <w:tab w:leader="none" w:pos="19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Consolidate and divide all or any of its issued or unissued share capital into shares of larger nominal value than its existing shares;</w:t>
      </w:r>
    </w:p>
    <w:p>
      <w:pPr>
        <w:spacing w:after="0" w:line="248" w:lineRule="exact"/>
        <w:rPr>
          <w:rFonts w:ascii="Arial" w:cs="Arial" w:eastAsia="Arial" w:hAnsi="Arial"/>
          <w:sz w:val="16"/>
          <w:szCs w:val="16"/>
          <w:color w:val="auto"/>
        </w:rPr>
      </w:pPr>
    </w:p>
    <w:p>
      <w:pPr>
        <w:jc w:val="both"/>
        <w:ind w:left="1300" w:firstLine="5"/>
        <w:spacing w:after="0" w:line="257" w:lineRule="auto"/>
        <w:tabs>
          <w:tab w:leader="none" w:pos="21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Subdivide its shares (issued or unissued) or any of them, into shares of smaller nominal value than is fixed by these Articles (subject to the provisions of the Companies Law), and the resolution whereby any share is subdivided may determine that, as among the holders of the shares resulting from such subdivision, one or more of the shares may, as compared with the others, have any such preferred or deferred rights or rights of redemption or other special rights, or be subject to any such restrictions, as the Company has power to attach to unissued or new shares.</w:t>
      </w:r>
    </w:p>
    <w:p>
      <w:pPr>
        <w:spacing w:after="0" w:line="188" w:lineRule="exact"/>
        <w:rPr>
          <w:rFonts w:ascii="Arial" w:cs="Arial" w:eastAsia="Arial" w:hAnsi="Arial"/>
          <w:sz w:val="18"/>
          <w:szCs w:val="18"/>
          <w:color w:val="auto"/>
        </w:rPr>
      </w:pPr>
    </w:p>
    <w:p>
      <w:pPr>
        <w:jc w:val="both"/>
        <w:ind w:left="1300" w:firstLine="5"/>
        <w:spacing w:after="0" w:line="264" w:lineRule="auto"/>
        <w:tabs>
          <w:tab w:leader="none" w:pos="200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Cancel any shares which, at the date of the adoption of such resolution of the General Meeting, have not been allotted, so long as the Company is not under an obligation to allot these shares, and diminish the amount of its share capital by the amount of the shares so cancelled; or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Reduce its share capital in any manner, and with and subject to any incident authorized, and consent required, by Law.</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the same type of shares to one or more prices of shares.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10.2. With respect to any consolidation of issued shares into shares of larger nominal value, and with respect to any other action which may result in fractional shares, the Board may settle any difficulty which may arise with regard thereto, as it deems appropriate, including</w:t>
      </w:r>
      <w:r>
        <w:rPr>
          <w:rFonts w:ascii="Arial" w:cs="Arial" w:eastAsia="Arial" w:hAnsi="Arial"/>
          <w:sz w:val="18"/>
          <w:szCs w:val="18"/>
          <w:i w:val="1"/>
          <w:iCs w:val="1"/>
          <w:color w:val="auto"/>
        </w:rPr>
        <w:t>, inter alia</w:t>
      </w:r>
      <w:r>
        <w:rPr>
          <w:rFonts w:ascii="Arial" w:cs="Arial" w:eastAsia="Arial" w:hAnsi="Arial"/>
          <w:sz w:val="18"/>
          <w:szCs w:val="18"/>
          <w:color w:val="auto"/>
        </w:rPr>
        <w:t>, resort to one or more of the following actions:</w:t>
      </w:r>
    </w:p>
    <w:p>
      <w:pPr>
        <w:spacing w:after="0" w:line="181" w:lineRule="exact"/>
        <w:rPr>
          <w:sz w:val="20"/>
          <w:szCs w:val="20"/>
          <w:color w:val="auto"/>
        </w:rPr>
      </w:pPr>
    </w:p>
    <w:p>
      <w:pPr>
        <w:ind w:left="2000" w:hanging="695"/>
        <w:spacing w:after="0"/>
        <w:tabs>
          <w:tab w:leader="none" w:pos="2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Determine, as to the holder of shares so consolidated, which issued shares shall be consolidated into each share of larger nominal</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value;</w:t>
      </w:r>
    </w:p>
    <w:p>
      <w:pPr>
        <w:spacing w:after="0" w:line="210" w:lineRule="exact"/>
        <w:rPr>
          <w:rFonts w:ascii="Arial" w:cs="Arial" w:eastAsia="Arial" w:hAnsi="Arial"/>
          <w:sz w:val="16"/>
          <w:szCs w:val="16"/>
          <w:color w:val="auto"/>
        </w:rPr>
      </w:pPr>
    </w:p>
    <w:p>
      <w:pPr>
        <w:ind w:left="1300" w:firstLine="5"/>
        <w:spacing w:after="0" w:line="277" w:lineRule="auto"/>
        <w:tabs>
          <w:tab w:leader="none" w:pos="21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Allot, in contemplation of or subsequent to such consolidation or other action, such shares or fractional shares sufficient to preclude or remove fractional share holdings;</w:t>
      </w:r>
    </w:p>
    <w:p>
      <w:pPr>
        <w:spacing w:after="0" w:line="170" w:lineRule="exact"/>
        <w:rPr>
          <w:rFonts w:ascii="Arial" w:cs="Arial" w:eastAsia="Arial" w:hAnsi="Arial"/>
          <w:sz w:val="18"/>
          <w:szCs w:val="18"/>
          <w:color w:val="auto"/>
        </w:rPr>
      </w:pPr>
    </w:p>
    <w:p>
      <w:pPr>
        <w:ind w:left="1300" w:right="20" w:firstLine="5"/>
        <w:spacing w:after="0" w:line="277" w:lineRule="auto"/>
        <w:tabs>
          <w:tab w:leader="none" w:pos="20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Redeem, in the case of redeemable shares and subject to applicable Law, such shares or fractional shares sufficient to preclude or remove fractional share holdings;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9" w:name="page130"/>
    <w:bookmarkEnd w:id="129"/>
    <w:p>
      <w:pPr>
        <w:jc w:val="both"/>
        <w:ind w:left="1300" w:firstLine="5"/>
        <w:spacing w:after="0" w:line="259" w:lineRule="auto"/>
        <w:tabs>
          <w:tab w:leader="none" w:pos="200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Cause the transfer of fractional shares by certain Shareholders to other Shareholders thereof so as to most expediently preclude or remove any fractional shareholdings, and cause the transferees to pay the transferors the fair value of fractional shares so transferred, and the Board is hereby authorized to act as agent for the transferors and transferees with power of substitution for purposes of implementing the provisions of this Article 10.2.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w:t>
      </w:r>
    </w:p>
    <w:p>
      <w:pPr>
        <w:spacing w:after="0" w:line="225"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SSUANCE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ERTIFICATES</w:t>
      </w:r>
      <w:r>
        <w:rPr>
          <w:rFonts w:ascii="Arial" w:cs="Arial" w:eastAsia="Arial" w:hAnsi="Arial"/>
          <w:sz w:val="18"/>
          <w:szCs w:val="18"/>
          <w:b w:val="1"/>
          <w:bCs w:val="1"/>
          <w:color w:val="auto"/>
        </w:rPr>
        <w:t>; R</w:t>
      </w:r>
      <w:r>
        <w:rPr>
          <w:rFonts w:ascii="Arial" w:cs="Arial" w:eastAsia="Arial" w:hAnsi="Arial"/>
          <w:sz w:val="12"/>
          <w:szCs w:val="12"/>
          <w:b w:val="1"/>
          <w:bCs w:val="1"/>
          <w:color w:val="auto"/>
        </w:rPr>
        <w:t>EPLACEMENT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OST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ERTIFICATES</w:t>
      </w:r>
      <w:r>
        <w:rPr>
          <w:rFonts w:ascii="Arial" w:cs="Arial" w:eastAsia="Arial" w:hAnsi="Arial"/>
          <w:sz w:val="18"/>
          <w:szCs w:val="18"/>
          <w:b w:val="1"/>
          <w:bCs w:val="1"/>
          <w:color w:val="auto"/>
        </w:rPr>
        <w:t>; B</w:t>
      </w:r>
      <w:r>
        <w:rPr>
          <w:rFonts w:ascii="Arial" w:cs="Arial" w:eastAsia="Arial" w:hAnsi="Arial"/>
          <w:sz w:val="12"/>
          <w:szCs w:val="12"/>
          <w:b w:val="1"/>
          <w:bCs w:val="1"/>
          <w:color w:val="auto"/>
        </w:rPr>
        <w:t>EARER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11.1. The Company shall maintain a Shareholder Register, to be administered by the corporate secretary of the Company, subject to the oversight of the Board.</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11.2. Share certificates shall bear the signatures of one Director and the Company's Chief Executive Officer, or secretary, or of two Directors, or of any other person or persons authorized thereto by the Board, provided, however, that in the event the Board consists of one Director, the share certificate shall bear the signature of such Director or of any other person or persons authorized thereto by the Board. Every certificate shall bear the Company's printed name or its seal or stamp, if existent pursuant to Article 101.2.</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11.3. Each Shareholder shall be entitled to one certificate for all the shares of any class registered in his name, and if the Board so approves, to several certificates, each for one or more of such shares. Each certificate may specify the serial numbers of the shares represented thereby and may also specify the amount paid up thereon.</w:t>
      </w:r>
    </w:p>
    <w:p>
      <w:pPr>
        <w:spacing w:after="0" w:line="18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11.4. A share certificate registered in the names of two or more persons shall be delivered to the person first named in the Shareholder Register in respect of such co-ownership.</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11.5. If a share certificate is defaced, lost or destroyed, it may be replaced, upon payment of such fee, and upon the furnishing of such evidence of ownership and such indemnity, as the Board may deem appropriate.</w:t>
      </w:r>
    </w:p>
    <w:p>
      <w:pPr>
        <w:spacing w:after="0" w:line="17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The Company shall not issue bearer share certificates which grant the bearer rights in the shares specified therein.</w:t>
      </w:r>
    </w:p>
    <w:p>
      <w:pPr>
        <w:spacing w:after="0" w:line="221"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EGISTERED</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as otherwise provided in these Articles, the Company shall be entitled to treat the registered holder of any share as the absolute owner thereof, and, shall be entitled to treat the holder of any share in trust as a Shareholder and to issue to him a share certificate, provided that the trustee notify the Company of the identity of the beneficiary, and, accordingly, the Company shall not, except as ordered by a court of competent jurisdiction, or as required by Law, be bound to recognize any equitable or other claim to, or interest in, such share on the part of any other person.</w:t>
      </w:r>
    </w:p>
    <w:p>
      <w:pPr>
        <w:spacing w:after="0" w:line="167"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SSUANCE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 AND OTHER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13.1. The Board may issue shares and other Securities of the Company, up to the limit of the Company's authorized and registered share capital. If the Company's share capital includes a number of classes of shares and Securities, shares and securities exceeding the limit of the authorized and registered share capital of such class shall not be issued. In such regard, Securities convertible or exercisable into shares shall be deemed to have been converted or exercised on the date of their issue.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0" w:name="page131"/>
    <w:bookmarkEnd w:id="130"/>
    <w:p>
      <w:pPr>
        <w:jc w:val="both"/>
        <w:ind w:left="660"/>
        <w:spacing w:after="0" w:line="255" w:lineRule="auto"/>
        <w:rPr>
          <w:sz w:val="20"/>
          <w:szCs w:val="20"/>
          <w:color w:val="auto"/>
        </w:rPr>
      </w:pPr>
      <w:r>
        <w:rPr>
          <w:rFonts w:ascii="Arial" w:cs="Arial" w:eastAsia="Arial" w:hAnsi="Arial"/>
          <w:sz w:val="18"/>
          <w:szCs w:val="18"/>
          <w:color w:val="auto"/>
        </w:rPr>
        <w:t xml:space="preserve">13.2. The issuance of shares and other Securities, in accordance with Article 13.1, from time to time, shall be under the control of the Board, who shall have the power to allot shares and other Securities or otherwise dispose of them to such persons, on such terms and conditions (including </w:t>
      </w:r>
      <w:r>
        <w:rPr>
          <w:rFonts w:ascii="Arial" w:cs="Arial" w:eastAsia="Arial" w:hAnsi="Arial"/>
          <w:sz w:val="18"/>
          <w:szCs w:val="18"/>
          <w:i w:val="1"/>
          <w:iCs w:val="1"/>
          <w:color w:val="auto"/>
        </w:rPr>
        <w:t xml:space="preserve">inter alia </w:t>
      </w:r>
      <w:r>
        <w:rPr>
          <w:rFonts w:ascii="Arial" w:cs="Arial" w:eastAsia="Arial" w:hAnsi="Arial"/>
          <w:sz w:val="18"/>
          <w:szCs w:val="18"/>
          <w:color w:val="auto"/>
        </w:rPr>
        <w:t>terms relating to calls as set forth in Article 16 hereof), and either at par or at a premium, or, subject to the provisions of the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Law, at a discount, and at such times, as the Board may deem appropriate, and the power to give to any person the option to acquire from the Company any shares, either at par or at a premium, or, subject as aforesaid, at a discount, during such time and for such consideration as the Board may deem appropriate.</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13.3. The Board may determine to issue a series of bonds or other debt Securities, as part of its authority to take a loan on behalf of the Company, and within the limits of such authority.</w:t>
      </w:r>
    </w:p>
    <w:p>
      <w:pPr>
        <w:spacing w:after="0" w:line="170"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13.4. Subject to applicable Law, the Company is entitled to pay a commission, including underwriting fees, to any person, as determined by the Board. Payments, as stated in this Article 13.4, may be paid in cash or in Securities of the Company, or in a combination thereof.</w:t>
      </w:r>
    </w:p>
    <w:p>
      <w:pPr>
        <w:spacing w:after="0" w:line="14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13.5. The Company shall not issue a share, all or part of the consideration of which is not to be paid in cash, unless the consideration for the share was specified in a written document.</w:t>
      </w:r>
    </w:p>
    <w:p>
      <w:pPr>
        <w:spacing w:after="0" w:line="166"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REEMPTIVE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 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SSUANCE</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Notwithstanding any provision to the contrary hereunder or under any Law, no Shareholder shall have a Preemptive Right in connection with any share issuances by the Company (including the right to purchase its pro rata share of any shares issued by the Company).</w:t>
      </w:r>
    </w:p>
    <w:p>
      <w:pPr>
        <w:spacing w:after="0" w:line="143"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AYMENT IN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NSTALLMENTS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by the terms of issuance of any share, the whole or any part of the price thereof shall be payable in installments, every such installment shall, when due, be paid to the Company by the then registered holder(s) of the share or the person(s) entitled thereto.</w:t>
      </w:r>
    </w:p>
    <w:p>
      <w:pPr>
        <w:spacing w:after="0" w:line="166"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ALLS 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16.1. The Board may, from time to time, make such calls as it may deem appropriate upon Shareholders in respect of any sum unpaid in respect of shares held by such Shareholders which is not, by the terms of allotment thereof or otherwise, payable at a fixed time, and each Shareholder shall pay the amount of every call so made upon him (and of each installment thereof if the same is payable in installments), to the person(s) and at the time(s) and place(s) designated by the Board, as any such time(s) may be thereafter extended and/or such person(s) or place(s) changed. Unless otherwise stipulated in the resolution of the Board (and in the notice referred to in Article 16.1), each payment in response to a call shall be deemed to constitute a pro rata payment on account of all shares in respect of which such call was made.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1" w:name="page132"/>
    <w:bookmarkEnd w:id="131"/>
    <w:p>
      <w:pPr>
        <w:jc w:val="both"/>
        <w:ind w:left="660"/>
        <w:spacing w:after="0" w:line="302" w:lineRule="auto"/>
        <w:rPr>
          <w:sz w:val="20"/>
          <w:szCs w:val="20"/>
          <w:color w:val="auto"/>
        </w:rPr>
      </w:pPr>
      <w:r>
        <w:rPr>
          <w:rFonts w:ascii="Arial" w:cs="Arial" w:eastAsia="Arial" w:hAnsi="Arial"/>
          <w:sz w:val="16"/>
          <w:szCs w:val="16"/>
          <w:color w:val="auto"/>
        </w:rPr>
        <w:t>16.2. Notice of any call shall be given in writing to the applicable Shareholder(s) not less than fourteen (14) days prior to the time of payment, specifying the time and place of payment, and designating the person to whom and the place where such payment shall be made; provided, however, that before the time for any such payment, the Board may, by notice in writing to such Shareholder(s), revoke such call in whole or in part, extend such time, or alter such designated person and/or place. In the event of a call payable in installments, only one notice thereof need be given.</w:t>
      </w:r>
    </w:p>
    <w:p>
      <w:pPr>
        <w:spacing w:after="0" w:line="15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16.3. If, by the terms of allotment of any share or otherwise, any amount is made payable at any fixed time, every such amount shall be payable at such time as if it were a call duly made by the Board and of which due notice had been given, and all the provisions herein contained with respect to calls shall apply to each such amount.</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 and all interest payable thereon.</w:t>
      </w:r>
    </w:p>
    <w:p>
      <w:pPr>
        <w:spacing w:after="0" w:line="225"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16.5. Any amount unpaid in respect of a call shall bear interest from the date on which it is payable until actual payment thereof, at such rate (not exceeding the then prevailing debitory rate charged by leading commercial banks in Israel), and at such time(s) as the Board may prescribe.</w:t>
      </w:r>
    </w:p>
    <w:p>
      <w:pPr>
        <w:spacing w:after="0" w:line="12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16.6. A Shareholder shall not be entitled to his rights as shareholder, including dividend, unless he has paid all the amounts detailed in the calls made on him, together with interest and expenses, if any, unless otherwise prescribed by the Board.</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16.7. Upon the allotment of shares, the Board may provide for differences among the allottees of such shares as to the amount of calls and/or the times of payment thereof.</w:t>
      </w:r>
    </w:p>
    <w:p>
      <w:pPr>
        <w:spacing w:after="0" w:line="166"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REPAYMENT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With the approval of the Board, any Shareholder may prepay to the Company any amount not yet payable in respect of his shares. Nothing in this Article 17 shall derogate from the right of the Board to make any call before or after receipt by the Company of any such advance.</w:t>
      </w:r>
    </w:p>
    <w:p>
      <w:pPr>
        <w:spacing w:after="0" w:line="143"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ORFEITURE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URRENDER</w:t>
      </w:r>
    </w:p>
    <w:p>
      <w:pPr>
        <w:spacing w:after="0" w:line="229"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18.1. If any Shareholder fails to pay any amount payable in respect of a call, or interest thereon as provided herein, on or before the day fixed for payment of the same, the Company, by resolution of the Board, may at any time thereafter, so long as such amount or interest remains unpaid, forfeit all or any of the shares in respect of which such call had been made. Any expense incurred by the Company in attempting to collect any such amount or interest, including,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attorneys' fees and costs of suit, shall be added to, and shall, for all purposes (including the accrual of interest thereon), constitute a part of the amount payable to the Company in respect of such call.</w:t>
      </w:r>
    </w:p>
    <w:p>
      <w:pPr>
        <w:spacing w:after="0" w:line="173"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18.2. Upon the adoption of a resolution of forfeiture, the Board shall cause notice thereof to be given to the Shareholder whose shares are the subject of such forfeiture, which notice shall state that, in the event of the failure to pay the entire amount so payable within a period stipulated in the notice (which period shall not be less than fourteen (14) days and which may be extended by the Board), such shares shall be </w:t>
      </w:r>
      <w:r>
        <w:rPr>
          <w:rFonts w:ascii="Arial" w:cs="Arial" w:eastAsia="Arial" w:hAnsi="Arial"/>
          <w:sz w:val="17"/>
          <w:szCs w:val="17"/>
          <w:i w:val="1"/>
          <w:iCs w:val="1"/>
          <w:color w:val="auto"/>
        </w:rPr>
        <w:t>ipso facto</w:t>
      </w:r>
      <w:r>
        <w:rPr>
          <w:rFonts w:ascii="Arial" w:cs="Arial" w:eastAsia="Arial" w:hAnsi="Arial"/>
          <w:sz w:val="17"/>
          <w:szCs w:val="17"/>
          <w:color w:val="auto"/>
        </w:rPr>
        <w:t xml:space="preserve"> forfeited, provided, however, that, prior to the expiration of such period, the Board may nullify such resolution of forfeiture, but no such nullification shall estop the Board from adopting a further resolution of forfeiture in respect of the non-payment of such amount.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2" w:name="page133"/>
    <w:bookmarkEnd w:id="132"/>
    <w:p>
      <w:pPr>
        <w:jc w:val="both"/>
        <w:ind w:left="660"/>
        <w:spacing w:after="0" w:line="277" w:lineRule="auto"/>
        <w:rPr>
          <w:sz w:val="20"/>
          <w:szCs w:val="20"/>
          <w:color w:val="auto"/>
        </w:rPr>
      </w:pPr>
      <w:r>
        <w:rPr>
          <w:rFonts w:ascii="Arial" w:cs="Arial" w:eastAsia="Arial" w:hAnsi="Arial"/>
          <w:sz w:val="18"/>
          <w:szCs w:val="18"/>
          <w:color w:val="auto"/>
        </w:rPr>
        <w:t>18.3. Whenever shares are forfeited as herein provided, all distributions theretofore declared in respect thereof and not actually paid or distributed shall be deemed to have been forfeited at the same time.</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The Company, by resolution of the Board, may accept the voluntary surrender of any share.</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18.5. Any share forfeited or surrendered as provided herein shall become the property of the Company, and the same, subject to the provisions of these Articles, may be sold, re-allotted or otherwise disposed of as the Board deems appropriate. Any such share shall become a dormant share, and shall not confer any rights, so long as it is held by the Company.</w:t>
      </w:r>
    </w:p>
    <w:p>
      <w:pPr>
        <w:spacing w:after="0" w:line="181"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18.6. Any Shareholder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16.4 above, and the Board, in its discretion, may enforce the payment of such moneys, or any part thereof, but shall not be under any obligation to do so. In the event of such forfeiture or surrender, the Company, by resolution of the Board, may accelerate the date(s) of payment of any or all amounts then owing by the Shareholder in question (but not yet due) in respect of all shares owned by such Shareholder, solely or jointly with another, and in respect of any other matter or transaction whatsoever.</w:t>
      </w:r>
    </w:p>
    <w:p>
      <w:pPr>
        <w:spacing w:after="0" w:line="1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18.7. The Board may at any time, before any share so forfeited or surrendered shall have been sold, re-allotted or otherwise disposed of, nullify the forfeiture or surrender on such conditions as it deems appropriate, but no such nullification shall estop the Board from re-exercising its powers of forfeiture pursuant to this Article 18.</w:t>
      </w:r>
    </w:p>
    <w:p>
      <w:pPr>
        <w:spacing w:after="0" w:line="177"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IEN</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19.1. Except to the extent the same may be waived or subordinated in writing, the Company shall have a first and paramount lien upon all the shares registered in the name of each Shareholder which are not fully paid up (without regard to any equitable or other claim or interest in such shares on the part of any other person), and upon the proceeds of the sale thereof, for his debts, liabilities and engagements arising from any cause whatsoever, solely or jointly with another, to or with the Company, whether the period for the payment, fulfillment or discharge thereof shall have actually arrived or not. Such lien shall extend to all distributions from time to time declared in respect of such shares. Unless otherwise provided, the registration by the Company of a transfer of shares shall be deemed to be a waiver on the part of the Company of any lien existing on such shares immediately prior to such transfer.</w:t>
      </w:r>
    </w:p>
    <w:p>
      <w:pPr>
        <w:spacing w:after="0" w:line="189"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19.2. The Board may cause the Company to sell any shares subject to such lien when any such debt, liability or engagement has matured, in such manner as the Board may deem appropriate, but no such sale shall be made unless such debt, liability or engagement has not been satisfied within fourteen (14) days after written notice of the Company’s intention to sell shall have been served on such Shareholder, his executors or administrators.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3" w:name="page134"/>
    <w:bookmarkEnd w:id="133"/>
    <w:p>
      <w:pPr>
        <w:jc w:val="both"/>
        <w:ind w:left="660"/>
        <w:spacing w:after="0" w:line="264" w:lineRule="auto"/>
        <w:rPr>
          <w:sz w:val="20"/>
          <w:szCs w:val="20"/>
          <w:color w:val="auto"/>
        </w:rPr>
      </w:pPr>
      <w:r>
        <w:rPr>
          <w:rFonts w:ascii="Arial" w:cs="Arial" w:eastAsia="Arial" w:hAnsi="Arial"/>
          <w:sz w:val="18"/>
          <w:szCs w:val="18"/>
          <w:color w:val="auto"/>
        </w:rPr>
        <w:t>19.3. The net proceeds of any such sale, after payment of the costs thereof, shall be applied in or toward satisfaction of the debts, liabilities or engagements of such Shareholder (whether or not the same have matured), or any specific part of the same (as the Board may determine), and the balance, if any, shall be paid to the Shareholder, his executors, administrators or assigns.</w:t>
      </w:r>
    </w:p>
    <w:p>
      <w:pPr>
        <w:spacing w:after="0" w:line="177"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ALE AFTER</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ORFEITURE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URRENDER OR IN</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NFORCEMENT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IEN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any sale of shares after forfeiture or surrender or for enforcing a lien, the Board may appoint a person to execute an instrument of transfer of the shares so sold and cause the purchaser's name to be entered in the Shareholder Register in respect of such shares, and the purchaser shall not be bound to see to the regularity of the proceedings, or to the application of the purchase money, and after his name has been entered in the Shareholder Register in respect of such shares, the validity of the sale shall not be impeached by any person, and the remedy of any person aggrieved by the sale shall be in damages only and against the Company exclusively.</w:t>
      </w:r>
    </w:p>
    <w:p>
      <w:pPr>
        <w:spacing w:after="0" w:line="184"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EDEEMABLE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may, subject to applicable Law, issue redeemable Securities, with such rights and on such conditions as the Board prescribes, and redeem the same.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 OF SHARES</w:t>
      </w:r>
    </w:p>
    <w:p>
      <w:pPr>
        <w:spacing w:after="0" w:line="225"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RANSFER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L</w:t>
      </w:r>
      <w:r>
        <w:rPr>
          <w:rFonts w:ascii="Arial" w:cs="Arial" w:eastAsia="Arial" w:hAnsi="Arial"/>
          <w:sz w:val="12"/>
          <w:szCs w:val="12"/>
          <w:b w:val="1"/>
          <w:bCs w:val="1"/>
          <w:color w:val="auto"/>
        </w:rPr>
        <w:t>IMITATIONS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22.1. No sale, assignment, conveyance, pledge, grant of any security interest or gift, or any other disposition or transfer (collectively "</w:t>
      </w:r>
      <w:r>
        <w:rPr>
          <w:rFonts w:ascii="Arial" w:cs="Arial" w:eastAsia="Arial" w:hAnsi="Arial"/>
          <w:sz w:val="18"/>
          <w:szCs w:val="18"/>
          <w:b w:val="1"/>
          <w:bCs w:val="1"/>
          <w:color w:val="auto"/>
        </w:rPr>
        <w:t>Transfer</w:t>
      </w:r>
      <w:r>
        <w:rPr>
          <w:rFonts w:ascii="Arial" w:cs="Arial" w:eastAsia="Arial" w:hAnsi="Arial"/>
          <w:sz w:val="18"/>
          <w:szCs w:val="18"/>
          <w:color w:val="auto"/>
        </w:rPr>
        <w:t>") of Company shares shall be effective unless such Transfer is effected in compliance with the provisions of this Article 22 and Articles 23 and 24. Any proposed, direct or indirect, Transfer to a competitor of the Company shall be invalid. Any proposed Transfer that would result in the Company having more than 50 shareholders shall be subject to a prior approval of the Board. The Company shall refuse to register a Transfer of shares in the event that such a Transfer is in violation of these Articles. The Company may refuse to register a Transfer of Shares if the transferee does not agree, in writing, prior to such Transfer, to assume and be bound by all obligations of the transferor under any instrument and agreement between the transferor and the Company.</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Notwithstanding the above, any Transfer of shares by a Shareholder to any of such Shareholder's Permitted Transferees (as confirmed in writing to the Company by the transferor and transferee)shall not require the approval of the Board, provided that any such Permitted Transferee undertake in writing towards the Company and the Shareholders to assume and be bound by all obligations of the transferor (in its capacity as a shareholder of the Company) under any instrument and agreement involving the transferor and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4" w:name="page135"/>
    <w:bookmarkEnd w:id="134"/>
    <w:p>
      <w:pPr>
        <w:jc w:val="both"/>
        <w:spacing w:after="0" w:line="272" w:lineRule="auto"/>
        <w:rPr>
          <w:sz w:val="20"/>
          <w:szCs w:val="20"/>
          <w:color w:val="auto"/>
        </w:rPr>
      </w:pPr>
      <w:r>
        <w:rPr>
          <w:rFonts w:ascii="Arial" w:cs="Arial" w:eastAsia="Arial" w:hAnsi="Arial"/>
          <w:sz w:val="17"/>
          <w:szCs w:val="17"/>
          <w:color w:val="auto"/>
        </w:rPr>
        <w:t>22.2. No Transfer of shares shall be registered unless the Board approved that such shares are fully paid for and the Company receives a duly executed deed of transfer or other proper instrument of transfer (in form and substance satisfactory to the Board or the corporate secretary of the Company), together with the share certificate(s) and such other evidence of title as the Board or the corporate secretary of the Company may reasonably require. Until the transferee has been registered in the Shareholder Register in respect of the shares so transferred, the Company may continue to regard the transferor as the owner thereof. The Board may, from time to time, prescribe a fee for the registration of a Transfer. A deed of transfer shall be in the following form or in any substantially similar form, including any such form as is acceptable to the transfer agent for the Company’s shares, or in any form otherwise approved by the Board or the corporate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663690" cy="2418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63690" cy="241808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u w:val="single" w:color="auto"/>
          <w:color w:val="auto"/>
        </w:rPr>
        <w:t>Deed of Transfer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  _________,  (hereinafter:  the  “</w:t>
      </w:r>
      <w:r>
        <w:rPr>
          <w:rFonts w:ascii="Arial" w:cs="Arial" w:eastAsia="Arial" w:hAnsi="Arial"/>
          <w:sz w:val="17"/>
          <w:szCs w:val="17"/>
          <w:b w:val="1"/>
          <w:bCs w:val="1"/>
          <w:color w:val="auto"/>
        </w:rPr>
        <w:t>Transferor</w:t>
      </w:r>
      <w:r>
        <w:rPr>
          <w:rFonts w:ascii="Arial" w:cs="Arial" w:eastAsia="Arial" w:hAnsi="Arial"/>
          <w:sz w:val="17"/>
          <w:szCs w:val="17"/>
          <w:color w:val="auto"/>
        </w:rPr>
        <w:t>”)  of  ________________,  do  hereby  transfer,  in  consideration  for  ____________,  to</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 (hereinafter: the “</w:t>
      </w:r>
      <w:r>
        <w:rPr>
          <w:rFonts w:ascii="Arial" w:cs="Arial" w:eastAsia="Arial" w:hAnsi="Arial"/>
          <w:sz w:val="18"/>
          <w:szCs w:val="18"/>
          <w:b w:val="1"/>
          <w:bCs w:val="1"/>
          <w:color w:val="auto"/>
        </w:rPr>
        <w:t>Transferee</w:t>
      </w:r>
      <w:r>
        <w:rPr>
          <w:rFonts w:ascii="Arial" w:cs="Arial" w:eastAsia="Arial" w:hAnsi="Arial"/>
          <w:sz w:val="18"/>
          <w:szCs w:val="18"/>
          <w:color w:val="auto"/>
        </w:rPr>
        <w:t>”), ______________share(s) NIS __ par value each of Alcobra Ltd. (hereinafter: the</w:t>
      </w:r>
    </w:p>
    <w:p>
      <w:pPr>
        <w:spacing w:after="0" w:line="9" w:lineRule="exact"/>
        <w:rPr>
          <w:sz w:val="20"/>
          <w:szCs w:val="20"/>
          <w:color w:val="auto"/>
        </w:rPr>
      </w:pPr>
    </w:p>
    <w:p>
      <w:pPr>
        <w:jc w:val="both"/>
        <w:ind w:left="60" w:right="340"/>
        <w:spacing w:after="0" w:line="302" w:lineRule="auto"/>
        <w:rPr>
          <w:sz w:val="20"/>
          <w:szCs w:val="20"/>
          <w:color w:val="auto"/>
        </w:rPr>
      </w:pPr>
      <w:r>
        <w:rPr>
          <w:rFonts w:ascii="Arial" w:cs="Arial" w:eastAsia="Arial" w:hAnsi="Arial"/>
          <w:sz w:val="16"/>
          <w:szCs w:val="16"/>
          <w:b w:val="1"/>
          <w:bCs w:val="1"/>
          <w:color w:val="auto"/>
        </w:rPr>
        <w:t>“Company</w:t>
      </w:r>
      <w:r>
        <w:rPr>
          <w:rFonts w:ascii="Arial" w:cs="Arial" w:eastAsia="Arial" w:hAnsi="Arial"/>
          <w:sz w:val="16"/>
          <w:szCs w:val="16"/>
          <w:color w:val="auto"/>
        </w:rPr>
        <w:t>”), standing in my name in the books of the Company, to be held by the Transferee and/or his executors, administrators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and subject to the same terms and conditions under which I held the same at the time of execution hereof; and I the Transferee, do hereby accept the above-mentioned share(s) in accordance with and subject to all aforesaid terms and conditions.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witness whereof we hereby execute this Deed of Transfer, this ___day of ______, 20__.</w:t>
      </w:r>
    </w:p>
    <w:p>
      <w:pPr>
        <w:sectPr>
          <w:pgSz w:w="11900" w:h="16838" w:orient="portrait"/>
          <w:cols w:equalWidth="0" w:num="1">
            <w:col w:w="10760"/>
          </w:cols>
          <w:pgMar w:left="900" w:top="881" w:right="239" w:bottom="1440" w:gutter="0" w:footer="0" w:header="0"/>
        </w:sectPr>
      </w:pPr>
    </w:p>
    <w:p>
      <w:pPr>
        <w:spacing w:after="0" w:line="3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Transferor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The Transferee</w:t>
      </w:r>
    </w:p>
    <w:p>
      <w:pPr>
        <w:spacing w:after="0" w:line="151" w:lineRule="exact"/>
        <w:rPr>
          <w:sz w:val="20"/>
          <w:szCs w:val="20"/>
          <w:color w:val="auto"/>
        </w:rPr>
      </w:pPr>
    </w:p>
    <w:p>
      <w:pPr>
        <w:sectPr>
          <w:pgSz w:w="11900" w:h="16838" w:orient="portrait"/>
          <w:cols w:equalWidth="0" w:num="2">
            <w:col w:w="5940" w:space="720"/>
            <w:col w:w="4100"/>
          </w:cols>
          <w:pgMar w:left="900" w:top="881" w:right="2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Name:_____________________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 ______________________</w:t>
      </w:r>
    </w:p>
    <w:p>
      <w:pPr>
        <w:spacing w:after="0" w:line="140" w:lineRule="exact"/>
        <w:rPr>
          <w:sz w:val="20"/>
          <w:szCs w:val="20"/>
          <w:color w:val="auto"/>
        </w:rPr>
      </w:pPr>
    </w:p>
    <w:p>
      <w:pPr>
        <w:sectPr>
          <w:pgSz w:w="11900" w:h="16838" w:orient="portrait"/>
          <w:cols w:equalWidth="0" w:num="2">
            <w:col w:w="5940" w:space="720"/>
            <w:col w:w="4100"/>
          </w:cols>
          <w:pgMar w:left="900" w:top="881" w:right="2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Signature: 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Signature: ___________________</w:t>
      </w:r>
    </w:p>
    <w:p>
      <w:pPr>
        <w:spacing w:after="0" w:line="200" w:lineRule="exact"/>
        <w:rPr>
          <w:sz w:val="20"/>
          <w:szCs w:val="20"/>
          <w:color w:val="auto"/>
        </w:rPr>
      </w:pPr>
    </w:p>
    <w:p>
      <w:pPr>
        <w:sectPr>
          <w:pgSz w:w="11900" w:h="16838" w:orient="portrait"/>
          <w:cols w:equalWidth="0" w:num="2">
            <w:col w:w="5940" w:space="720"/>
            <w:col w:w="4100"/>
          </w:cols>
          <w:pgMar w:left="900" w:top="881" w:right="2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22.3. In case of a death of a Shareholder, the Company shall recognize the custodian or administrator of the estate or executor of the will, and in the absence of such, the lawful heirs of the Shareholder, as the only holders of the right for the shares of the deceased Shareholder, after receipt of evidence to the entitlement thereto, as determined by the Board.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22.4. The Company may recognize the receiver or liquidator of any corporate Shareholder in liquidation or dissolution, or the receiver or trustee in bankruptcy of any Shareholder, as being entitled to the shares registered in the name of such Shareholder, after receipt of evidence to the entitlement thereto, as determined by the Board.</w:t>
      </w:r>
    </w:p>
    <w:p>
      <w:pPr>
        <w:spacing w:after="0" w:line="3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type w:val="continuous"/>
        </w:sectPr>
      </w:pPr>
    </w:p>
    <w:bookmarkStart w:id="135" w:name="page136"/>
    <w:bookmarkEnd w:id="135"/>
    <w:p>
      <w:pPr>
        <w:jc w:val="both"/>
        <w:ind w:left="660"/>
        <w:spacing w:after="0" w:line="276" w:lineRule="auto"/>
        <w:rPr>
          <w:sz w:val="20"/>
          <w:szCs w:val="20"/>
          <w:color w:val="auto"/>
        </w:rPr>
      </w:pPr>
      <w:r>
        <w:rPr>
          <w:rFonts w:ascii="Arial" w:cs="Arial" w:eastAsia="Arial" w:hAnsi="Arial"/>
          <w:sz w:val="17"/>
          <w:szCs w:val="17"/>
          <w:color w:val="auto"/>
        </w:rPr>
        <w:t>22.5. A person acquiring a right in shares as a result of being a custodian, administrator of the estate, executor of a will or the heir of a Shareholder, or a receiver, liquidator or a trustee in a bankruptcy of a Shareholder or according to another provision of Law, is entitled, after providing evidence of his right to the satisfaction of the Board, and after undertaking in writing towards the Company and the Shareholders to assume and be bound by all obligations of such Shareholder under any instrument and agreement involving such Shareholder and the Company, to be registered as the Shareholder or to transfer such shares to another person, subject to the provisions of this Article 22.</w:t>
      </w:r>
    </w:p>
    <w:p>
      <w:pPr>
        <w:spacing w:after="0" w:line="173"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 xml:space="preserve">22.6. Unless otherwise provided elsewhere, the provisions of this Article 22 shall also apply to other Securities issued by the Company,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IGHTS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EFUSAL</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23.1. Without derogating from the provisions of Article 22 above, and unless explicitly set forth herein, until the consummation of an IPO the following provisions of Article 23 shall govern any transfer of shares in the Company other than: (i) to a Permitted Transferee, or (ii) in a transaction made in accordance with Article 24 below.</w:t>
      </w:r>
    </w:p>
    <w:p>
      <w:pPr>
        <w:spacing w:after="0" w:line="177" w:lineRule="exact"/>
        <w:rPr>
          <w:sz w:val="20"/>
          <w:szCs w:val="20"/>
          <w:color w:val="auto"/>
        </w:rPr>
      </w:pPr>
    </w:p>
    <w:p>
      <w:pPr>
        <w:jc w:val="both"/>
        <w:ind w:left="660"/>
        <w:spacing w:after="0" w:line="267" w:lineRule="auto"/>
        <w:rPr>
          <w:sz w:val="20"/>
          <w:szCs w:val="20"/>
          <w:color w:val="auto"/>
        </w:rPr>
      </w:pPr>
      <w:r>
        <w:rPr>
          <w:rFonts w:ascii="Arial" w:cs="Arial" w:eastAsia="Arial" w:hAnsi="Arial"/>
          <w:sz w:val="17"/>
          <w:szCs w:val="17"/>
          <w:color w:val="auto"/>
        </w:rPr>
        <w:t xml:space="preserve">23.2. Any Shareholder (the </w:t>
      </w:r>
      <w:r>
        <w:rPr>
          <w:rFonts w:ascii="Arial" w:cs="Arial" w:eastAsia="Arial" w:hAnsi="Arial"/>
          <w:sz w:val="17"/>
          <w:szCs w:val="17"/>
          <w:b w:val="1"/>
          <w:bCs w:val="1"/>
          <w:color w:val="auto"/>
        </w:rPr>
        <w:t>“Offeror”</w:t>
      </w:r>
      <w:r>
        <w:rPr>
          <w:rFonts w:ascii="Arial" w:cs="Arial" w:eastAsia="Arial" w:hAnsi="Arial"/>
          <w:sz w:val="17"/>
          <w:szCs w:val="17"/>
          <w:color w:val="auto"/>
        </w:rPr>
        <w:t>) proposing to Transfer all or any of his or her shares in the Company to a Person other than to a Permitted Transferee of the Offeror shall first request by written notice to the Company, which notice shall include the number and class of the shares for sale (the "</w:t>
      </w:r>
      <w:r>
        <w:rPr>
          <w:rFonts w:ascii="Arial" w:cs="Arial" w:eastAsia="Arial" w:hAnsi="Arial"/>
          <w:sz w:val="17"/>
          <w:szCs w:val="17"/>
          <w:b w:val="1"/>
          <w:bCs w:val="1"/>
          <w:color w:val="auto"/>
        </w:rPr>
        <w:t>Offered Shares</w:t>
      </w:r>
      <w:r>
        <w:rPr>
          <w:rFonts w:ascii="Arial" w:cs="Arial" w:eastAsia="Arial" w:hAnsi="Arial"/>
          <w:sz w:val="17"/>
          <w:szCs w:val="17"/>
          <w:color w:val="auto"/>
        </w:rPr>
        <w:t>"), the proposed transferee, the proposed price and terms of payment and any other term related to the sale of the Offered Shares, to offer the Offered Shares on the terms of the proposed transfer to each Shareholder holding together with its Permitted Transferees at least 1% of the issued and outstanding share capital of the Company (each, an “</w:t>
      </w:r>
      <w:r>
        <w:rPr>
          <w:rFonts w:ascii="Arial" w:cs="Arial" w:eastAsia="Arial" w:hAnsi="Arial"/>
          <w:sz w:val="17"/>
          <w:szCs w:val="17"/>
          <w:b w:val="1"/>
          <w:bCs w:val="1"/>
          <w:color w:val="auto"/>
        </w:rPr>
        <w:t>Eligible Shareholder</w:t>
      </w:r>
      <w:r>
        <w:rPr>
          <w:rFonts w:ascii="Arial" w:cs="Arial" w:eastAsia="Arial" w:hAnsi="Arial"/>
          <w:sz w:val="17"/>
          <w:szCs w:val="17"/>
          <w:color w:val="auto"/>
        </w:rPr>
        <w:t xml:space="preserve">”). The Company shall comply with such request by sending the Eligible Shareholders (collectively, the </w:t>
      </w:r>
      <w:r>
        <w:rPr>
          <w:rFonts w:ascii="Arial" w:cs="Arial" w:eastAsia="Arial" w:hAnsi="Arial"/>
          <w:sz w:val="17"/>
          <w:szCs w:val="17"/>
          <w:b w:val="1"/>
          <w:bCs w:val="1"/>
          <w:color w:val="auto"/>
        </w:rPr>
        <w:t>“Offerees”</w:t>
      </w:r>
      <w:r>
        <w:rPr>
          <w:rFonts w:ascii="Arial" w:cs="Arial" w:eastAsia="Arial" w:hAnsi="Arial"/>
          <w:sz w:val="17"/>
          <w:szCs w:val="17"/>
          <w:color w:val="auto"/>
        </w:rPr>
        <w:t>) a written notice (the "</w:t>
      </w:r>
      <w:r>
        <w:rPr>
          <w:rFonts w:ascii="Arial" w:cs="Arial" w:eastAsia="Arial" w:hAnsi="Arial"/>
          <w:sz w:val="17"/>
          <w:szCs w:val="17"/>
          <w:b w:val="1"/>
          <w:bCs w:val="1"/>
          <w:color w:val="auto"/>
        </w:rPr>
        <w:t>Offer Notice</w:t>
      </w:r>
      <w:r>
        <w:rPr>
          <w:rFonts w:ascii="Arial" w:cs="Arial" w:eastAsia="Arial" w:hAnsi="Arial"/>
          <w:sz w:val="17"/>
          <w:szCs w:val="17"/>
          <w:color w:val="auto"/>
        </w:rPr>
        <w:t xml:space="preserve">") stating therein the proposed transferee(s) and the proposed terms of sale of the Offered Shares as specified in the written request of the Offeror. Any Offeree may accept such offer (under the same terms set forth in the Offer Notice) in respect of all or any of the Offered Shares by giving the Offeror (with a copy to the Company) notice to that effect within thirty (30) days after receipt of the Offer Notice. An Eligible Shareholder shall be entitled to freely assign this Right of First Refusal to any of its Permitted Transferees,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assignment does not result in the Company having Shareholders in a number exceeding the maximum number set forth in Article 2.1 above. Failure by an Offeree to timely accept such offer, in whole or in part, shall be deemed as a decision not to purchase any of the Offered Shares by such Offeree. If the acceptances, in the aggregate, are in respect of all of, or more than, the Offered Shares, then the accepting Offerees shall be entitled to acquire the Offered Shares, on the terms aforementioned, in proportion to their respective holdings of shares (among the Offerees) on the date the Offer Notice was delivered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Offeree shall be entitled or required to acquire under the provisions of this Article 23 more than the number of Offered Shares initially accepted by such Offeree, and upon the allocation to him of the full number of shares so accepted, he shall be disregarded in any subsequent computations and allocations hereunder. Any shares remaining after the computation of such respective entitlements shall be re-allocated among the Offerees who accepted such offer (other than those to be disregarded as aforesaid), in the same manner, until one hundred percent (100%) of the Offered Shares have been allocated as aforesaid.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6" w:name="page137"/>
    <w:bookmarkEnd w:id="136"/>
    <w:p>
      <w:pPr>
        <w:jc w:val="both"/>
        <w:ind w:left="660"/>
        <w:spacing w:after="0" w:line="290" w:lineRule="auto"/>
        <w:rPr>
          <w:sz w:val="20"/>
          <w:szCs w:val="20"/>
          <w:color w:val="auto"/>
        </w:rPr>
      </w:pPr>
      <w:r>
        <w:rPr>
          <w:rFonts w:ascii="Arial" w:cs="Arial" w:eastAsia="Arial" w:hAnsi="Arial"/>
          <w:sz w:val="16"/>
          <w:szCs w:val="16"/>
          <w:color w:val="auto"/>
        </w:rPr>
        <w:t xml:space="preserve">23.3. If no acceptance have been received or the acceptances by Offerees, in the aggregate, are in respect of less than one hundred percent (100%) of the Offered Shares, then the accepting Offerees shall not be entitled to acquire any Offered Shares, and the Offeror, at the expiration of the aforementioned thirty (30) day period, shall be entitled, subject to compliance with the provisions of these Articles, to transfer the Offered Shares to the proposed transferee(s) identified in the Offer Notice at a price not lower and on terms no more favorable than those stated in the Offer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Offered Shares are not transferred within ninety (90) days after the expiration of such thirty (30) day period, any subsequent sale shall again be subject to the provisions of this Article 23,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proposed transferee has delivered to the Company’s Board in advance a written document in which such transferee agrees to assume such shares and rights to, in connection with, or in respect of such shares subject to any and all obligations and restrictions pursuant to which the transferor held such securities.</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23.4. The right of first refusal granted under this Article 23 shall not apply to any transfer of shares from a Founder to Hadasit under a certain Option to Purchase Ordinary Shares agreement by and between Hadasit and each of the Founders dated May 27, 2008. This Article 23.4 may only be amended or deleted after the receipt of Hadasit's written consent to such amendment or deletion.</w:t>
      </w:r>
    </w:p>
    <w:p>
      <w:pPr>
        <w:spacing w:after="0" w:line="177"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LONG</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 xml:space="preserve">24.1. Until the consummation of an IPO, if (i)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from any Person (the </w:t>
      </w:r>
      <w:r>
        <w:rPr>
          <w:rFonts w:ascii="Arial" w:cs="Arial" w:eastAsia="Arial" w:hAnsi="Arial"/>
          <w:sz w:val="16"/>
          <w:szCs w:val="16"/>
          <w:b w:val="1"/>
          <w:bCs w:val="1"/>
          <w:color w:val="auto"/>
        </w:rPr>
        <w:t>“Third Party”</w:t>
      </w:r>
      <w:r>
        <w:rPr>
          <w:rFonts w:ascii="Arial" w:cs="Arial" w:eastAsia="Arial" w:hAnsi="Arial"/>
          <w:sz w:val="16"/>
          <w:szCs w:val="16"/>
          <w:color w:val="auto"/>
        </w:rPr>
        <w:t>) is made to purchase share capital of the Company (the "</w:t>
      </w:r>
      <w:r>
        <w:rPr>
          <w:rFonts w:ascii="Arial" w:cs="Arial" w:eastAsia="Arial" w:hAnsi="Arial"/>
          <w:sz w:val="16"/>
          <w:szCs w:val="16"/>
          <w:b w:val="1"/>
          <w:bCs w:val="1"/>
          <w:color w:val="auto"/>
        </w:rPr>
        <w:t>Proposed Transaction</w:t>
      </w:r>
      <w:r>
        <w:rPr>
          <w:rFonts w:ascii="Arial" w:cs="Arial" w:eastAsia="Arial" w:hAnsi="Arial"/>
          <w:sz w:val="16"/>
          <w:szCs w:val="16"/>
          <w:color w:val="auto"/>
        </w:rPr>
        <w:t>"), (ii) such sale is conditioned upon the sale of all the share capital of the Company to the Third Party, and</w:t>
      </w:r>
    </w:p>
    <w:p>
      <w:pPr>
        <w:spacing w:after="0" w:line="1" w:lineRule="exact"/>
        <w:rPr>
          <w:sz w:val="20"/>
          <w:szCs w:val="20"/>
          <w:color w:val="auto"/>
        </w:rPr>
      </w:pPr>
    </w:p>
    <w:p>
      <w:pPr>
        <w:jc w:val="both"/>
        <w:ind w:left="660" w:hanging="4"/>
        <w:spacing w:after="0" w:line="270" w:lineRule="auto"/>
        <w:tabs>
          <w:tab w:leader="none" w:pos="97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Shareholders holding at least two thirds (2/3) of the Company's issued and outstanding share capital (the "</w:t>
      </w:r>
      <w:r>
        <w:rPr>
          <w:rFonts w:ascii="Arial" w:cs="Arial" w:eastAsia="Arial" w:hAnsi="Arial"/>
          <w:sz w:val="17"/>
          <w:szCs w:val="17"/>
          <w:b w:val="1"/>
          <w:bCs w:val="1"/>
          <w:color w:val="auto"/>
        </w:rPr>
        <w:t>Proposing Shareholders</w:t>
      </w:r>
      <w:r>
        <w:rPr>
          <w:rFonts w:ascii="Arial" w:cs="Arial" w:eastAsia="Arial" w:hAnsi="Arial"/>
          <w:sz w:val="17"/>
          <w:szCs w:val="17"/>
          <w:color w:val="auto"/>
        </w:rPr>
        <w:t>") propose to sell all of their shares to such Third Party, then all remaining Shareholders (the "</w:t>
      </w:r>
      <w:r>
        <w:rPr>
          <w:rFonts w:ascii="Arial" w:cs="Arial" w:eastAsia="Arial" w:hAnsi="Arial"/>
          <w:sz w:val="17"/>
          <w:szCs w:val="17"/>
          <w:b w:val="1"/>
          <w:bCs w:val="1"/>
          <w:color w:val="auto"/>
        </w:rPr>
        <w:t>Remaining Shareholders</w:t>
      </w:r>
      <w:r>
        <w:rPr>
          <w:rFonts w:ascii="Arial" w:cs="Arial" w:eastAsia="Arial" w:hAnsi="Arial"/>
          <w:sz w:val="17"/>
          <w:szCs w:val="17"/>
          <w:color w:val="auto"/>
        </w:rPr>
        <w:t>") will be required, if so demanded in writing by the Proposing Shareholders (the "</w:t>
      </w:r>
      <w:r>
        <w:rPr>
          <w:rFonts w:ascii="Arial" w:cs="Arial" w:eastAsia="Arial" w:hAnsi="Arial"/>
          <w:sz w:val="17"/>
          <w:szCs w:val="17"/>
          <w:b w:val="1"/>
          <w:bCs w:val="1"/>
          <w:color w:val="auto"/>
        </w:rPr>
        <w:t>Bring Along Notice</w:t>
      </w:r>
      <w:r>
        <w:rPr>
          <w:rFonts w:ascii="Arial" w:cs="Arial" w:eastAsia="Arial" w:hAnsi="Arial"/>
          <w:sz w:val="17"/>
          <w:szCs w:val="17"/>
          <w:color w:val="auto"/>
        </w:rPr>
        <w:t>"), to sell all of their shares to such Third Party upon the terms and conditions of the Proposed Transaction; provided however that the consideration payable with respect to each share in each class or series as a result of such transaction is allocated among the Shareholders in accordance with Article 95. The aforesaid two thirds (2/3) requirement is hereby determined also for the purposes of Sections 341 and 342 of the Companies Law.</w:t>
      </w:r>
    </w:p>
    <w:p>
      <w:pPr>
        <w:spacing w:after="0" w:line="17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24.2. Upon receipt of the Bring Along Notice, each Remaining Shareholder shall be obligated to sell all of its shares in connection with such Proposed Transaction, notwithstanding any other no sale right, first refusal rights or other rights, and the proceeds of such Proposed Transaction shall be distributed among all Shareholders in accordance with the provisions of Article 95 below.</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24.3. At the closing of the Proposed Transaction (which place, date and time shall be designated by the Proposing Shareholders and provided to each of the Remaining Shareholders at least 5 days in advance), each such Remaining Shareholder shall deliver certificates evidencing all of its shares, duly endorsed or accompanied by written instruments of transfer in form satisfactory to the Third Party, duly executed by such Remaining Shareholder, against delivery of the purchase price therefore.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37" w:name="page138"/>
    <w:bookmarkEnd w:id="137"/>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ESTRICTIONS 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ALES BY</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OUNDERS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Until the consummation of an IPO, none of the Founders, or their Permitted Transferees, or any company by which the Founders hold their shares in the Company, shall directly or indirectly sell, assign, transfer, pledge, hypothecate, mortgage or dispose of, by gift or otherwise, or in any way encumber (each of the foregoing a "</w:t>
      </w:r>
      <w:r>
        <w:rPr>
          <w:rFonts w:ascii="Arial" w:cs="Arial" w:eastAsia="Arial" w:hAnsi="Arial"/>
          <w:sz w:val="17"/>
          <w:szCs w:val="17"/>
          <w:b w:val="1"/>
          <w:bCs w:val="1"/>
          <w:u w:val="single" w:color="auto"/>
          <w:color w:val="auto"/>
        </w:rPr>
        <w:t>Disposition</w:t>
      </w:r>
      <w:r>
        <w:rPr>
          <w:rFonts w:ascii="Arial" w:cs="Arial" w:eastAsia="Arial" w:hAnsi="Arial"/>
          <w:sz w:val="17"/>
          <w:szCs w:val="17"/>
          <w:i w:val="1"/>
          <w:iCs w:val="1"/>
          <w:color w:val="auto"/>
        </w:rPr>
        <w:t>"</w:t>
      </w:r>
      <w:r>
        <w:rPr>
          <w:rFonts w:ascii="Arial" w:cs="Arial" w:eastAsia="Arial" w:hAnsi="Arial"/>
          <w:sz w:val="17"/>
          <w:szCs w:val="17"/>
          <w:color w:val="auto"/>
        </w:rPr>
        <w:t xml:space="preserve">) all or any of the Securities owned by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during each 12-month period, each of the Founders and shall be entitled to make a Disposition, subject to other shareholders’ rights of first refusal with respect to such Securities and Article 22 above, of up to fifteen percent (15%) of the Securities then held by each of them;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each of them shall not be entitled to make Dispositions of more than thirty percent (30%), in the aggregate for all such annual Dispositions, of the maximum aggregate number of Securities held by each of them at all times. Notwithstanding any other provision in this Article 25 to the contrary, any Founder may freely transfer any of his/hers Securities to such Founder’s Permitted Transferee. The restrictions in this Article are subject to the Bring Along obligations in Article 24 above.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MEETINGS</w:t>
      </w:r>
    </w:p>
    <w:p>
      <w:pPr>
        <w:spacing w:after="0" w:line="225"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UTHORITY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w:t>
      </w:r>
    </w:p>
    <w:p>
      <w:pPr>
        <w:spacing w:after="0" w:line="22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The following matters shall require the approval of the General Meeting by a shareholders' resolution adopted by an Ordinary Majority:</w:t>
      </w:r>
    </w:p>
    <w:p>
      <w:pPr>
        <w:spacing w:after="0" w:line="225" w:lineRule="exact"/>
        <w:rPr>
          <w:sz w:val="20"/>
          <w:szCs w:val="20"/>
          <w:color w:val="auto"/>
        </w:rPr>
      </w:pPr>
    </w:p>
    <w:p>
      <w:pPr>
        <w:ind w:left="1940" w:hanging="635"/>
        <w:spacing w:after="0"/>
        <w:tabs>
          <w:tab w:leader="none" w:pos="19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Amendment of the Articles.</w:t>
      </w:r>
    </w:p>
    <w:p>
      <w:pPr>
        <w:spacing w:after="0" w:line="225" w:lineRule="exact"/>
        <w:rPr>
          <w:rFonts w:ascii="Arial" w:cs="Arial" w:eastAsia="Arial" w:hAnsi="Arial"/>
          <w:sz w:val="18"/>
          <w:szCs w:val="18"/>
          <w:color w:val="auto"/>
        </w:rPr>
      </w:pPr>
    </w:p>
    <w:p>
      <w:pPr>
        <w:jc w:val="both"/>
        <w:ind w:left="1300" w:firstLine="5"/>
        <w:spacing w:after="0" w:line="264" w:lineRule="auto"/>
        <w:tabs>
          <w:tab w:leader="none" w:pos="196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exercise by the General Meeting of the authority of the Board, subject to the provisions of the Companies Law, if it is resolved by the General Meeting that the Board is incapable of exercising its authority, and that the exercise of such authority is essential to the orderly management of the Company.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appointment or reappointment of the Company’s independent auditor, and the termination or non-renewal of its service.</w:t>
      </w:r>
    </w:p>
    <w:p>
      <w:pPr>
        <w:spacing w:after="0" w:line="236" w:lineRule="exact"/>
        <w:rPr>
          <w:rFonts w:ascii="Arial" w:cs="Arial" w:eastAsia="Arial" w:hAnsi="Arial"/>
          <w:sz w:val="17"/>
          <w:szCs w:val="17"/>
          <w:color w:val="auto"/>
        </w:rPr>
      </w:pPr>
    </w:p>
    <w:p>
      <w:pPr>
        <w:jc w:val="both"/>
        <w:ind w:left="1300" w:firstLine="5"/>
        <w:spacing w:after="0" w:line="264" w:lineRule="auto"/>
        <w:tabs>
          <w:tab w:leader="none" w:pos="19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the extent required by the provisions of the Companies Law, the approval of actions and transactions with interested parties and the approval of an action or a transaction of an Office Holder (as defined in Article 90 below) which might constitute a breach of the duty of loyalty.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Changes in the share capital of the Company, as set forth in Articles 8 and 9 hereof.</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merger of the Company, as defined in the Companies Law.</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liquidation of the Company.</w:t>
      </w:r>
    </w:p>
    <w:p>
      <w:pPr>
        <w:spacing w:after="0" w:line="225" w:lineRule="exact"/>
        <w:rPr>
          <w:rFonts w:ascii="Arial" w:cs="Arial" w:eastAsia="Arial" w:hAnsi="Arial"/>
          <w:sz w:val="18"/>
          <w:szCs w:val="18"/>
          <w:color w:val="auto"/>
        </w:rPr>
      </w:pPr>
    </w:p>
    <w:p>
      <w:pPr>
        <w:ind w:left="1300" w:firstLine="5"/>
        <w:spacing w:after="0" w:line="277" w:lineRule="auto"/>
        <w:tabs>
          <w:tab w:leader="none" w:pos="19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other matters which the Companies Law requires to be dealt with at the General Meeting of the Company, or any matters that were given to the General Meeting in these Articles.</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General Meeting shall not transfer to another organ of the Company any of its authorities detailed in Article 26.1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8" w:name="page139"/>
    <w:bookmarkEnd w:id="138"/>
    <w:p>
      <w:pPr>
        <w:ind w:left="660" w:hanging="652"/>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annual General Meeting shall be held, once in every calendar year at such time within a period of not more than fifteen (15) months after the last preceding annual General Meeting and at such place either within or without the State of Israel as may be determined by the Board. These General Meetings shall be referred to as “</w:t>
      </w:r>
      <w:r>
        <w:rPr>
          <w:rFonts w:ascii="Arial" w:cs="Arial" w:eastAsia="Arial" w:hAnsi="Arial"/>
          <w:sz w:val="18"/>
          <w:szCs w:val="18"/>
          <w:b w:val="1"/>
          <w:bCs w:val="1"/>
          <w:color w:val="auto"/>
        </w:rPr>
        <w:t>Annual Meetings</w:t>
      </w:r>
      <w:r>
        <w:rPr>
          <w:rFonts w:ascii="Arial" w:cs="Arial" w:eastAsia="Arial" w:hAnsi="Arial"/>
          <w:sz w:val="18"/>
          <w:szCs w:val="18"/>
          <w:color w:val="auto"/>
        </w:rPr>
        <w:t>.”</w:t>
      </w:r>
    </w:p>
    <w:p>
      <w:pPr>
        <w:spacing w:after="0" w:line="177"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PECIAL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EETINGS</w:t>
      </w:r>
    </w:p>
    <w:p>
      <w:pPr>
        <w:spacing w:after="0" w:line="225"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28.1. All General Meetings other than Annual Meetings shall be referred to as “</w:t>
      </w:r>
      <w:r>
        <w:rPr>
          <w:rFonts w:ascii="Arial" w:cs="Arial" w:eastAsia="Arial" w:hAnsi="Arial"/>
          <w:sz w:val="18"/>
          <w:szCs w:val="18"/>
          <w:b w:val="1"/>
          <w:bCs w:val="1"/>
          <w:color w:val="auto"/>
        </w:rPr>
        <w:t>Special Meetings</w:t>
      </w:r>
      <w:r>
        <w:rPr>
          <w:rFonts w:ascii="Arial" w:cs="Arial" w:eastAsia="Arial" w:hAnsi="Arial"/>
          <w:sz w:val="18"/>
          <w:szCs w:val="18"/>
          <w:color w:val="auto"/>
        </w:rPr>
        <w:t>.” A Special Meeting shall discuss and decide in all matters for which the Special Meeting was convened.</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28.2. The Board may, whenever it deems appropriate, convene a Special Meeting at such time and place, within or without the State of Israel, as may be determined by the Board, and shall be obliged to do so upon the demand of one of the following:</w:t>
      </w:r>
    </w:p>
    <w:p>
      <w:pPr>
        <w:spacing w:after="0" w:line="170" w:lineRule="exact"/>
        <w:rPr>
          <w:sz w:val="20"/>
          <w:szCs w:val="20"/>
          <w:color w:val="auto"/>
        </w:rPr>
      </w:pPr>
    </w:p>
    <w:p>
      <w:pPr>
        <w:ind w:left="1940" w:hanging="635"/>
        <w:spacing w:after="0"/>
        <w:tabs>
          <w:tab w:leader="none" w:pos="19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Director; or</w:t>
      </w:r>
    </w:p>
    <w:p>
      <w:pPr>
        <w:spacing w:after="0" w:line="225" w:lineRule="exact"/>
        <w:rPr>
          <w:rFonts w:ascii="Arial" w:cs="Arial" w:eastAsia="Arial" w:hAnsi="Arial"/>
          <w:sz w:val="18"/>
          <w:szCs w:val="18"/>
          <w:color w:val="auto"/>
        </w:rPr>
      </w:pPr>
    </w:p>
    <w:p>
      <w:pPr>
        <w:jc w:val="both"/>
        <w:ind w:left="1300" w:right="20" w:firstLine="5"/>
        <w:spacing w:after="0" w:line="264" w:lineRule="auto"/>
        <w:tabs>
          <w:tab w:leader="none" w:pos="196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one or more Shareholders, holding alone or together at least ten percent (10%) of the issued share capital of the Company and at least one percent (1%) of the voting rights in the Company or one or more Shareholders holding at least ten percent (10%) of the voting rights in the Company.</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28.3. The Board, upon demand to convene a Special Meeting in accordance with Article 28.2. above, shall announce the convening of the General Meeting within twenty one (21) days from the receipt of a demand in that respect.</w:t>
      </w:r>
    </w:p>
    <w:p>
      <w:pPr>
        <w:spacing w:after="0" w:line="17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28.4. If the Board does not convene a Special Meeting as aforesaid, the Person requisitioning the meeting, who has more than half the voting rights in the Company, may convene the meeting themselves, provided that it is not held more than three months after the date the requisition was made, and it shall be convened, insofar as possible, in the same way in which meetings are convened by the Board. Where a General Meeting is convened as aforesaid, the Company shall cover the reasonable expenses incurred by the Person requisitioning it.</w:t>
      </w:r>
    </w:p>
    <w:p>
      <w:pPr>
        <w:spacing w:after="0" w:line="167"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ESERVED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these Articles, the term "General meeting" shall include Annual and Special Meetings.</w:t>
      </w:r>
    </w:p>
    <w:p>
      <w:pPr>
        <w:spacing w:after="0" w:line="225"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 xml:space="preserve">30.1. Unless a shorter period is permitted by Law, a notice of a General Meeting shall be sent to each Shareholder of the Company registered in the Shareholder Register and entitled to attend and vote at such meeting, at least seven (7) days prior to the date fixed for the General Meeting; provided however that such notice shall not be sent more than forty five (45) days from the date fixed for the General Meeting. Subject to the provisions of any Law, each such notice shall specify the place, the day and hour of the meeting, the agenda of the meeting and a concise description of the items for discussion,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the event that the agenda includes proposal to amend the Articles, the notice shall include the text of the proposed amendment(s). Anything herein to the contrary notwithstanding, with the written consent of all Shareholders entitled to vote thereon, a resolution may be proposed and passed at such meeting although a shorter notice than hereinabove prescribed has been given. A waiver by a Shareholder can also be made in writing after the fact and even after the convening of the General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9" w:name="page140"/>
    <w:bookmarkEnd w:id="139"/>
    <w:p>
      <w:pPr>
        <w:jc w:val="both"/>
        <w:ind w:left="660" w:right="20"/>
        <w:spacing w:after="0" w:line="264" w:lineRule="auto"/>
        <w:rPr>
          <w:sz w:val="20"/>
          <w:szCs w:val="20"/>
          <w:color w:val="auto"/>
        </w:rPr>
      </w:pPr>
      <w:r>
        <w:rPr>
          <w:rFonts w:ascii="Arial" w:cs="Arial" w:eastAsia="Arial" w:hAnsi="Arial"/>
          <w:sz w:val="18"/>
          <w:szCs w:val="18"/>
          <w:color w:val="auto"/>
        </w:rPr>
        <w:t>30.2. The Board’s authority to determine the time and the place for the convening of the General Meeting shall include the power to change such time and/or place, prior to the convening of the General Meeting and subject to the provisions of these Articles and any Law, including with regard to the sending of a new notice to the Shareholders.</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30.3. Any accidental omission with respect to the giving of a notice of a General Meeting to any Shareholder or the non-receipt of a notice with respect to a meeting or any other notice on the part of any Shareholder shall not cause the cancellation of a resolution adopted at that meeting, or the cancellation of acts based on such notice.</w:t>
      </w:r>
    </w:p>
    <w:p>
      <w:pPr>
        <w:spacing w:after="0" w:line="177"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GENDA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EETINGS</w:t>
      </w:r>
    </w:p>
    <w:p>
      <w:pPr>
        <w:spacing w:after="0" w:line="22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31.1. The agenda of General Meetings shall be determined by the Board and shall also include issues for which a Special Meeting is being convened in accordance with Article 28</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above, or as may be required upon the request of Shareholders in accordance with the provisions of the Companies Law.</w:t>
      </w:r>
    </w:p>
    <w:p>
      <w:pPr>
        <w:spacing w:after="0" w:line="20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The General Meeting shall only adopt resolutions on issues, which are on its agenda.</w:t>
      </w:r>
    </w:p>
    <w:p>
      <w:pPr>
        <w:spacing w:after="0" w:line="225"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31.3. The General Meeting is entitled to accept or reject a proposed resolution, which is on the agenda of the General Meeting. Subject to applicable Law, the General Meeting may adopt a resolution, which is different from the description thereof included in the notice of the General Meeting, provided that such resolution is not materially different from the proposed resolution.</w:t>
      </w:r>
    </w:p>
    <w:p>
      <w:pPr>
        <w:spacing w:after="0" w:line="177"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NTITLEMENT TO PARTICIPATE IN A</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 AND TO VOTE THEREAT</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32.1. Subject to the provisions of the Companies Law, the Shareholders who are entitled to participate in and vote at a General Meeting shall be the Shareholders listed in the Company's Shareholder Register on the date of the General Meeting.</w:t>
      </w:r>
    </w:p>
    <w:p>
      <w:pPr>
        <w:spacing w:after="0" w:line="170"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32.2. An objection to the right of a Shareholder to participate in and vote at a General Meeting must be raised at such meeting and any vote not disqualified thereat shall be deemed valid for any purpose. The Chairman of the meeting shall decide whether to accept or reject any objection raised at the appointed time with regard to the participation and vote of a Shareholder and his decision shall be final.</w:t>
      </w:r>
    </w:p>
    <w:p>
      <w:pPr>
        <w:spacing w:after="0" w:line="162"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UORUM</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33.1. No business shall be transacted at a General Meeting, or at any adjournment thereof, unless a lawful quorum is present when the meeting proceeds to business, no resolution shall be passed unless a requisite quorum is present when the resolution is voted upon.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0" w:name="page141"/>
    <w:bookmarkEnd w:id="140"/>
    <w:p>
      <w:pPr>
        <w:jc w:val="both"/>
        <w:ind w:left="660"/>
        <w:spacing w:after="0" w:line="302" w:lineRule="auto"/>
        <w:rPr>
          <w:sz w:val="20"/>
          <w:szCs w:val="20"/>
          <w:color w:val="auto"/>
        </w:rPr>
      </w:pPr>
      <w:r>
        <w:rPr>
          <w:rFonts w:ascii="Arial" w:cs="Arial" w:eastAsia="Arial" w:hAnsi="Arial"/>
          <w:sz w:val="16"/>
          <w:szCs w:val="16"/>
          <w:color w:val="auto"/>
        </w:rPr>
        <w:t>33.2. Subject to the requirements of the Companies Law and the provisions of these Articles, any two or more Shareholders (not in default in payment of any sum referred to in Article 16 hereof), present in person or by proxy, and who hold or represent in the aggregate at least fifty percent (50%) of the voting power of the Company, shall constitute a lawful quorum at General Meetings. A Shareholder or its proxy, who also serves as a proxy for other Shareholder(s), shall be regarded as two or more Shareholders, in accordance with the number of Shareholders it is representing.</w:t>
      </w:r>
    </w:p>
    <w:p>
      <w:pPr>
        <w:spacing w:after="0" w:line="15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33.3. If within an hour from the time appointed for the General Meeting a quorum is not present, the meeting shall stand adjourned to the same day in the next week (or the first Business Day thereafter), at the same time and place, or to such later day and at such time and place as the Chairman may determine with the consent of the holders of a majority of the voting power represented at the meeting in person or by proxy and voting on the question of adjournment. No business shall be transacted at any adjourned meeting except business, which might lawfully have been transacted at the meeting as originally called. At such adjourned meeting, any two (2) Shareholders (not in default as aforesaid) present in person or by proxy, shall constitute a lawful quorum.</w:t>
      </w:r>
    </w:p>
    <w:p>
      <w:pPr>
        <w:spacing w:after="0" w:line="189"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HAIRMAN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Chairman of the Board shall preside as Chairman at every General Meeting. If there is no such Chairman, or if the Chairman is not present within fifteen (15) minutes after the time fixed for holding such meeting or is unwilling to act as Chairman, the Shareholders present shall choose someone of their number or any other person to be Chairman. The position of Chairman shall not, by itself, entitle the holder thereof to vote at any General Meeting nor shall it entitle such holder to a second or casting vote (without derogating, however, from the rights of such Chairman to vote as a Shareholder or proxy of a Shareholder if, in fact, he is also a Shareholder or proxy, respectively).</w:t>
      </w:r>
    </w:p>
    <w:p>
      <w:pPr>
        <w:spacing w:after="0" w:line="184"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DJOURNED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General Meeting at which a lawful quorum is present (hereinafter: the “</w:t>
      </w:r>
      <w:r>
        <w:rPr>
          <w:rFonts w:ascii="Arial" w:cs="Arial" w:eastAsia="Arial" w:hAnsi="Arial"/>
          <w:sz w:val="18"/>
          <w:szCs w:val="18"/>
          <w:b w:val="1"/>
          <w:bCs w:val="1"/>
          <w:color w:val="auto"/>
        </w:rPr>
        <w:t>Original General Meeting</w:t>
      </w:r>
      <w:r>
        <w:rPr>
          <w:rFonts w:ascii="Arial" w:cs="Arial" w:eastAsia="Arial" w:hAnsi="Arial"/>
          <w:sz w:val="18"/>
          <w:szCs w:val="18"/>
          <w:color w:val="auto"/>
        </w:rPr>
        <w:t>”), may resolve by an Ordinary Majority to adjourn the General Meeting, from time to time, to another time and/or place (hereinafter: an “</w:t>
      </w:r>
      <w:r>
        <w:rPr>
          <w:rFonts w:ascii="Arial" w:cs="Arial" w:eastAsia="Arial" w:hAnsi="Arial"/>
          <w:sz w:val="18"/>
          <w:szCs w:val="18"/>
          <w:b w:val="1"/>
          <w:bCs w:val="1"/>
          <w:color w:val="auto"/>
        </w:rPr>
        <w:t>Adjourned Meeting</w:t>
      </w:r>
      <w:r>
        <w:rPr>
          <w:rFonts w:ascii="Arial" w:cs="Arial" w:eastAsia="Arial" w:hAnsi="Arial"/>
          <w:sz w:val="18"/>
          <w:szCs w:val="18"/>
          <w:color w:val="auto"/>
        </w:rPr>
        <w:t>”). A notice of the Adjourned Meeting shall be given in accordance with the requirements of the Companies Law, in the same manner as the notice of the Original General Meeting. With the exception of the aforesaid, a Shareholder shall not be entitled to receive a notice of an Adjourned Meeting or of the issues, which are to be discussed in the Adjourned Meeting. The Adjourned Meeting shall only discuss issues that could have been discussed at the Original General Meeting, and with respect to which no resolution was adopted.</w:t>
      </w:r>
    </w:p>
    <w:p>
      <w:pPr>
        <w:spacing w:after="0" w:line="188"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DOPTION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ESOLUTIONS AT</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36.1. All resolutions of the General Meeting shall be adopted by an Ordinary Majority, except for any matters with respect to which a greater or different majority is required by these Articles (to the extent applicable), or by the Companies Law.</w:t>
      </w:r>
    </w:p>
    <w:p>
      <w:pPr>
        <w:spacing w:after="0" w:line="170"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36.2. Every matter submitted to a General Meeting shall be decided by a show of hands, but if a written ballot is demanded by an Ordinary Majority, present in person or by proxy and entitled to vote at the meeting, the same shall be decided by such ballot. A written ballot may be demanded before the proposed resolution is voted upon or immediately after the declaration by the Chairman of the results of the vote by a show of hands. If a vote by written ballot is taken after such declaration, the results of the vote by a show of hands shall be of no effect, and the proposed resolution shall be decided by such written ballot. The demand for a written ballot may be withdrawn at any time before the same is conducted, in which event another Shareholder may then demand such written ballot. The demand for a written ballot shall not prevent the continuance of the meeting for the transaction of business other than the question on which the written ballot has been demanded.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1" w:name="page142"/>
    <w:bookmarkEnd w:id="141"/>
    <w:p>
      <w:pPr>
        <w:jc w:val="both"/>
        <w:ind w:left="660" w:right="20"/>
        <w:spacing w:after="0" w:line="264" w:lineRule="auto"/>
        <w:rPr>
          <w:sz w:val="20"/>
          <w:szCs w:val="20"/>
          <w:color w:val="auto"/>
        </w:rPr>
      </w:pPr>
      <w:r>
        <w:rPr>
          <w:rFonts w:ascii="Arial" w:cs="Arial" w:eastAsia="Arial" w:hAnsi="Arial"/>
          <w:sz w:val="18"/>
          <w:szCs w:val="18"/>
          <w:color w:val="auto"/>
        </w:rPr>
        <w:t>36.3. A declaration by the Chairman of the meeting that a resolution has been adopted unanimously, or adopted by a particular majority, or rejected, and an entry to that effect in the minute book of the Company, shall be conclusive evidence of the fact without proof of the number or proportion of the votes recorded in favor of or against such resolution.</w:t>
      </w:r>
    </w:p>
    <w:p>
      <w:pPr>
        <w:spacing w:after="0" w:line="177"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ESOLUTIONS IN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RITING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resolution in writing signed by all Shareholders of the Company then entitled to attend and vote at General Meetings or to which all such Shareholders have given their written consent (by letter, facsimile, telegram, telex, e-mail or otherwise), or their oral consent by telephone (provided that a written summary thereof has been approved and signed by the Chairman of the Board) shall be deemed to have been unanimously adopted by a General Meeting duly convened and held. Such resolution could be stated in several counterparts of the same document, each of them signed by one Shareholder or by several Shareholders.</w:t>
      </w:r>
    </w:p>
    <w:p>
      <w:pPr>
        <w:spacing w:after="0" w:line="184"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ONDUCTING A</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HROUGH</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EANS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may conduct a General Meeting through the use of any means of communication, provided all of the participating Shareholders can hear each other simultaneously. A resolution approved by use of means of communications as aforesaid, shall be deemed to be a resolution lawfully adopted at a General Meeting.</w:t>
      </w:r>
    </w:p>
    <w:p>
      <w:pPr>
        <w:spacing w:after="0" w:line="177"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OWER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provisions of Article 40.1 and subject to any provision hereof conferring special rights as to voting, or restricting the right to vote, every Shareholder shall have one vote for each Ordinary Share held by him of record, on every resolution, without regard to whether the vote thereon is conducted in person, by proxy, by a show of hands, by written ballot or by any other means.</w:t>
      </w:r>
    </w:p>
    <w:p>
      <w:pPr>
        <w:spacing w:after="0" w:line="177"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40.1. No Shareholder shall be entitled to vote at any General Meeting (or be counted as a part of the lawful quorum thereat), unless all calls and other sums then payable by him in respect of his shares in the Company have been paid.</w:t>
      </w:r>
    </w:p>
    <w:p>
      <w:pPr>
        <w:spacing w:after="0" w:line="17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40.2. A company or other corporate entity being a Shareholder of the Company may, by resolution of its directors or any other managing body thereof, authorize any person to be its representative at any General Meeting. Any person so authorized shall be entitled to exercise on behalf of such Shareholder all the power, which the latter could have exercised if it were an individual shareholder. Upon the request of the Chairman of the General Meeting, written evidence of such authorization (in form acceptable to the Chairman) shall be delivered to him.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2" w:name="page143"/>
    <w:bookmarkEnd w:id="142"/>
    <w:p>
      <w:pPr>
        <w:jc w:val="both"/>
        <w:ind w:left="660"/>
        <w:spacing w:after="0" w:line="277" w:lineRule="auto"/>
        <w:rPr>
          <w:sz w:val="20"/>
          <w:szCs w:val="20"/>
          <w:color w:val="auto"/>
        </w:rPr>
      </w:pPr>
      <w:r>
        <w:rPr>
          <w:rFonts w:ascii="Arial" w:cs="Arial" w:eastAsia="Arial" w:hAnsi="Arial"/>
          <w:sz w:val="18"/>
          <w:szCs w:val="18"/>
          <w:color w:val="auto"/>
        </w:rPr>
        <w:t>40.3. Any Shareholder entitled to vote may vote either personally (or, if the Shareholder is a company or other corporate entity, by a representative authorized pursuant to Article 40.2) or by proxy (subject to Article 44 below).</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40.4. If two or more persons are registered as joint holders of any share, the vote of the senior who tenders a vote, in person or by proxy, shall be accepted to the exclusion of the vote(s) of the other joint holder(s), and for this purpose seniority shall be determined by the order in which the names stand in the Shareholder Register.</w:t>
      </w:r>
    </w:p>
    <w:p>
      <w:pPr>
        <w:spacing w:after="0" w:line="177"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 IN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ESOLUTION</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41.1. A Shareholder seeking to vote with respect to a resolution which requires that the majority for its adoption include at least a certain percentage of the votes of all those not having a personal interest (as defined in the Companies Law) in the resolution, shall notify the Company prior to the date of the General Meeting, whether or not he has a personal interest in the resolution, as a condition for his right to vote and be counted with respect to such resolution.</w:t>
      </w:r>
    </w:p>
    <w:p>
      <w:pPr>
        <w:spacing w:after="0" w:line="18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41.2. A Shareholder voting on a resolution, as aforesaid, by means of a deed of authorization of a proxy, may include his notice with respect to his personal interest on the deed of authorization, as the case may be.</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41.3. For the purposes herein, the exercise of the Company’s Repurchase Right and any transactions and/or resolutions related thereto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considered a resolution which requires that the majority for its adoption include at least a certain percentage of the votes of all those not having a personal interest in the resolution.</w:t>
      </w:r>
    </w:p>
    <w:p>
      <w:pPr>
        <w:spacing w:after="0" w:line="177"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ESTRICTIONS ON VOTES BY</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OUNDERS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derogating from any provisions of the Companies Law, each of the Founders shall not vote in their capacity as Shareholders or Directors on any transaction of the Company in which any Founder, its Permitted Transferee, or any company or person affiliated with such Founder is an Interested Party (as defined in Section 1 of the Companies Law).</w:t>
      </w:r>
    </w:p>
    <w:p>
      <w:pPr>
        <w:spacing w:after="0" w:line="177"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ALIDITY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ESPITE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EFECTS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provisions of the Companies Law, a defect in convening or conducting the General Meeting, including a defect deriving from the non-fulfillment of any provision or condition laid down in the Law or these Articles, including with regard to the manner of convening or conducting the General Meeting, shall not disqualify any resolution passed at the General Meeting and shall not affect the discussions which took place thereat.</w:t>
      </w:r>
    </w:p>
    <w:p>
      <w:pPr>
        <w:spacing w:after="0" w:line="162"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 BY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EANS OF 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ROXY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44.1. A Shareholder registered in the Shareholder Register is entitled to appoint by deed of authorization a proxy (who is not required to be a Shareholder of the Company) to participate and vote in his stead, whether at a certain General Meeting or generally at General Meetings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3" w:name="page144"/>
    <w:bookmarkEnd w:id="143"/>
    <w:p>
      <w:pPr>
        <w:jc w:val="both"/>
        <w:ind w:left="652"/>
        <w:spacing w:after="0" w:line="264" w:lineRule="auto"/>
        <w:rPr>
          <w:sz w:val="20"/>
          <w:szCs w:val="20"/>
          <w:color w:val="auto"/>
        </w:rPr>
      </w:pPr>
      <w:r>
        <w:rPr>
          <w:rFonts w:ascii="Arial" w:cs="Arial" w:eastAsia="Arial" w:hAnsi="Arial"/>
          <w:sz w:val="18"/>
          <w:szCs w:val="18"/>
          <w:color w:val="auto"/>
        </w:rPr>
        <w:t>44.2. In the event that the deed of authorization is not limited to a certain General Meeting, then the deed of authorization, which was deposited prior to a certain General Meeting, shall also be good for other General Meetings thereafter. This Article 44 shall also apply to a Shareholder which is a company, appointing a person to participate and vote in a General Meeting in its stead.</w:t>
      </w:r>
    </w:p>
    <w:p>
      <w:pPr>
        <w:spacing w:after="0" w:line="177" w:lineRule="exact"/>
        <w:rPr>
          <w:sz w:val="20"/>
          <w:szCs w:val="20"/>
          <w:color w:val="auto"/>
        </w:rPr>
      </w:pPr>
    </w:p>
    <w:p>
      <w:pPr>
        <w:ind w:left="652" w:hanging="652"/>
        <w:spacing w:after="0"/>
        <w:tabs>
          <w:tab w:leader="none" w:pos="652"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A D</w:t>
      </w:r>
      <w:r>
        <w:rPr>
          <w:rFonts w:ascii="Arial" w:cs="Arial" w:eastAsia="Arial" w:hAnsi="Arial"/>
          <w:sz w:val="12"/>
          <w:szCs w:val="12"/>
          <w:b w:val="1"/>
          <w:bCs w:val="1"/>
          <w:color w:val="auto"/>
        </w:rPr>
        <w:t>EED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UTHORIZATION</w:t>
      </w:r>
    </w:p>
    <w:p>
      <w:pPr>
        <w:spacing w:after="0" w:line="229" w:lineRule="exact"/>
        <w:rPr>
          <w:sz w:val="20"/>
          <w:szCs w:val="20"/>
          <w:color w:val="auto"/>
        </w:rPr>
      </w:pPr>
    </w:p>
    <w:p>
      <w:pPr>
        <w:jc w:val="both"/>
        <w:ind w:left="652"/>
        <w:spacing w:after="0" w:line="257" w:lineRule="auto"/>
        <w:rPr>
          <w:sz w:val="20"/>
          <w:szCs w:val="20"/>
          <w:color w:val="auto"/>
        </w:rPr>
      </w:pPr>
      <w:r>
        <w:rPr>
          <w:rFonts w:ascii="Arial" w:cs="Arial" w:eastAsia="Arial" w:hAnsi="Arial"/>
          <w:sz w:val="18"/>
          <w:szCs w:val="18"/>
          <w:color w:val="auto"/>
        </w:rPr>
        <w:t>45.1. The deed of authorization of a proxy shall be in writing and shall be substantially in the form specified below, or in any usual or common form or in such other form as may be approved by the Board or the corporate secretary of the Company. It shall be duly signed by the appointer or his duly authorized attorney or, if such appointer is a company or other corporate entity, under its common seal or stamp or the hand of its duly authorized agent(s) or attorney(s). The Company may demand that it be given written confirmation to its satisfaction of the authority of those signing to bind such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266065</wp:posOffset>
            </wp:positionV>
            <wp:extent cx="6663690" cy="48367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63690" cy="48367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u w:val="single" w:color="auto"/>
          <w:color w:val="auto"/>
        </w:rPr>
        <w:t>Deed of Authorization</w:t>
      </w:r>
    </w:p>
    <w:p>
      <w:pPr>
        <w:spacing w:after="0" w:line="333" w:lineRule="exact"/>
        <w:rPr>
          <w:sz w:val="20"/>
          <w:szCs w:val="20"/>
          <w:color w:val="auto"/>
        </w:rPr>
      </w:pPr>
    </w:p>
    <w:p>
      <w:pPr>
        <w:ind w:left="692"/>
        <w:spacing w:after="0"/>
        <w:rPr>
          <w:sz w:val="20"/>
          <w:szCs w:val="20"/>
          <w:color w:val="auto"/>
        </w:rPr>
      </w:pPr>
      <w:r>
        <w:rPr>
          <w:rFonts w:ascii="Arial" w:cs="Arial" w:eastAsia="Arial" w:hAnsi="Arial"/>
          <w:sz w:val="18"/>
          <w:szCs w:val="18"/>
          <w:color w:val="auto"/>
        </w:rPr>
        <w:t>To: Alcobra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67" w:lineRule="exact"/>
        <w:rPr>
          <w:sz w:val="20"/>
          <w:szCs w:val="20"/>
          <w:color w:val="auto"/>
        </w:rPr>
      </w:pPr>
    </w:p>
    <w:p>
      <w:pPr>
        <w:ind w:left="692"/>
        <w:spacing w:after="0"/>
        <w:rPr>
          <w:sz w:val="20"/>
          <w:szCs w:val="20"/>
          <w:color w:val="auto"/>
        </w:rPr>
      </w:pPr>
      <w:r>
        <w:rPr>
          <w:rFonts w:ascii="Arial" w:cs="Arial" w:eastAsia="Arial" w:hAnsi="Arial"/>
          <w:sz w:val="18"/>
          <w:szCs w:val="18"/>
          <w:color w:val="auto"/>
        </w:rPr>
        <w:t>Attn: Corporate Secretary</w:t>
      </w:r>
    </w:p>
    <w:p>
      <w:pPr>
        <w:spacing w:after="0" w:line="63" w:lineRule="exact"/>
        <w:rPr>
          <w:sz w:val="20"/>
          <w:szCs w:val="20"/>
          <w:color w:val="auto"/>
        </w:rPr>
      </w:pPr>
    </w:p>
    <w:p>
      <w:pPr>
        <w:ind w:left="692"/>
        <w:spacing w:after="0"/>
        <w:rPr>
          <w:sz w:val="20"/>
          <w:szCs w:val="20"/>
          <w:color w:val="auto"/>
        </w:rPr>
      </w:pPr>
      <w:r>
        <w:rPr>
          <w:rFonts w:ascii="Arial" w:cs="Arial" w:eastAsia="Arial" w:hAnsi="Arial"/>
          <w:sz w:val="18"/>
          <w:szCs w:val="18"/>
          <w:color w:val="auto"/>
        </w:rPr>
        <w:t>I _____________________ of __________________________________</w:t>
      </w:r>
    </w:p>
    <w:p>
      <w:pPr>
        <w:spacing w:after="0" w:line="63" w:lineRule="exact"/>
        <w:rPr>
          <w:sz w:val="20"/>
          <w:szCs w:val="20"/>
          <w:color w:val="auto"/>
        </w:rPr>
      </w:pPr>
    </w:p>
    <w:p>
      <w:pPr>
        <w:ind w:left="692"/>
        <w:spacing w:after="0"/>
        <w:tabs>
          <w:tab w:leader="none" w:pos="3272" w:val="left"/>
        </w:tabs>
        <w:rPr>
          <w:sz w:val="20"/>
          <w:szCs w:val="20"/>
          <w:color w:val="auto"/>
        </w:rPr>
      </w:pPr>
      <w:r>
        <w:rPr>
          <w:rFonts w:ascii="Arial" w:cs="Arial" w:eastAsia="Arial" w:hAnsi="Arial"/>
          <w:sz w:val="18"/>
          <w:szCs w:val="18"/>
          <w:color w:val="auto"/>
        </w:rPr>
        <w:t>(Name of Shareholder)</w:t>
      </w:r>
      <w:r>
        <w:rPr>
          <w:sz w:val="20"/>
          <w:szCs w:val="20"/>
          <w:color w:val="auto"/>
        </w:rPr>
        <w:tab/>
      </w:r>
      <w:r>
        <w:rPr>
          <w:rFonts w:ascii="Arial" w:cs="Arial" w:eastAsia="Arial" w:hAnsi="Arial"/>
          <w:sz w:val="16"/>
          <w:szCs w:val="16"/>
          <w:color w:val="auto"/>
        </w:rPr>
        <w:t>(I.D. of Shareholder)</w:t>
      </w:r>
    </w:p>
    <w:p>
      <w:pPr>
        <w:spacing w:after="0" w:line="67" w:lineRule="exact"/>
        <w:rPr>
          <w:sz w:val="20"/>
          <w:szCs w:val="20"/>
          <w:color w:val="auto"/>
        </w:rPr>
      </w:pPr>
    </w:p>
    <w:p>
      <w:pPr>
        <w:ind w:left="692"/>
        <w:spacing w:after="0"/>
        <w:rPr>
          <w:sz w:val="20"/>
          <w:szCs w:val="20"/>
          <w:color w:val="auto"/>
        </w:rPr>
      </w:pPr>
      <w:r>
        <w:rPr>
          <w:rFonts w:ascii="Arial" w:cs="Arial" w:eastAsia="Arial" w:hAnsi="Arial"/>
          <w:sz w:val="17"/>
          <w:szCs w:val="17"/>
          <w:color w:val="auto"/>
        </w:rPr>
        <w:t xml:space="preserve">being a registered holder of __________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_____ Shares having a nominal value of NIS __ each, of the Company, hereby appoint</w:t>
      </w:r>
    </w:p>
    <w:p>
      <w:pPr>
        <w:spacing w:after="0" w:line="1" w:lineRule="exact"/>
        <w:rPr>
          <w:sz w:val="20"/>
          <w:szCs w:val="20"/>
          <w:color w:val="auto"/>
        </w:rPr>
      </w:pPr>
    </w:p>
    <w:p>
      <w:pPr>
        <w:ind w:left="692"/>
        <w:spacing w:after="0"/>
        <w:rPr>
          <w:sz w:val="20"/>
          <w:szCs w:val="20"/>
          <w:color w:val="auto"/>
        </w:rPr>
      </w:pPr>
      <w:r>
        <w:rPr>
          <w:rFonts w:ascii="Arial" w:cs="Arial" w:eastAsia="Arial" w:hAnsi="Arial"/>
          <w:sz w:val="18"/>
          <w:szCs w:val="18"/>
          <w:color w:val="auto"/>
        </w:rPr>
        <w:t>________________________ I.D. no. ____________________________ and/or</w:t>
      </w:r>
    </w:p>
    <w:p>
      <w:pPr>
        <w:spacing w:after="0" w:line="51" w:lineRule="exact"/>
        <w:rPr>
          <w:sz w:val="20"/>
          <w:szCs w:val="20"/>
          <w:color w:val="auto"/>
        </w:rPr>
      </w:pPr>
    </w:p>
    <w:p>
      <w:pPr>
        <w:ind w:left="1052"/>
        <w:spacing w:after="0"/>
        <w:tabs>
          <w:tab w:leader="none" w:pos="3472" w:val="left"/>
        </w:tabs>
        <w:rPr>
          <w:sz w:val="20"/>
          <w:szCs w:val="20"/>
          <w:color w:val="auto"/>
        </w:rPr>
      </w:pPr>
      <w:r>
        <w:rPr>
          <w:rFonts w:ascii="Arial" w:cs="Arial" w:eastAsia="Arial" w:hAnsi="Arial"/>
          <w:sz w:val="18"/>
          <w:szCs w:val="18"/>
          <w:color w:val="auto"/>
        </w:rPr>
        <w:t>(Name of Proxy)</w:t>
      </w:r>
      <w:r>
        <w:rPr>
          <w:sz w:val="20"/>
          <w:szCs w:val="20"/>
          <w:color w:val="auto"/>
        </w:rPr>
        <w:tab/>
      </w:r>
      <w:r>
        <w:rPr>
          <w:rFonts w:ascii="Arial" w:cs="Arial" w:eastAsia="Arial" w:hAnsi="Arial"/>
          <w:sz w:val="17"/>
          <w:szCs w:val="17"/>
          <w:color w:val="auto"/>
        </w:rPr>
        <w:t xml:space="preserve">(I.D. of Proxy) </w:t>
      </w:r>
      <w:r>
        <w:rPr>
          <w:rFonts w:ascii="Arial" w:cs="Arial" w:eastAsia="Arial" w:hAnsi="Arial"/>
          <w:sz w:val="27"/>
          <w:szCs w:val="27"/>
          <w:color w:val="auto"/>
          <w:vertAlign w:val="superscript"/>
        </w:rPr>
        <w:t>(**)</w:t>
      </w:r>
    </w:p>
    <w:p>
      <w:pPr>
        <w:spacing w:after="0" w:line="267" w:lineRule="exact"/>
        <w:rPr>
          <w:sz w:val="20"/>
          <w:szCs w:val="20"/>
          <w:color w:val="auto"/>
        </w:rPr>
      </w:pPr>
    </w:p>
    <w:p>
      <w:pPr>
        <w:ind w:left="692"/>
        <w:spacing w:after="0"/>
        <w:rPr>
          <w:sz w:val="20"/>
          <w:szCs w:val="20"/>
          <w:color w:val="auto"/>
        </w:rPr>
      </w:pPr>
      <w:r>
        <w:rPr>
          <w:rFonts w:ascii="Arial" w:cs="Arial" w:eastAsia="Arial" w:hAnsi="Arial"/>
          <w:sz w:val="18"/>
          <w:szCs w:val="18"/>
          <w:color w:val="auto"/>
        </w:rPr>
        <w:t>________________________ I.D. no. ____________________________</w:t>
      </w:r>
    </w:p>
    <w:p>
      <w:pPr>
        <w:spacing w:after="0" w:line="63" w:lineRule="exact"/>
        <w:rPr>
          <w:sz w:val="20"/>
          <w:szCs w:val="20"/>
          <w:color w:val="auto"/>
        </w:rPr>
      </w:pPr>
    </w:p>
    <w:p>
      <w:pPr>
        <w:ind w:left="1052"/>
        <w:spacing w:after="0"/>
        <w:tabs>
          <w:tab w:leader="none" w:pos="3472" w:val="left"/>
        </w:tabs>
        <w:rPr>
          <w:sz w:val="20"/>
          <w:szCs w:val="20"/>
          <w:color w:val="auto"/>
        </w:rPr>
      </w:pPr>
      <w:r>
        <w:rPr>
          <w:rFonts w:ascii="Arial" w:cs="Arial" w:eastAsia="Arial" w:hAnsi="Arial"/>
          <w:sz w:val="18"/>
          <w:szCs w:val="18"/>
          <w:color w:val="auto"/>
        </w:rPr>
        <w:t>(Name of Proxy)</w:t>
      </w:r>
      <w:r>
        <w:rPr>
          <w:sz w:val="20"/>
          <w:szCs w:val="20"/>
          <w:color w:val="auto"/>
        </w:rPr>
        <w:tab/>
      </w:r>
      <w:r>
        <w:rPr>
          <w:rFonts w:ascii="Arial" w:cs="Arial" w:eastAsia="Arial" w:hAnsi="Arial"/>
          <w:sz w:val="17"/>
          <w:szCs w:val="17"/>
          <w:color w:val="auto"/>
        </w:rPr>
        <w:t>(I.D. of Proxy)</w:t>
      </w:r>
    </w:p>
    <w:p>
      <w:pPr>
        <w:spacing w:after="0" w:line="333" w:lineRule="exact"/>
        <w:rPr>
          <w:sz w:val="20"/>
          <w:szCs w:val="20"/>
          <w:color w:val="auto"/>
        </w:rPr>
      </w:pPr>
    </w:p>
    <w:p>
      <w:pPr>
        <w:ind w:left="692"/>
        <w:spacing w:after="0"/>
        <w:rPr>
          <w:sz w:val="20"/>
          <w:szCs w:val="20"/>
          <w:color w:val="auto"/>
        </w:rPr>
      </w:pPr>
      <w:r>
        <w:rPr>
          <w:rFonts w:ascii="Arial" w:cs="Arial" w:eastAsia="Arial" w:hAnsi="Arial"/>
          <w:sz w:val="18"/>
          <w:szCs w:val="18"/>
          <w:color w:val="auto"/>
        </w:rPr>
        <w:t>as my proxy to participate and vote for me and in my stead and on my behalf at [mark one]:</w:t>
      </w:r>
    </w:p>
    <w:p>
      <w:pPr>
        <w:spacing w:after="0" w:line="333" w:lineRule="exact"/>
        <w:rPr>
          <w:sz w:val="20"/>
          <w:szCs w:val="20"/>
          <w:color w:val="auto"/>
        </w:rPr>
      </w:pPr>
    </w:p>
    <w:p>
      <w:pPr>
        <w:ind w:left="952" w:hanging="290"/>
        <w:spacing w:after="0"/>
        <w:tabs>
          <w:tab w:leader="none" w:pos="952" w:val="left"/>
        </w:tabs>
        <w:numPr>
          <w:ilvl w:val="0"/>
          <w:numId w:val="160"/>
        </w:numPr>
        <w:rPr>
          <w:rFonts w:ascii="MS PGothic" w:cs="MS PGothic" w:eastAsia="MS PGothic" w:hAnsi="MS PGothic"/>
          <w:sz w:val="18"/>
          <w:szCs w:val="18"/>
          <w:color w:val="auto"/>
        </w:rPr>
      </w:pPr>
      <w:r>
        <w:rPr>
          <w:rFonts w:ascii="Arial" w:cs="Arial" w:eastAsia="Arial" w:hAnsi="Arial"/>
          <w:sz w:val="18"/>
          <w:szCs w:val="18"/>
          <w:color w:val="auto"/>
        </w:rPr>
        <w:t>The General Meeting of the Company to be held on the _____ day of ___________, 20__ and at any adjournment(s) thereof.</w:t>
      </w:r>
    </w:p>
    <w:p>
      <w:pPr>
        <w:spacing w:after="0" w:line="333" w:lineRule="exact"/>
        <w:rPr>
          <w:rFonts w:ascii="MS PGothic" w:cs="MS PGothic" w:eastAsia="MS PGothic" w:hAnsi="MS PGothic"/>
          <w:sz w:val="18"/>
          <w:szCs w:val="18"/>
          <w:color w:val="auto"/>
        </w:rPr>
      </w:pPr>
    </w:p>
    <w:p>
      <w:pPr>
        <w:ind w:left="952" w:hanging="290"/>
        <w:spacing w:after="0"/>
        <w:tabs>
          <w:tab w:leader="none" w:pos="952" w:val="left"/>
        </w:tabs>
        <w:numPr>
          <w:ilvl w:val="0"/>
          <w:numId w:val="160"/>
        </w:numPr>
        <w:rPr>
          <w:rFonts w:ascii="MS PGothic" w:cs="MS PGothic" w:eastAsia="MS PGothic" w:hAnsi="MS PGothic"/>
          <w:sz w:val="18"/>
          <w:szCs w:val="18"/>
          <w:color w:val="auto"/>
        </w:rPr>
      </w:pPr>
      <w:r>
        <w:rPr>
          <w:rFonts w:ascii="Arial" w:cs="Arial" w:eastAsia="Arial" w:hAnsi="Arial"/>
          <w:sz w:val="18"/>
          <w:szCs w:val="18"/>
          <w:color w:val="auto"/>
        </w:rPr>
        <w:t>At any General Meeting of the Company, until I shall otherwise notify you.</w:t>
      </w:r>
    </w:p>
    <w:p>
      <w:pPr>
        <w:spacing w:after="0" w:line="333" w:lineRule="exact"/>
        <w:rPr>
          <w:sz w:val="20"/>
          <w:szCs w:val="20"/>
          <w:color w:val="auto"/>
        </w:rPr>
      </w:pPr>
    </w:p>
    <w:p>
      <w:pPr>
        <w:ind w:left="692"/>
        <w:spacing w:after="0"/>
        <w:rPr>
          <w:sz w:val="20"/>
          <w:szCs w:val="20"/>
          <w:color w:val="auto"/>
        </w:rPr>
      </w:pPr>
      <w:r>
        <w:rPr>
          <w:rFonts w:ascii="Arial" w:cs="Arial" w:eastAsia="Arial" w:hAnsi="Arial"/>
          <w:sz w:val="18"/>
          <w:szCs w:val="18"/>
          <w:color w:val="auto"/>
        </w:rPr>
        <w:t>I direct that my vote(s) be cast on the resolutions as indicated by a £ in the appropriate space.</w:t>
      </w:r>
    </w:p>
    <w:p>
      <w:pPr>
        <w:spacing w:after="0" w:line="316" w:lineRule="exact"/>
        <w:rPr>
          <w:sz w:val="20"/>
          <w:szCs w:val="20"/>
          <w:color w:val="auto"/>
        </w:rPr>
      </w:pPr>
    </w:p>
    <w:tbl>
      <w:tblPr>
        <w:tblLayout w:type="fixed"/>
        <w:tblInd w:w="1212" w:type="dxa"/>
        <w:tblCellMar>
          <w:top w:w="0" w:type="dxa"/>
          <w:left w:w="0" w:type="dxa"/>
          <w:bottom w:w="0" w:type="dxa"/>
          <w:right w:w="0" w:type="dxa"/>
        </w:tblCellMar>
      </w:tblPr>
      <w:tr>
        <w:trPr>
          <w:trHeight w:val="207"/>
        </w:trPr>
        <w:tc>
          <w:tcPr>
            <w:tcW w:w="860" w:type="dxa"/>
            <w:vAlign w:val="bottom"/>
          </w:tcPr>
          <w:p>
            <w:pPr>
              <w:jc w:val="center"/>
              <w:spacing w:after="0"/>
              <w:rPr>
                <w:sz w:val="20"/>
                <w:szCs w:val="20"/>
                <w:color w:val="auto"/>
              </w:rPr>
            </w:pPr>
            <w:r>
              <w:rPr>
                <w:rFonts w:ascii="Arial" w:cs="Arial" w:eastAsia="Arial" w:hAnsi="Arial"/>
                <w:sz w:val="18"/>
                <w:szCs w:val="18"/>
                <w:color w:val="auto"/>
                <w:w w:val="91"/>
              </w:rPr>
              <w:t>Resolutions</w:t>
            </w:r>
          </w:p>
        </w:tc>
        <w:tc>
          <w:tcPr>
            <w:tcW w:w="4700" w:type="dxa"/>
            <w:vAlign w:val="bottom"/>
          </w:tcPr>
          <w:p>
            <w:pPr>
              <w:spacing w:after="0"/>
              <w:rPr>
                <w:sz w:val="18"/>
                <w:szCs w:val="18"/>
                <w:color w:val="auto"/>
              </w:rPr>
            </w:pPr>
          </w:p>
        </w:tc>
        <w:tc>
          <w:tcPr>
            <w:tcW w:w="1520" w:type="dxa"/>
            <w:vAlign w:val="bottom"/>
            <w:gridSpan w:val="2"/>
          </w:tcPr>
          <w:p>
            <w:pPr>
              <w:jc w:val="center"/>
              <w:ind w:right="1280"/>
              <w:spacing w:after="0"/>
              <w:rPr>
                <w:sz w:val="20"/>
                <w:szCs w:val="20"/>
                <w:color w:val="auto"/>
              </w:rPr>
            </w:pPr>
            <w:r>
              <w:rPr>
                <w:rFonts w:ascii="Arial" w:cs="Arial" w:eastAsia="Arial" w:hAnsi="Arial"/>
                <w:sz w:val="18"/>
                <w:szCs w:val="18"/>
                <w:color w:val="auto"/>
                <w:w w:val="88"/>
              </w:rPr>
              <w:t>For</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Against</w:t>
            </w:r>
          </w:p>
        </w:tc>
        <w:tc>
          <w:tcPr>
            <w:tcW w:w="540" w:type="dxa"/>
            <w:vAlign w:val="bottom"/>
          </w:tcPr>
          <w:p>
            <w:pPr>
              <w:spacing w:after="0"/>
              <w:rPr>
                <w:sz w:val="18"/>
                <w:szCs w:val="18"/>
                <w:color w:val="auto"/>
              </w:rPr>
            </w:pPr>
          </w:p>
        </w:tc>
        <w:tc>
          <w:tcPr>
            <w:tcW w:w="112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Abstain</w:t>
            </w:r>
          </w:p>
        </w:tc>
      </w:tr>
      <w:tr>
        <w:trPr>
          <w:trHeight w:val="311"/>
        </w:trPr>
        <w:tc>
          <w:tcPr>
            <w:tcW w:w="860" w:type="dxa"/>
            <w:vAlign w:val="bottom"/>
            <w:tcBorders>
              <w:top w:val="single" w:sz="8" w:color="auto"/>
            </w:tcBorders>
          </w:tcPr>
          <w:p>
            <w:pPr>
              <w:jc w:val="right"/>
              <w:ind w:right="177"/>
              <w:spacing w:after="0"/>
              <w:rPr>
                <w:sz w:val="20"/>
                <w:szCs w:val="20"/>
                <w:color w:val="auto"/>
              </w:rPr>
            </w:pPr>
            <w:r>
              <w:rPr>
                <w:rFonts w:ascii="Arial" w:cs="Arial" w:eastAsia="Arial" w:hAnsi="Arial"/>
                <w:sz w:val="15"/>
                <w:szCs w:val="15"/>
                <w:color w:val="auto"/>
              </w:rPr>
              <w:t>(***)</w:t>
            </w:r>
          </w:p>
        </w:tc>
        <w:tc>
          <w:tcPr>
            <w:tcW w:w="4700" w:type="dxa"/>
            <w:vAlign w:val="bottom"/>
          </w:tcPr>
          <w:p>
            <w:pPr>
              <w:spacing w:after="0"/>
              <w:rPr>
                <w:sz w:val="24"/>
                <w:szCs w:val="24"/>
                <w:color w:val="auto"/>
              </w:rPr>
            </w:pPr>
          </w:p>
        </w:tc>
        <w:tc>
          <w:tcPr>
            <w:tcW w:w="1520" w:type="dxa"/>
            <w:vAlign w:val="bottom"/>
            <w:tcBorders>
              <w:top w:val="single" w:sz="8" w:color="auto"/>
            </w:tcBorders>
            <w:gridSpan w:val="2"/>
          </w:tcPr>
          <w:p>
            <w:pPr>
              <w:jc w:val="center"/>
              <w:ind w:right="1280"/>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90" w:lineRule="exact"/>
        <w:rPr>
          <w:sz w:val="20"/>
          <w:szCs w:val="20"/>
          <w:color w:val="auto"/>
        </w:rPr>
      </w:pPr>
    </w:p>
    <w:p>
      <w:pPr>
        <w:ind w:left="692" w:right="320"/>
        <w:spacing w:after="0" w:line="277" w:lineRule="auto"/>
        <w:rPr>
          <w:sz w:val="20"/>
          <w:szCs w:val="20"/>
          <w:color w:val="auto"/>
        </w:rPr>
      </w:pPr>
      <w:r>
        <w:rPr>
          <w:rFonts w:ascii="Arial" w:cs="Arial" w:eastAsia="Arial" w:hAnsi="Arial"/>
          <w:sz w:val="18"/>
          <w:szCs w:val="18"/>
          <w:color w:val="auto"/>
        </w:rPr>
        <w:t>On the receipt of this form duly signed but without any specific direction on a particular matter, my proxy will vote or abstain at his/her discretion.</w:t>
      </w:r>
    </w:p>
    <w:p>
      <w:pPr>
        <w:spacing w:after="0" w:line="279"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[If required by the Company's Articles of Association – mark 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2" w:right="239" w:bottom="1440" w:gutter="0" w:footer="0" w:header="0"/>
        </w:sectPr>
      </w:pPr>
    </w:p>
    <w:bookmarkStart w:id="144" w:name="page145"/>
    <w:bookmarkEnd w:id="144"/>
    <w:p>
      <w:pPr>
        <w:ind w:left="1960" w:hanging="885"/>
        <w:spacing w:after="0"/>
        <w:tabs>
          <w:tab w:leader="none" w:pos="1960" w:val="left"/>
        </w:tabs>
        <w:numPr>
          <w:ilvl w:val="0"/>
          <w:numId w:val="161"/>
        </w:numPr>
        <w:rPr>
          <w:rFonts w:ascii="MS PGothic" w:cs="MS PGothic" w:eastAsia="MS PGothic" w:hAnsi="MS PGothic"/>
          <w:sz w:val="17"/>
          <w:szCs w:val="17"/>
          <w:color w:val="auto"/>
        </w:rPr>
      </w:pPr>
      <w:r>
        <w:rPr>
          <w:rFonts w:ascii="Arial" w:cs="Arial" w:eastAsia="Arial" w:hAnsi="Arial"/>
          <w:sz w:val="17"/>
          <w:szCs w:val="17"/>
          <w:color w:val="auto"/>
        </w:rPr>
        <w:t>I hereby notify the Company that I do not have a personal interest in any of the resolutions to be voted on in the meeting.</w:t>
      </w:r>
    </w:p>
    <w:p>
      <w:pPr>
        <w:spacing w:after="0" w:line="344" w:lineRule="exact"/>
        <w:rPr>
          <w:rFonts w:ascii="MS PGothic" w:cs="MS PGothic" w:eastAsia="MS PGothic" w:hAnsi="MS PGothic"/>
          <w:sz w:val="17"/>
          <w:szCs w:val="17"/>
          <w:color w:val="auto"/>
        </w:rPr>
      </w:pPr>
    </w:p>
    <w:p>
      <w:pPr>
        <w:ind w:left="700" w:right="620" w:firstLine="375"/>
        <w:spacing w:after="0" w:line="626" w:lineRule="auto"/>
        <w:tabs>
          <w:tab w:leader="none" w:pos="1960" w:val="left"/>
        </w:tabs>
        <w:numPr>
          <w:ilvl w:val="0"/>
          <w:numId w:val="161"/>
        </w:numPr>
        <w:rPr>
          <w:rFonts w:ascii="MS PGothic" w:cs="MS PGothic" w:eastAsia="MS PGothic" w:hAnsi="MS PGothic"/>
          <w:sz w:val="18"/>
          <w:szCs w:val="18"/>
          <w:color w:val="auto"/>
        </w:rPr>
      </w:pPr>
      <w:r>
        <w:rPr>
          <w:rFonts w:ascii="Arial" w:cs="Arial" w:eastAsia="Arial" w:hAnsi="Arial"/>
          <w:sz w:val="18"/>
          <w:szCs w:val="18"/>
          <w:color w:val="auto"/>
        </w:rPr>
        <w:t>I hereby notify the Company that I have a personal interest in resolutions no. ____________ to be voted on in the meeting. Signed this ______ day of 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-1044575</wp:posOffset>
            </wp:positionV>
            <wp:extent cx="6663690" cy="26327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63690" cy="263271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(Signature of Appointer)</w:t>
      </w:r>
    </w:p>
    <w:p>
      <w:pPr>
        <w:spacing w:after="0" w:line="374" w:lineRule="exact"/>
        <w:rPr>
          <w:sz w:val="20"/>
          <w:szCs w:val="20"/>
          <w:color w:val="auto"/>
        </w:rPr>
      </w:pPr>
    </w:p>
    <w:p>
      <w:pPr>
        <w:ind w:left="700" w:right="320" w:hanging="3"/>
        <w:spacing w:after="0" w:line="221" w:lineRule="auto"/>
        <w:tabs>
          <w:tab w:leader="none" w:pos="912" w:val="left"/>
        </w:tabs>
        <w:numPr>
          <w:ilvl w:val="0"/>
          <w:numId w:val="162"/>
        </w:numPr>
        <w:rPr>
          <w:rFonts w:ascii="Arial" w:cs="Arial" w:eastAsia="Arial" w:hAnsi="Arial"/>
          <w:sz w:val="26"/>
          <w:szCs w:val="26"/>
          <w:color w:val="auto"/>
          <w:vertAlign w:val="superscript"/>
        </w:rPr>
      </w:pPr>
      <w:r>
        <w:rPr>
          <w:rFonts w:ascii="Arial" w:cs="Arial" w:eastAsia="Arial" w:hAnsi="Arial"/>
          <w:sz w:val="16"/>
          <w:szCs w:val="16"/>
          <w:color w:val="auto"/>
        </w:rPr>
        <w:t>A registered shareholder may grant a number of proxy appointment instruments, each in relation to another quantity of the Company's shares held by him, provided that he does not grant proxy appointment instruments for a quantity of shares larger than the quantity held by him.</w:t>
      </w:r>
    </w:p>
    <w:p>
      <w:pPr>
        <w:spacing w:after="0" w:line="283" w:lineRule="exact"/>
        <w:rPr>
          <w:sz w:val="20"/>
          <w:szCs w:val="20"/>
          <w:color w:val="auto"/>
        </w:rPr>
      </w:pPr>
    </w:p>
    <w:p>
      <w:pPr>
        <w:ind w:left="980" w:hanging="283"/>
        <w:spacing w:after="0"/>
        <w:tabs>
          <w:tab w:leader="none" w:pos="980" w:val="left"/>
        </w:tabs>
        <w:numPr>
          <w:ilvl w:val="0"/>
          <w:numId w:val="163"/>
        </w:numPr>
        <w:rPr>
          <w:rFonts w:ascii="Arial" w:cs="Arial" w:eastAsia="Arial" w:hAnsi="Arial"/>
          <w:sz w:val="26"/>
          <w:szCs w:val="26"/>
          <w:color w:val="auto"/>
          <w:vertAlign w:val="superscript"/>
        </w:rPr>
      </w:pPr>
      <w:r>
        <w:rPr>
          <w:rFonts w:ascii="Arial" w:cs="Arial" w:eastAsia="Arial" w:hAnsi="Arial"/>
          <w:sz w:val="16"/>
          <w:szCs w:val="16"/>
          <w:color w:val="auto"/>
        </w:rPr>
        <w:t>Where the proxy does not have an Israeli identity document, the passport number and the country, which issued the passport, may be stated.</w:t>
      </w:r>
    </w:p>
    <w:p>
      <w:pPr>
        <w:spacing w:after="0" w:line="247" w:lineRule="exact"/>
        <w:rPr>
          <w:sz w:val="20"/>
          <w:szCs w:val="20"/>
          <w:color w:val="auto"/>
        </w:rPr>
      </w:pPr>
    </w:p>
    <w:p>
      <w:pPr>
        <w:ind w:left="1060" w:hanging="363"/>
        <w:spacing w:after="0"/>
        <w:tabs>
          <w:tab w:leader="none" w:pos="1060" w:val="left"/>
        </w:tabs>
        <w:numPr>
          <w:ilvl w:val="0"/>
          <w:numId w:val="164"/>
        </w:numPr>
        <w:rPr>
          <w:rFonts w:ascii="Arial" w:cs="Arial" w:eastAsia="Arial" w:hAnsi="Arial"/>
          <w:sz w:val="29"/>
          <w:szCs w:val="29"/>
          <w:color w:val="auto"/>
          <w:vertAlign w:val="superscript"/>
        </w:rPr>
      </w:pPr>
      <w:r>
        <w:rPr>
          <w:rFonts w:ascii="Arial" w:cs="Arial" w:eastAsia="Arial" w:hAnsi="Arial"/>
          <w:sz w:val="18"/>
          <w:szCs w:val="18"/>
          <w:color w:val="auto"/>
        </w:rPr>
        <w:t>Fill in the resolutions set forth in the agenda of the meeting and mark your vote with respect to each</w:t>
      </w:r>
    </w:p>
    <w:p>
      <w:pPr>
        <w:spacing w:after="0" w:line="24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45.2. The deed of authorization of a proxy (and the power of attorney or other authority, if any, under which such instrument has been signed) shall either be delivered to the Company (at its registered office or at such place as the Board may specify) not less than the time fixed for the meeting at which the person named in the deed of authorization proposes to vote, or presented to the Chairman at such meeting.</w:t>
      </w:r>
    </w:p>
    <w:p>
      <w:pPr>
        <w:spacing w:after="0" w:line="162"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FFECT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EATH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PPOINTER OR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EVOCATION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PPOINTMENT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vote cast pursuant to a deed of authorization of a proxy shall be valid notwithstanding the previous death, incapacity or bankruptcy, or if a company or other corporate entity, the liquidation, of the appointing Shareholder (or of his attorney-in-fact, if any, who signed such instrument), or the revocation of the appointment or the transfer of the share in respect of which the vote is cast, provided no written notice of any such event shall have been received by the Company or by the Chairman of the General Meeting before such vote is cast and provided, further, that the appointing Shareholder, if present in person at said General Meeting, may revoke the appointment by means of a writing, oral notification to the Chairman, or otherwise.</w:t>
      </w:r>
    </w:p>
    <w:p>
      <w:pPr>
        <w:spacing w:after="0" w:line="154"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ISQUALIFICATION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EEDS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UTHORIZATION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the provisions of applicable Law, the corporate secretary of the Company may, in his discretion, disqualify a deed of authorization and so notify the Shareholder who submitted the deed of authorization in the following cases:</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color w:val="auto"/>
        </w:rPr>
        <w:t>If there is a reasonable suspicion that it is forged or falsified;</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6"/>
          <w:szCs w:val="16"/>
          <w:color w:val="auto"/>
        </w:rPr>
        <w:t>If it is not duly executed or completed;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bookmarkStart w:id="145" w:name="page146"/>
    <w:bookmarkEnd w:id="145"/>
    <w:p>
      <w:pPr>
        <w:jc w:val="both"/>
        <w:ind w:left="660"/>
        <w:spacing w:after="0" w:line="277" w:lineRule="auto"/>
        <w:rPr>
          <w:sz w:val="20"/>
          <w:szCs w:val="20"/>
          <w:color w:val="auto"/>
        </w:rPr>
      </w:pPr>
      <w:r>
        <w:rPr>
          <w:rFonts w:ascii="Arial" w:cs="Arial" w:eastAsia="Arial" w:hAnsi="Arial"/>
          <w:sz w:val="18"/>
          <w:szCs w:val="18"/>
          <w:color w:val="auto"/>
        </w:rPr>
        <w:t>47.3. If there is a reasonable suspicion that it is given with respect to shares for which one or more deeds of authorization have been given and not withdrawn; or</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47.4.</w:t>
      </w:r>
      <w:r>
        <w:rPr>
          <w:sz w:val="20"/>
          <w:szCs w:val="20"/>
          <w:color w:val="auto"/>
        </w:rPr>
        <w:tab/>
      </w:r>
      <w:r>
        <w:rPr>
          <w:rFonts w:ascii="Arial" w:cs="Arial" w:eastAsia="Arial" w:hAnsi="Arial"/>
          <w:sz w:val="16"/>
          <w:szCs w:val="16"/>
          <w:color w:val="auto"/>
        </w:rPr>
        <w:t>If more than one choice is marked for the same resolution; or</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47.5. With respect to resolutions, which require that the majority for their adoption include a certain percentage of those not having a personal interest in the approval of the resolution, where it was not marked, or otherwise notified to the Company, whether or not the relevant Shareholder has a personal interest.</w:t>
      </w:r>
    </w:p>
    <w:p>
      <w:pPr>
        <w:spacing w:after="0" w:line="177"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may, in its sole discretion, send to the Shareholders a recommendation in order to persuade them with respect to any matter, which is on the agenda of the General Meeting. Such recommendation shall be delivered at the expense of the Company.</w:t>
      </w:r>
    </w:p>
    <w:p>
      <w:pPr>
        <w:spacing w:after="0" w:line="166"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ESERVED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5"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UTHORITY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p>
    <w:p>
      <w:pPr>
        <w:spacing w:after="0" w:line="22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color w:val="auto"/>
        </w:rPr>
        <w:t>The authority of the Board is as specified in the Companies Law and in the provisions of these Articles.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50.2. The Board may exercise any authority of the Company that is not, by the Companies Law or by these Articles, required to be exercised by another organ of the Company.</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Without derogating from the generality of Articles 50.1 and 50.2 above, the Board’s authority shall include the following:</w:t>
      </w:r>
    </w:p>
    <w:p>
      <w:pPr>
        <w:spacing w:after="0" w:line="225" w:lineRule="exact"/>
        <w:rPr>
          <w:sz w:val="20"/>
          <w:szCs w:val="20"/>
          <w:color w:val="auto"/>
        </w:rPr>
      </w:pPr>
    </w:p>
    <w:p>
      <w:pPr>
        <w:jc w:val="both"/>
        <w:ind w:left="1300" w:firstLine="5"/>
        <w:spacing w:after="0" w:line="276" w:lineRule="auto"/>
        <w:tabs>
          <w:tab w:leader="none" w:pos="202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Board may, from time to time, in its discretion, cause the Company to borrow or secure the payment of any sum or sums of money for the purposes of the Company, and may secure or provide for the repayment of such sum or sums in such manner, at such times and upon such terms and conditions in all respects as it deems appropriate, including, without limitation, by the issuance of bonds, perpetual or redeemable debentures or other Securities, or any mortgages, charges, or other liens on the undertaking or the whole or any part of the property of the Company, both present and future, including its uncalled or called but unpaid capital.</w:t>
      </w:r>
    </w:p>
    <w:p>
      <w:pPr>
        <w:spacing w:after="0" w:line="172" w:lineRule="exact"/>
        <w:rPr>
          <w:rFonts w:ascii="Arial" w:cs="Arial" w:eastAsia="Arial" w:hAnsi="Arial"/>
          <w:sz w:val="17"/>
          <w:szCs w:val="17"/>
          <w:color w:val="auto"/>
        </w:rPr>
      </w:pPr>
    </w:p>
    <w:p>
      <w:pPr>
        <w:jc w:val="both"/>
        <w:ind w:left="1300" w:firstLine="5"/>
        <w:spacing w:after="0" w:line="255" w:lineRule="auto"/>
        <w:tabs>
          <w:tab w:leader="none" w:pos="209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Board may, from time to time, set aside any amount(s) out of the profits of the Company as a reserve or reserves for any purpose(s) which the Board, in its sole discretion, shall deem appropriate,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may from time to time deem appropriate.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6" w:name="page147"/>
    <w:bookmarkEnd w:id="146"/>
    <w:p>
      <w:pPr>
        <w:jc w:val="both"/>
        <w:ind w:left="1300" w:right="20" w:firstLine="5"/>
        <w:spacing w:after="0" w:line="312" w:lineRule="auto"/>
        <w:tabs>
          <w:tab w:leader="none" w:pos="2123" w:val="left"/>
        </w:tabs>
        <w:numPr>
          <w:ilvl w:val="1"/>
          <w:numId w:val="171"/>
        </w:numPr>
        <w:rPr>
          <w:rFonts w:ascii="Arial" w:cs="Arial" w:eastAsia="Arial" w:hAnsi="Arial"/>
          <w:sz w:val="16"/>
          <w:szCs w:val="16"/>
          <w:color w:val="auto"/>
        </w:rPr>
      </w:pPr>
      <w:r>
        <w:rPr>
          <w:rFonts w:ascii="Arial" w:cs="Arial" w:eastAsia="Arial" w:hAnsi="Arial"/>
          <w:sz w:val="16"/>
          <w:szCs w:val="16"/>
          <w:color w:val="auto"/>
        </w:rPr>
        <w:t>Subject to the provisions of any Law, the Board may, from time to time, authorize any person to be the representative of the Company with respect to those objectives and subject to those conditions and for that time period, as the Board deems appropriate, and may also grant any such representative the authority to delegate any or all of the authorities, powers and discretion given to him by the Board.</w:t>
      </w:r>
    </w:p>
    <w:p>
      <w:pPr>
        <w:spacing w:after="0" w:line="142" w:lineRule="exact"/>
        <w:rPr>
          <w:rFonts w:ascii="Arial" w:cs="Arial" w:eastAsia="Arial" w:hAnsi="Arial"/>
          <w:sz w:val="16"/>
          <w:szCs w:val="16"/>
          <w:color w:val="auto"/>
        </w:rPr>
      </w:pPr>
    </w:p>
    <w:p>
      <w:pPr>
        <w:ind w:left="660" w:hanging="652"/>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ONVENING</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EETINGS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51.1. The Chairman of the Board, and in the event that a Chairman has not been appointed, any Director, may convene a meeting of the Board at any time; provided that a meeting of the Board be convened at least once a year.</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51.2. The Chairman of the Board shall convene a meeting of the Board at any time or in any event that such meeting is required by the provisions of the Companies Law. Additionally:</w:t>
      </w:r>
    </w:p>
    <w:p>
      <w:pPr>
        <w:spacing w:after="0" w:line="170" w:lineRule="exact"/>
        <w:rPr>
          <w:sz w:val="20"/>
          <w:szCs w:val="20"/>
          <w:color w:val="auto"/>
        </w:rPr>
      </w:pPr>
    </w:p>
    <w:p>
      <w:pPr>
        <w:ind w:left="1960" w:hanging="655"/>
        <w:spacing w:after="0"/>
        <w:tabs>
          <w:tab w:leader="none" w:pos="19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Chairman of the Board shall convene the Board on a specified matter on the demand of any one Director;</w:t>
      </w:r>
    </w:p>
    <w:p>
      <w:pPr>
        <w:spacing w:after="0" w:line="225" w:lineRule="exact"/>
        <w:rPr>
          <w:rFonts w:ascii="Arial" w:cs="Arial" w:eastAsia="Arial" w:hAnsi="Arial"/>
          <w:sz w:val="18"/>
          <w:szCs w:val="18"/>
          <w:color w:val="auto"/>
        </w:rPr>
      </w:pPr>
    </w:p>
    <w:p>
      <w:pPr>
        <w:jc w:val="both"/>
        <w:ind w:left="1300" w:firstLine="5"/>
        <w:spacing w:after="0" w:line="259" w:lineRule="auto"/>
        <w:tabs>
          <w:tab w:leader="none" w:pos="199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Chairman of the Board shall act without delay to call a meeting of the Board within 14 days of being notified by a Director of the Company that he has learned of a matter of the Company in which a breach of the Law or impairment to proper business procedure has prima facie been discovered or of the date on which the Company's independent auditor reports to him that he has learned of material deficiencies in the audit of the Company's accounts; and</w:t>
      </w:r>
    </w:p>
    <w:p>
      <w:pPr>
        <w:spacing w:after="0" w:line="186" w:lineRule="exact"/>
        <w:rPr>
          <w:rFonts w:ascii="Arial" w:cs="Arial" w:eastAsia="Arial" w:hAnsi="Arial"/>
          <w:sz w:val="18"/>
          <w:szCs w:val="18"/>
          <w:color w:val="auto"/>
        </w:rPr>
      </w:pPr>
    </w:p>
    <w:p>
      <w:pPr>
        <w:ind w:left="1300" w:firstLine="5"/>
        <w:spacing w:after="0" w:line="277" w:lineRule="auto"/>
        <w:tabs>
          <w:tab w:leader="none" w:pos="196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if a notice or report of the Chief Executive Officer obliges action by the Board, the Chairman of the Board shall, without delay and within 14 days of the notice or report, call a meeting of the Board.</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OTICE OF A</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p>
    <w:p>
      <w:pPr>
        <w:spacing w:after="0" w:line="229"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52.1. Any notice with respect to meeting of the Board shall be given in writing, so long as the notice is given at least seven (7) days prior to the date fixed for the meeting, unless all members of the Board or their Alternate Directors (as defined in Article 62.1 ) or their Representatives (as defined in Article 62.3) agree on a shorter time period. Such notice shall be delivered personally, by mail, or transmitted via facsimile or through another means of communication, to the address, facsimile number or to an address where messages can be delivered through other means of communication, as the case may be, as the Director informed the Company in advance.</w:t>
      </w:r>
    </w:p>
    <w:p>
      <w:pPr>
        <w:spacing w:after="0" w:line="1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52.2. A notice with respect to a meeting of the Board shall include the place, date and time of the meeting of the Board, the issues on its agenda and any other material that the Chairman of the Board, or the Director who convened the meeting, requests to be included in the notice with respect to the meeting.</w:t>
      </w:r>
    </w:p>
    <w:p>
      <w:pPr>
        <w:spacing w:after="0" w:line="177"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GENDA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agenda of any meeting of the Board shall be as determined by the Chairman of the Board, and if there is no Chairman, by the Director convening the meeting, and shall include the following matters: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7" w:name="page148"/>
    <w:bookmarkEnd w:id="147"/>
    <w:p>
      <w:pPr>
        <w:ind w:left="660"/>
        <w:spacing w:after="0"/>
        <w:tabs>
          <w:tab w:leader="none" w:pos="144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color w:val="auto"/>
        </w:rPr>
        <w:t>Matters for which the meeting is required to be convened in accordance with the Companies Law;</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53.2. Any matter requested by a Director or by the Chief Executive Officer to be included in the meeting within a reasonable time (taking into account the nature of the matter) prior to the date of the meeting;</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6"/>
          <w:szCs w:val="16"/>
          <w:color w:val="auto"/>
        </w:rPr>
        <w:t>Any other matter determined by the Chairman of the Board, or by the Director convening the meeting.</w:t>
      </w:r>
    </w:p>
    <w:p>
      <w:pPr>
        <w:spacing w:after="0" w:line="221"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UORUM</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54.1. The Board of Directors shall be able to convene and to adjourn its meetings and to arrange its activities and its discussions, when a legal quorum shall be present at the time the meeting commenced or within half an hour from the time which was fixed for the meeting.</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54.2. Unless otherwise unanimously decided by the Board, a quorum at a meeting of the Board shall be constituted by the presence (whether in person or by other means of participation, in accordance with Article 55 below) of a majority of the Directors (or their Alternate Directors) then in office who are lawfully entitled to participate in the meeting.</w:t>
      </w:r>
    </w:p>
    <w:p>
      <w:pPr>
        <w:spacing w:after="0" w:line="181" w:lineRule="exact"/>
        <w:rPr>
          <w:sz w:val="20"/>
          <w:szCs w:val="20"/>
          <w:color w:val="auto"/>
        </w:rPr>
      </w:pPr>
    </w:p>
    <w:p>
      <w:pPr>
        <w:jc w:val="both"/>
        <w:ind w:left="660"/>
        <w:spacing w:after="0" w:line="284" w:lineRule="auto"/>
        <w:rPr>
          <w:sz w:val="20"/>
          <w:szCs w:val="20"/>
          <w:color w:val="auto"/>
        </w:rPr>
      </w:pPr>
      <w:r>
        <w:rPr>
          <w:rFonts w:ascii="Arial" w:cs="Arial" w:eastAsia="Arial" w:hAnsi="Arial"/>
          <w:sz w:val="16"/>
          <w:szCs w:val="16"/>
          <w:color w:val="auto"/>
        </w:rPr>
        <w:t>54.3. If within half an hour from the time appointed for the meeting a quorum is not present, the meeting shall stand adjourned to the next forty eight (48) hours, at the same place, or to such day and at such time and place as the Chairman may determine with the consent of the majority of the Directors represent. No business shall be transacted at any adjourned meeting except business, which might lawfully have been transacted at the meeting as originally called. In any event of a meeting adjourned as aforesaid, the Company will, as soon as practicable following the respective original meeting (but in any event by the end of the next Business Day thereafter), send a facsimile transmission to all directors incumbent at the time the notice is sent, notifying such directors of the adjourned meeting (specifying the time and place thereof). At such adjourned meeting, any two</w:t>
      </w:r>
    </w:p>
    <w:p>
      <w:pPr>
        <w:spacing w:after="0" w:line="5" w:lineRule="exact"/>
        <w:rPr>
          <w:sz w:val="20"/>
          <w:szCs w:val="20"/>
          <w:color w:val="auto"/>
        </w:rPr>
      </w:pPr>
    </w:p>
    <w:p>
      <w:pPr>
        <w:jc w:val="both"/>
        <w:ind w:left="660" w:hanging="4"/>
        <w:spacing w:after="0" w:line="255" w:lineRule="auto"/>
        <w:tabs>
          <w:tab w:leader="none" w:pos="939"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Directors (or their Alternate Directors) (whether present in person or by other means of participation, in accordance with Article 55 below) present shall constitute a lawful quorum. No business shall be transacted at any adjourned meeting except business, which might lawfully have been transacted at the meeting as originally called.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ONDUCTING A</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HROUGH</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EANS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may conduct a meeting of the Board through the use of any means of communication, provided all of the participating Directors can hear each other simultaneously. A resolution approved by use of means of communications as aforesaid, shall be deemed to be a resolution lawfully adopted at a meeting of the Board.</w:t>
      </w:r>
    </w:p>
    <w:p>
      <w:pPr>
        <w:spacing w:after="0" w:line="177"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 IN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provided by these Articles, issues presented at meetings of the Board shall be decided upon by a majority of the votes of Directors present (or participating, in the case of a vote through a permitted means of communications) and lawfully entitled to vote thereon and actually voting, excluding abstentions. Subject to the provision of Article 62.3 below, with respect to representatives of Directors that are companies, each Director shall have a single vote.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8" w:name="page149"/>
    <w:bookmarkEnd w:id="148"/>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DOPTION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ESOLUTIONS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ITHOUT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ONVENING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may adopt resolutions without actually convening with the written consent (given by letter, facsimile, e-mail or otherwise) or oral consent (provided that a written summary thereof has been approved and signed by the Chairman of the Board or, in the case there is only one Director in the Board, by such director) of all the Directors then in office and lawfully entitled (as conclusively determined by the Chairman of the Board) to participate and to vote thereon. Matters presented in accordance with this Article 57 shall be decided upon by a majority of the votes of such Directors. Resolutions adopted pursuant to this Article 57 shall be deemed to have been duly adopted by a meeting of the Board duly convened and held. Minutes of such resolutions shall be approved and signed by the Chairman of the Board.</w:t>
      </w:r>
    </w:p>
    <w:p>
      <w:pPr>
        <w:spacing w:after="0" w:line="189"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RITTEN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resolution in writing signed by all Directors then in office and lawfully entitled to vote thereon or to which all such Directors have given their consent (by letter, telegram, telex, facsimile, e-mail or otherwise), or their oral consent by telephone (provided that a written summary thereof has been approved and signed by the Chairman of the Board or, in the case there is only one Director in the Board, by such director), shall be deemed to have been unanimously adopted by a meeting of the Board duly convened and held.</w:t>
      </w:r>
    </w:p>
    <w:p>
      <w:pPr>
        <w:spacing w:after="0" w:line="183"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shall consist of up to five (5) Directors.</w:t>
      </w:r>
    </w:p>
    <w:p>
      <w:pPr>
        <w:spacing w:after="0" w:line="221"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ENERALLY</w:t>
      </w:r>
    </w:p>
    <w:p>
      <w:pPr>
        <w:spacing w:after="0" w:line="22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color w:val="auto"/>
        </w:rPr>
        <w:t>Subject to the provisions of the Companies Law, a Director may hold another position in the Company.</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color w:val="auto"/>
        </w:rPr>
        <w:t>A company or other corporate entity may serve as a Director in the Company, subject to the provisions of Article 62 below.</w:t>
      </w:r>
    </w:p>
    <w:p>
      <w:pPr>
        <w:spacing w:after="0" w:line="221"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LECTION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61.1. The Directors of the Company shall be elected by a resolution of the General Meeting of the Shareholders adopted by an Ordinary Majority.</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61.2. Any Director(s) may only be replaced or removed from office (by written notice) by the Shareholder(s) that designated such Director, and any vacancy, however created, in the Board of Directors may only be filled (by written notice) by the Shareholder(s) that were entitled to designate the previous incumbent of such vacancy. Any such act shall become effective on the date fixed in such notice, or upon the delivery thereof to the Company, whichever is later.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9" w:name="page150"/>
    <w:bookmarkEnd w:id="149"/>
    <w:p>
      <w:pPr>
        <w:ind w:left="660" w:hanging="652"/>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LTERNATE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EPRESENTATIVE OF A</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 THAT IS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62.1. Subject to the provisions of the Companies Law, any Director may, by written notice to the Company, appoint an alternate for himself (in these Articles, an “</w:t>
      </w:r>
      <w:r>
        <w:rPr>
          <w:rFonts w:ascii="Arial" w:cs="Arial" w:eastAsia="Arial" w:hAnsi="Arial"/>
          <w:sz w:val="16"/>
          <w:szCs w:val="16"/>
          <w:b w:val="1"/>
          <w:bCs w:val="1"/>
          <w:color w:val="auto"/>
        </w:rPr>
        <w:t>Alternate Director</w:t>
      </w:r>
      <w:r>
        <w:rPr>
          <w:rFonts w:ascii="Arial" w:cs="Arial" w:eastAsia="Arial" w:hAnsi="Arial"/>
          <w:sz w:val="16"/>
          <w:szCs w:val="16"/>
          <w:color w:val="auto"/>
        </w:rPr>
        <w:t>”), dismiss such Alternate Director and appoint another Alternate Director in place of any Alternate Director appointed by him whose office has been vacated for any reason whatsoever, whether for a certain meeting or a certain period of time or generally. Any notice given to the Company pursuant to this Article shall be in writing, delivered to the Company and signed by the appointing or dismissing Director, and shall become effective on the date fixed therein, or upon the delivery thereof to the Company, whichever is later.</w:t>
      </w:r>
    </w:p>
    <w:p>
      <w:pPr>
        <w:spacing w:after="0" w:line="15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Anyone who is not qualified to be appointed as a Director may not be appointed and may not serve as an Alternate Director.</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62.3. A Director that is a company or other corporate entity shall appoint an individual, qualified to be appointed as a Director in the Company, in order to serve on its behalf, either for a certain meeting or for a certain period of time or generally and such company or other entity may also dismiss that individual and appoint another in his stead (hereinafter: “</w:t>
      </w:r>
      <w:r>
        <w:rPr>
          <w:rFonts w:ascii="Arial" w:cs="Arial" w:eastAsia="Arial" w:hAnsi="Arial"/>
          <w:sz w:val="18"/>
          <w:szCs w:val="18"/>
          <w:b w:val="1"/>
          <w:bCs w:val="1"/>
          <w:color w:val="auto"/>
        </w:rPr>
        <w:t>Director’s Representatives</w:t>
      </w:r>
      <w:r>
        <w:rPr>
          <w:rFonts w:ascii="Arial" w:cs="Arial" w:eastAsia="Arial" w:hAnsi="Arial"/>
          <w:sz w:val="18"/>
          <w:szCs w:val="18"/>
          <w:color w:val="auto"/>
        </w:rPr>
        <w:t>”). Any notice given to the Company pursuant to this Article 62.3 shall be in writing, delivered to the Company and signed by the appointing or dismissing body, and shall become effective on the date fixed therein, or upon the delivery thereof to the Company, whichever is later.</w:t>
      </w:r>
    </w:p>
    <w:p>
      <w:pPr>
        <w:spacing w:after="0" w:line="18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62.4. Subject to Article 62.3, any person, whether or not a Director, may serve as a Director’s Representative or Alternate Director. One person may act as a Director’s Representative of several Directors, and in such event he shall have a number of votes (and shall be treated as the number of persons for purposes of establishing a quorum) equal to the number of Directors for whom he acts as a Director’s Representative or Alternate Director, as applicable. If a Director’s Representative is also a Director in his own right, his rights as a Director’s Representative or Alternate Director, as applicable, shall be in addition to his rights as a Director.</w:t>
      </w:r>
    </w:p>
    <w:p>
      <w:pPr>
        <w:spacing w:after="0" w:line="1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62.5. Each of an Alternate Director and a Director’s Representative shall have all the authority of the Director who appointed him (except that neither an Alternate Director nor a director's Representative may appoint an alternate for himself, unless the instrument appointing him otherwise expressly provides), provided, however, that an Alternate Director shall have no standing at any meeting of the Board or any committee thereof while the Director who appointed him is present.</w:t>
      </w:r>
    </w:p>
    <w:p>
      <w:pPr>
        <w:spacing w:after="0" w:line="18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 xml:space="preserve">62.6. The office of an Alternate Director or a Director’s Representative shall be vacated under the circumstances,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set forth in Article 63, and such office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 vacated if the Director who appointed such Alternate Director or Director’s Representative ceases to be</w:t>
      </w:r>
    </w:p>
    <w:p>
      <w:pPr>
        <w:ind w:left="660"/>
        <w:spacing w:after="0"/>
        <w:rPr>
          <w:sz w:val="20"/>
          <w:szCs w:val="20"/>
          <w:color w:val="auto"/>
        </w:rPr>
      </w:pPr>
      <w:r>
        <w:rPr>
          <w:rFonts w:ascii="Arial" w:cs="Arial" w:eastAsia="Arial" w:hAnsi="Arial"/>
          <w:sz w:val="18"/>
          <w:szCs w:val="18"/>
          <w:color w:val="auto"/>
        </w:rPr>
        <w:t>a Director.</w:t>
      </w:r>
    </w:p>
    <w:p>
      <w:pPr>
        <w:spacing w:after="0" w:line="206"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 OF A</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of a Director shall terminate in any of the following cases:</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If he, she or it resigned from his, her or its office by way of a signed letter, filed with the corporate secretary at the Company’s office;</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If he, she or it is declared bankrupt;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6"/>
          <w:szCs w:val="16"/>
          <w:color w:val="auto"/>
        </w:rPr>
        <w:t>If he or she is declared by an appropriate court to be incapacitated;</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63.4. Upon his or her death and, in the event of a company or other corporate entity, upon the adoption of a resolution for its voluntary liquidation or the issuance of a liquidation order;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0" w:name="page151"/>
    <w:bookmarkEnd w:id="150"/>
    <w:p>
      <w:pPr>
        <w:jc w:val="both"/>
        <w:ind w:left="660"/>
        <w:spacing w:after="0" w:line="264" w:lineRule="auto"/>
        <w:rPr>
          <w:sz w:val="20"/>
          <w:szCs w:val="20"/>
          <w:color w:val="auto"/>
        </w:rPr>
      </w:pPr>
      <w:r>
        <w:rPr>
          <w:rFonts w:ascii="Arial" w:cs="Arial" w:eastAsia="Arial" w:hAnsi="Arial"/>
          <w:sz w:val="18"/>
          <w:szCs w:val="18"/>
          <w:color w:val="auto"/>
        </w:rPr>
        <w:t>63.5. If he, she or it is removed from his office by way of a written notice to the Company of the termination of his appointment by the persons or entities that appointed him, her or it, pursuant to the circumstances set forth in Article 61 or if the persons or entities that appointed him, her or it, are no longer entitled to appoint him, her or it;</w:t>
      </w:r>
    </w:p>
    <w:p>
      <w:pPr>
        <w:spacing w:after="0" w:line="18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63.6.</w:t>
      </w:r>
      <w:r>
        <w:rPr>
          <w:sz w:val="20"/>
          <w:szCs w:val="20"/>
          <w:color w:val="auto"/>
        </w:rPr>
        <w:tab/>
      </w:r>
      <w:r>
        <w:rPr>
          <w:rFonts w:ascii="Arial" w:cs="Arial" w:eastAsia="Arial" w:hAnsi="Arial"/>
          <w:sz w:val="16"/>
          <w:szCs w:val="16"/>
          <w:color w:val="auto"/>
        </w:rPr>
        <w:t>If he or she is convicted of a crime requiring his or her termination pursuant the Companies Law; or</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63.7.</w:t>
      </w:r>
      <w:r>
        <w:rPr>
          <w:sz w:val="20"/>
          <w:szCs w:val="20"/>
          <w:color w:val="auto"/>
        </w:rPr>
        <w:tab/>
      </w:r>
      <w:r>
        <w:rPr>
          <w:rFonts w:ascii="Arial" w:cs="Arial" w:eastAsia="Arial" w:hAnsi="Arial"/>
          <w:sz w:val="16"/>
          <w:szCs w:val="16"/>
          <w:color w:val="auto"/>
        </w:rPr>
        <w:t>If his, her or its term of office is terminated by the Board in accordance with the provisions of the Companies Law.</w:t>
      </w:r>
    </w:p>
    <w:p>
      <w:pPr>
        <w:spacing w:after="0" w:line="221"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ONTINUING</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 IN THE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 OF</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ACANCIES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of one or more vacancies in the Board, the continuing Directors may continue to act in every matter, subject to compliance with the provisions of Article 50.</w:t>
      </w:r>
    </w:p>
    <w:p>
      <w:pPr>
        <w:spacing w:after="0" w:line="166"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65.1. Directors who do not hold other positions in the Company shall not receive any compensation from the Company, unless such compensation and its amount are approved by the General Meeting.</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65.2. The compensation of the Directors may be fixed, as an all-inclusive payment or as payment for participation in meetings or as any combination thereof.</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65.3. The Company may reimburse expenses incurred by a Director in connection with the performance of his duties as a Director, to the extent provided in a resolution of the Board. The Company shall reimburse all reasonable out-of-pocket expenses (including air travel) incurred by the directors for attending the Board and committees meetings and performing their duties as directors.</w:t>
      </w:r>
    </w:p>
    <w:p>
      <w:pPr>
        <w:spacing w:after="0" w:line="177" w:lineRule="exact"/>
        <w:rPr>
          <w:sz w:val="20"/>
          <w:szCs w:val="20"/>
          <w:color w:val="auto"/>
        </w:rPr>
      </w:pPr>
    </w:p>
    <w:p>
      <w:pPr>
        <w:ind w:left="660" w:hanging="652"/>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 OF A</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compliance with the provisions of the Companies Law, the Company may enter into any contract or otherwise transact any business with any Director and may enter into any contract or otherwise transact any business with any third party in which contract or business a Director has a personal interest, directly or indirectly.</w:t>
      </w:r>
    </w:p>
    <w:p>
      <w:pPr>
        <w:spacing w:after="0" w:line="177" w:lineRule="exact"/>
        <w:rPr>
          <w:sz w:val="20"/>
          <w:szCs w:val="20"/>
          <w:color w:val="auto"/>
        </w:rPr>
      </w:pPr>
    </w:p>
    <w:p>
      <w:pPr>
        <w:ind w:left="660" w:hanging="652"/>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OMMITTEES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67.1. Subject to the provisions of the Companies Law and these Articles, the Board may delegate its authorities or any part of them to committees, as it deems appropriate, and it may from time to time cancel the delegation of any such authority. Any such committee, while utilizing an authority as stated, is obligated to fulfill all of the instructions given to it from time to time by the Board. The Board may adopt a charter, or guidelines, for any such committee and amend the same from time to time.</w:t>
      </w:r>
    </w:p>
    <w:p>
      <w:pPr>
        <w:spacing w:after="0" w:line="18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67.2.</w:t>
      </w:r>
      <w:r>
        <w:rPr>
          <w:sz w:val="20"/>
          <w:szCs w:val="20"/>
          <w:color w:val="auto"/>
        </w:rPr>
        <w:tab/>
      </w:r>
      <w:r>
        <w:rPr>
          <w:rFonts w:ascii="Arial" w:cs="Arial" w:eastAsia="Arial" w:hAnsi="Arial"/>
          <w:sz w:val="16"/>
          <w:szCs w:val="16"/>
          <w:color w:val="auto"/>
        </w:rPr>
        <w:t>Subject to the provisions of the Companies Law, each committee of the Board shall consist of at least one (1) Director.</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67.3. The provisions of these Articles with respect to meetings of the Board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meetings and discussions of each committee of the Board, provided that no other terms are set by the Board in this matter, and provided that the lawful quorum for the meetings of the committee, as stated, shall be at least a majority of the members of the committee, unless otherwise required by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1" w:name="page152"/>
    <w:bookmarkEnd w:id="151"/>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HAIRMAN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68.1. The Directors, from time to time, may choose, by ordinary majority, one of the members of the Board to serve as the Chairman of the Board at one or more meetings of the Board, remove such Chairman from office and choose another in its place.</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68.2. A Chairman of the Board shall preside at every meeting of the Board, but if there is no such Chairman, or if at any meeting he is not present within fifteen (15) minutes of the time fixed for the meeting, or if he is unwilling to take the chair, the Board shall appoint one of the Directors present to preside at the meeting.</w:t>
      </w:r>
    </w:p>
    <w:p>
      <w:pPr>
        <w:spacing w:after="0" w:line="18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68.3.</w:t>
      </w:r>
      <w:r>
        <w:rPr>
          <w:sz w:val="20"/>
          <w:szCs w:val="20"/>
          <w:color w:val="auto"/>
        </w:rPr>
        <w:tab/>
      </w:r>
      <w:r>
        <w:rPr>
          <w:rFonts w:ascii="Arial" w:cs="Arial" w:eastAsia="Arial" w:hAnsi="Arial"/>
          <w:sz w:val="16"/>
          <w:szCs w:val="16"/>
          <w:color w:val="auto"/>
        </w:rPr>
        <w:t>The Chairman of the Board shall preside over meetings of the Board and shall sign the minutes of the meetings.</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68.4.</w:t>
      </w:r>
      <w:r>
        <w:rPr>
          <w:sz w:val="20"/>
          <w:szCs w:val="20"/>
          <w:color w:val="auto"/>
        </w:rPr>
        <w:tab/>
      </w:r>
      <w:r>
        <w:rPr>
          <w:rFonts w:ascii="Arial" w:cs="Arial" w:eastAsia="Arial" w:hAnsi="Arial"/>
          <w:sz w:val="16"/>
          <w:szCs w:val="16"/>
          <w:color w:val="auto"/>
        </w:rPr>
        <w:t>The Chairman of the Board shall not have any additional or casting vote.</w:t>
      </w:r>
    </w:p>
    <w:p>
      <w:pPr>
        <w:spacing w:after="0" w:line="225"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68.5. The Chairman of the Board, or if there is only one Director in the Board, such Director, is entitled, at all times, at his initiative or pursuant to a resolution of the Board, to require reports from the Chief Executive Officer in matters pertaining to the business affairs of the Company.</w:t>
      </w:r>
    </w:p>
    <w:p>
      <w:pPr>
        <w:spacing w:after="0" w:line="143"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ALIDITY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ESPITE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EFECTS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Companies Law, all acts done bona fide at any meeting of the Board, or of a committee of the Board, or by any person(s) acting as Director(s), shall, notwithstanding that it may afterwards be discovered that there was some defect in the appointment of the participants in such meetings or any of them or any person(s) acting as aforesaid, or that they or any of them were disqualified, be as valid as if there was no such defect or disqualification.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AUDITOR</w:t>
      </w:r>
    </w:p>
    <w:p>
      <w:pPr>
        <w:spacing w:after="0" w:line="225" w:lineRule="exact"/>
        <w:rPr>
          <w:sz w:val="20"/>
          <w:szCs w:val="20"/>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may appoint a Chief Executive Officer, and may appoint more than one Chief Executive Officer. The Chief Executive Officer may be a Director. Such appointment(s) may be either for a fixed term or without any limitation of time, and the Board may from time to time (subject to the Companies Law and of any contract between any such person and the Company) fix his or their salaries and emoluments, remove or dismiss him or them from office and appoint another or others in his or their place.</w:t>
      </w:r>
    </w:p>
    <w:p>
      <w:pPr>
        <w:spacing w:after="0" w:line="183"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UTHORITY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71.1. The Chief Executive Officer is responsible for the day-to-day management of the affairs of the Company within the framework of the policies set by the Board and subject to its instructions.</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71.2. The Chief Executive Officer shall have all managerial and operational authorities, which were not conferred by Law or pursuant to these Articles to any other organ of the Company, and he shall be under the supervision of the Board.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2" w:name="page153"/>
    <w:bookmarkEnd w:id="152"/>
    <w:p>
      <w:pPr>
        <w:jc w:val="both"/>
        <w:ind w:left="660"/>
        <w:spacing w:after="0" w:line="277" w:lineRule="auto"/>
        <w:rPr>
          <w:sz w:val="20"/>
          <w:szCs w:val="20"/>
          <w:color w:val="auto"/>
        </w:rPr>
      </w:pPr>
      <w:r>
        <w:rPr>
          <w:rFonts w:ascii="Arial" w:cs="Arial" w:eastAsia="Arial" w:hAnsi="Arial"/>
          <w:sz w:val="18"/>
          <w:szCs w:val="18"/>
          <w:color w:val="auto"/>
        </w:rPr>
        <w:t>71.3. In the event the Board appoints more than one Chief Executive Officer, the Board may determine the respective positions and functions of the Chief Executive Officers and allocate their authorities as the Board may deem appropriate.</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71.4. The Board may assume the authority granted to the Chief Executive Officer, either with respect to a certain issue or for a certain period of time.</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71.5. The Board may instruct the Chief Executive Officer how to act in a particular matter; if the Chief Executive Officer does not obey the instruction, the Board may exercise the power required to implement the instruction in his stead.</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71.6. In the event that the Chief Executive Officer is unable to exercise his authority, the Board may exercise such authority in his stead, or authorize another to exercise such authority.</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71.7. The Chief Executive Officer may delegate to his subordinates any of his authorities, provided that the Board may, in its discretion, limit the Chief Executive Officer's ability to delegate such authorities.</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71.8. Subject to the provisions of the Companies Law and these Articles, the Board may delegate to the Chief Executive Officer powers which the Board has pursuant to these Articles, as it deems fit, and it may delegate these powers, or any of them, for such period and objects, on such conditions and with such restrictions as it deems fit. The Board may alter or cancel any delegation of powers as aforesaid.</w:t>
      </w:r>
    </w:p>
    <w:p>
      <w:pPr>
        <w:spacing w:after="0" w:line="16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71.9. In the event that the Company did not appoint a Chief Executive Officer, the Board shall have all the authorities of the Chief Executive Officer as detailed in this Article 71.</w:t>
      </w:r>
    </w:p>
    <w:p>
      <w:pPr>
        <w:spacing w:after="0" w:line="166"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UTIES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72.1. The Chief Executive Officer must notify the Chairman of the Board of any exceptional matter which is material to the Company or of any material deviation of the Company from the policy prescribed by the Board. If the Company does not have a Chairman of the Board, for any reason, the Chief Executive Officer shall notify all the Board members as aforesaid.</w:t>
      </w:r>
    </w:p>
    <w:p>
      <w:pPr>
        <w:spacing w:after="0" w:line="18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The Chief Executive Officer shall submit reports to the Board on the matters, at the times and on the scale prescribed by the Board.</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72.3. The Chief Executive Officer shall report to any director of the Company, on his demand, on matters relating to the Company's business and the proper management thereof.</w:t>
      </w:r>
    </w:p>
    <w:p>
      <w:pPr>
        <w:spacing w:after="0" w:line="166" w:lineRule="exact"/>
        <w:rPr>
          <w:sz w:val="20"/>
          <w:szCs w:val="20"/>
          <w:color w:val="auto"/>
        </w:rPr>
      </w:pPr>
    </w:p>
    <w:p>
      <w:pPr>
        <w:ind w:left="660" w:hanging="652"/>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ECRETARY</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73.1. The Board may appoint a corporate secretary for the Company, on such terms as it deems fit, and may appoint a deputy secretary and determine their duties and powers.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73.2. If a corporate secretary is not appointed for the Company, the Chief Executive Officer, or someone authorized by him for such purpose and in the absence of a Chief Executive Officer someone authorized for such purpose by the Board, shall perform the duties prescribed for the corporate secretary pursuant to the Law, these Articles and the Board’s resolution.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3" w:name="page154"/>
    <w:bookmarkEnd w:id="153"/>
    <w:p>
      <w:pPr>
        <w:ind w:left="660"/>
        <w:spacing w:after="0" w:line="277" w:lineRule="auto"/>
        <w:rPr>
          <w:sz w:val="20"/>
          <w:szCs w:val="20"/>
          <w:color w:val="auto"/>
        </w:rPr>
      </w:pPr>
      <w:r>
        <w:rPr>
          <w:rFonts w:ascii="Arial" w:cs="Arial" w:eastAsia="Arial" w:hAnsi="Arial"/>
          <w:sz w:val="18"/>
          <w:szCs w:val="18"/>
          <w:color w:val="auto"/>
        </w:rPr>
        <w:t>73.3. The Company's corporate secretary shall be liable for all the documents kept at the Company's registered office and shall keep the registers kept by the Company pursuant to the Law.</w:t>
      </w:r>
    </w:p>
    <w:p>
      <w:pPr>
        <w:spacing w:after="0" w:line="166"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Board may appoint, in addition to the Chief Executive Officer, other officers, define their positions and authorities, and set their compensation and terms of employment. The Board may authorize the Chief Executive Officer to exercise any or all of its authorities stated in this Article.</w:t>
      </w:r>
    </w:p>
    <w:p>
      <w:pPr>
        <w:spacing w:after="0" w:line="120"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UDITOR</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75.1. The Shareholders at the Annual Meeting shall appoint an independent auditor for a period until the completion of the performance of one audit, or for a longer period not to extend beyond the completion of the performance of three audits. Where the independent auditor is appointed for such a period, the Annual Meeting shall not discuss the appointment of an independent auditor during the said period, unless a resolution is passed to terminate his office. The General Meeting is entitled at any time to terminate the service of the Auditor.</w:t>
      </w:r>
    </w:p>
    <w:p>
      <w:pPr>
        <w:spacing w:after="0" w:line="17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75.2. The Board shall fix the compensation of the independent auditor of the Company for his auditing activities, and shall also fix the compensation of the independent auditor for additional services, if any, which are not auditing activities, and, in each case, shall report thereon to the Annual Meeting.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25"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ERMITTED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ISTRIBUTION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may effect a distribution to its Shareholders to the extent permitted by the Companies Law and subject to the other provisions of these Articles. Except as permitted by the Companies Law or Companies Regulations, distribution shall not be made except from the profits of the Company legally available therefor.</w:t>
      </w:r>
    </w:p>
    <w:p>
      <w:pPr>
        <w:spacing w:after="0" w:line="177" w:lineRule="exact"/>
        <w:rPr>
          <w:sz w:val="20"/>
          <w:szCs w:val="20"/>
          <w:color w:val="auto"/>
        </w:rPr>
      </w:pPr>
    </w:p>
    <w:p>
      <w:pPr>
        <w:ind w:left="660" w:hanging="652"/>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IVIDEND OR</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ONUS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77.1. A Shareholder shall be entitled to receive dividends or bonus shares, upon the resolution of the Company in accordance with Article 78 below, consistent with the rights attached to the shares held by such Shareholder.</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77.2. Subject to the provisions of these Articles, the Shareholders entitled to receive dividends or bonus shares shall be those who are registered in the Shareholder Register on the date of the resolution approving the distribution or allotment, or on such later date, as may be determined in such resolution.</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77.3. In the event of any dividend distributions paid by the Company, such dividends shall be distributed to the Shareholders in accordance with Article 95.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4" w:name="page155"/>
    <w:bookmarkEnd w:id="154"/>
    <w:p>
      <w:pPr>
        <w:ind w:left="660" w:hanging="652"/>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ESOLUTION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WITH</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ESPECT TO A</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IVIDEND OR</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ONUS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p>
    <w:p>
      <w:pPr>
        <w:spacing w:after="0" w:line="229"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78.1. The resolution of the Company with respect to the distribution of a dividend or bonus shares shall be adopted by the General Meeting, after presentation of the recommendation of the Board. The General Meeting may accept the Board’s recommendation or decrease the amount recommended, but may not increase it, provided in each case the distribution is permitted in accordance with the provisions of the Companies Law.</w:t>
      </w:r>
    </w:p>
    <w:p>
      <w:pPr>
        <w:spacing w:after="0" w:line="143" w:lineRule="exact"/>
        <w:rPr>
          <w:sz w:val="20"/>
          <w:szCs w:val="20"/>
          <w:color w:val="auto"/>
        </w:rPr>
      </w:pPr>
    </w:p>
    <w:p>
      <w:pPr>
        <w:ind w:left="660" w:hanging="652"/>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PECIFIC</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IVIDEND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recommendation of the Board approved by a resolution of the General Meeting and Subject to compliance with the provisions of Article 77.3, a dividend may be paid, in whole or in part, by the distribution of specific assets of the Company or by distribution of paid up shares, debentures or other Securities of the Company or of any other companies, or in any combination thereof.</w:t>
      </w:r>
    </w:p>
    <w:p>
      <w:pPr>
        <w:spacing w:after="0" w:line="177"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EDUCTIONS FROM</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IVIDENDS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may deduct from any distribution or other moneys payable to any Shareholder in respect of a share any and all sums of money then payable by him to the Company on account of calls or otherwise in respect of shares of the Company and/or on account of any other debt permitted to be setoff in accordance with applicable Law.</w:t>
      </w:r>
    </w:p>
    <w:p>
      <w:pPr>
        <w:spacing w:after="0" w:line="177"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ETENTION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IVIDENDS</w:t>
      </w:r>
    </w:p>
    <w:p>
      <w:pPr>
        <w:spacing w:after="0" w:line="229"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81.1. The Board may retain any dividend, bonus shares or other moneys payable or property distributable in respect of a share on which the Company has a lien, and may apply the same in or toward satisfaction of the debts, liabilities, or engagements in respect of which the lien exists.</w:t>
      </w:r>
    </w:p>
    <w:p>
      <w:pPr>
        <w:spacing w:after="0" w:line="12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81.2. The Board may retain any dividend, bonus shares or other moneys payable or property distributable in respect of a share in respect of which any person is, under these Articles, entitled to become a Shareholder, or which any person is, under said Article, entitled to transfer, until such person shall become a Shareholder in respect of such share or shall transfer the same.</w:t>
      </w:r>
    </w:p>
    <w:p>
      <w:pPr>
        <w:spacing w:after="0" w:line="177"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ECHANICS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dividend or other moneys payable in cash in respect of a share, less the tax required pursuant to the Law, may be paid by check sent by registered mail to, or left at, the registered address of the person entitled thereto or by transfer to a bank account specified by such person (or, if two or more persons are registered as joint holders of such share or are entitled jointly thereto as a result of the death or bankruptcy of the holder or otherwise, to any one of such persons or to his bank account), or to such person and at such address as the person entitled thereto may direct in writing. Every such check shall be made payable to the order of the person to whom it is sent, or to such person as the person entitled thereto as aforesaid may direct, and payment of the check by the banker upon whom it is drawn shall be a good discharge to the Company. Every such check shall be sent at the risk of the person entitled to the money represented thereby.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55" w:name="page156"/>
    <w:bookmarkEnd w:id="155"/>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NCLAIMED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IVIDENDS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unclaimed dividends or other moneys payable in respect of a share may be invested or otherwise made use of by the Board for the benefit of the Company until claimed. The payment by the Board of any unclaimed dividend or such other moneys into a separate account shall not constitute the Company a trustee in respect thereof, and any dividend unclaimed after a period of seven (7) years from the date of declaration of such dividend, and any such other moneys unclaimed after a like period from the date the same were payable, shall be forfeited and shall revert to the Company; provided, however, that the Board may, at its discretion, cause the Company to pay any such dividend or such other moneys, or any part thereof, to a person who would have been entitled thereto had the same not reverted to the Company. The Company shall not be liable to pay interest or linkage for unclaimed dividend.</w:t>
      </w:r>
    </w:p>
    <w:p>
      <w:pPr>
        <w:spacing w:after="0" w:line="161" w:lineRule="exact"/>
        <w:rPr>
          <w:sz w:val="20"/>
          <w:szCs w:val="20"/>
          <w:color w:val="auto"/>
        </w:rPr>
      </w:pPr>
    </w:p>
    <w:p>
      <w:pPr>
        <w:ind w:left="660" w:hanging="652"/>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ECEIPT FROM A</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OINT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two or more persons are registered as joint holders of any share, or are entitled jointly thereto as a result of the death or bankruptcy of the holder or otherwise, any one of them may give effectual receipts for any dividend, bonus shares or other moneys payable or property distributable in respect of such share.</w:t>
      </w:r>
    </w:p>
    <w:p>
      <w:pPr>
        <w:spacing w:after="0" w:line="177" w:lineRule="exact"/>
        <w:rPr>
          <w:sz w:val="20"/>
          <w:szCs w:val="20"/>
          <w:color w:val="auto"/>
        </w:rPr>
      </w:pPr>
    </w:p>
    <w:p>
      <w:pPr>
        <w:ind w:left="660" w:hanging="652"/>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UNDS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may, in its discretion make provisions to special funds of any amount from the Company's profits, or from a revaluation of its assets, or its proportional part in the revaluation of the assets of its affiliates, and determine the purpose of these funds.</w:t>
      </w:r>
    </w:p>
    <w:p>
      <w:pPr>
        <w:spacing w:after="0" w:line="166" w:lineRule="exact"/>
        <w:rPr>
          <w:sz w:val="20"/>
          <w:szCs w:val="20"/>
          <w:color w:val="auto"/>
        </w:rPr>
      </w:pPr>
    </w:p>
    <w:p>
      <w:pPr>
        <w:ind w:left="660" w:hanging="652"/>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ANNER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APITALIZATION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ROFITS AND THE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ISTRIBUTION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ONUS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Upon the recommendation of the Board approved by a resolution of the General Meeting adopted by an Ordinary Majority, and subject to compliance with the provisions of Companies Law and these Articles, the Company may cause any moneys, investments, or other assets forming part of the undivided profits of the Company, standing to the credit of a reserve fund, or to the credit of a reserve fund for the redemption of capital, or in the hands of the Company and available for distribution, or representing premiums received on the issuance of shares and standing to the credit of the share premium account, to be capitalized and distributed as capital among such of the Shareholders as would be entitled to receive the same if distributed by way of dividend and in the same proportion, or may cause any part of such capitalized fund to be applied on behalf of such Shareholders in paying up in full, either at par or at such premium as the resolution may provide, any unissued shares or debentures or other Securities of the Company which shall be distributed accordingly, in payment, in full or in part, of the uncalled liability on any issued shares or debentures or other Securities, and may cause such distribution or payment to be accepted by such Shareholders in full satisfaction of their interest in such capitalized sum.</w:t>
      </w:r>
    </w:p>
    <w:p>
      <w:pPr>
        <w:spacing w:after="0" w:line="178"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ETTLEMENT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Board may settle, as it deems fit, any difficulty arising with regard to the distribution of bonus shares, distributions referred to in Article 78 hereof or otherwise, and in particular, to set the value for the distribution of certain assets and to determine that cash payments shall be paid to the Shareholders on the basis of such value, or that fractions whose value is less than NIS 0.01 shall not be taken into account. The Board may pay cash or convey these certain assets to a trustee in favor of those people, who are entitled to a dividend or to a capitalized fund, as the Board shall deem appropriate.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6" w:name="page157"/>
    <w:bookmarkEnd w:id="156"/>
    <w:p>
      <w:pPr>
        <w:ind w:left="660" w:hanging="652"/>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LLOTMENT FOR A CONSIDERATION LOWER THAN THE NOMINAL VALUE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 the Company resolves to allot shares, which have a nominal value for a consideration lower than their nominal value, including bonus shares, it must convert into share capital part of its profits, from premium on shares or from any other source included in its equity, which are mentioned in its last financial statements, in an amount equal to the difference between the nominal value and the consideration. Notwithstanding the aforegoing, the Company may, with the court's approval, allot shares for a consideration lower than their nominal value.</w:t>
      </w:r>
    </w:p>
    <w:p>
      <w:pPr>
        <w:spacing w:after="0" w:line="183" w:lineRule="exact"/>
        <w:rPr>
          <w:sz w:val="20"/>
          <w:szCs w:val="20"/>
          <w:color w:val="auto"/>
        </w:rPr>
      </w:pPr>
    </w:p>
    <w:p>
      <w:pPr>
        <w:ind w:left="660" w:hanging="652"/>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CQUISITION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89.1. The Company is entitled to acquire or to finance an acquisition, directly or indirectly, of shares of the Company or Securities convertible or exercisable into shares of the Company, including incurring an obligation to take any of these actions subject to in accordance with, the Companies Law. In the event that the Company so acquired any of its shares, any such share shall become a dormant share, and shall not confer any rights, so long as it is held by the Company.</w:t>
      </w:r>
    </w:p>
    <w:p>
      <w:pPr>
        <w:spacing w:after="0" w:line="18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89.2. A subsidiary or another company controlled by the Company is entitled to acquire or finance an acquisition, directly or indirectly, of shares of the Company or Securities convertible or exercisable into shares of the Company, or incur an obligation with respect thereto, to the same extent that the Company may make a distribution, subject to and in accordance with the Companies Law. In the event a subsidiary or such controlled company so acquired any of the Company’s shares, any such share shall not confer any voting rights, so long as it is held by such subsidiary or controlled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INSURANCE, INDEMNIFICATION AND RELEASE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 OFFICE HOLDERS</w:t>
      </w:r>
    </w:p>
    <w:p>
      <w:pPr>
        <w:spacing w:after="0" w:line="207" w:lineRule="exact"/>
        <w:rPr>
          <w:sz w:val="20"/>
          <w:szCs w:val="20"/>
          <w:color w:val="auto"/>
        </w:rPr>
      </w:pPr>
    </w:p>
    <w:p>
      <w:pPr>
        <w:ind w:left="660" w:hanging="652"/>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FFICE</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purposes of Articles 91 , 92 and 93 below, the term “</w:t>
      </w:r>
      <w:r>
        <w:rPr>
          <w:rFonts w:ascii="Arial" w:cs="Arial" w:eastAsia="Arial" w:hAnsi="Arial"/>
          <w:sz w:val="18"/>
          <w:szCs w:val="18"/>
          <w:i w:val="1"/>
          <w:iCs w:val="1"/>
          <w:color w:val="auto"/>
        </w:rPr>
        <w:t>Office Holder</w:t>
      </w:r>
      <w:r>
        <w:rPr>
          <w:rFonts w:ascii="Arial" w:cs="Arial" w:eastAsia="Arial" w:hAnsi="Arial"/>
          <w:sz w:val="18"/>
          <w:szCs w:val="18"/>
          <w:color w:val="auto"/>
        </w:rPr>
        <w:t>” shall have the meaning ascribed to such term in the Companies Law.</w:t>
      </w:r>
    </w:p>
    <w:p>
      <w:pPr>
        <w:spacing w:after="0" w:line="221" w:lineRule="exact"/>
        <w:rPr>
          <w:sz w:val="20"/>
          <w:szCs w:val="20"/>
          <w:color w:val="auto"/>
        </w:rPr>
      </w:pPr>
    </w:p>
    <w:p>
      <w:pPr>
        <w:ind w:left="660" w:hanging="652"/>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NSURANCE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may, to the extent permitted by the Companies Law, enter into a contract for the insurance of the liability of an Office Holder of the Company, in respect of a liability imposed on him or her as a result of an act done by him or her in his or her capacity as an Office Holder of the Company, in any of the following:</w:t>
      </w:r>
    </w:p>
    <w:p>
      <w:pPr>
        <w:spacing w:after="0" w:line="18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a breach of his or her duty of care to the Company or to another person;</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91.2. a breach of his or her duty of loyalty to the Company, provided that the Office Holder acted in good faith and had reasonable grounds to assume that such act would not harm the Company;</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a financial liability imposed on him or her in favor of another person.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7" w:name="page158"/>
    <w:bookmarkEnd w:id="157"/>
    <w:p>
      <w:pPr>
        <w:ind w:left="660" w:hanging="652"/>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p>
    <w:p>
      <w:pPr>
        <w:spacing w:after="0" w:line="229" w:lineRule="exact"/>
        <w:rPr>
          <w:sz w:val="20"/>
          <w:szCs w:val="20"/>
          <w:color w:val="auto"/>
        </w:rPr>
      </w:pPr>
    </w:p>
    <w:p>
      <w:pPr>
        <w:ind w:left="720" w:right="20"/>
        <w:spacing w:after="0" w:line="308" w:lineRule="auto"/>
        <w:rPr>
          <w:sz w:val="20"/>
          <w:szCs w:val="20"/>
          <w:color w:val="auto"/>
        </w:rPr>
      </w:pPr>
      <w:r>
        <w:rPr>
          <w:rFonts w:ascii="Arial" w:cs="Arial" w:eastAsia="Arial" w:hAnsi="Arial"/>
          <w:sz w:val="17"/>
          <w:szCs w:val="17"/>
          <w:color w:val="auto"/>
        </w:rPr>
        <w:t>92.1. The Company may, to the extent permitted by the Companies Law, indemnify an Office Holder of the Company for liability or expense he or she incurs as a result of an act done by him or her in his or her capacity as an Office Holder of the Company, as follows:</w:t>
      </w:r>
    </w:p>
    <w:p>
      <w:pPr>
        <w:spacing w:after="0" w:line="147" w:lineRule="exact"/>
        <w:rPr>
          <w:sz w:val="20"/>
          <w:szCs w:val="20"/>
          <w:color w:val="auto"/>
        </w:rPr>
      </w:pPr>
    </w:p>
    <w:p>
      <w:pPr>
        <w:jc w:val="both"/>
        <w:ind w:left="2180" w:hanging="542"/>
        <w:spacing w:after="0" w:line="264" w:lineRule="auto"/>
        <w:tabs>
          <w:tab w:leader="none" w:pos="244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monetary liability imposed on him/her in favor of a third party in any judgment, including any settlement confirmed as judgment and an arbitrator's award which has been confirmed by the court, in respect of an act performed by the Office Holder by virtue of the Office Holder being an Office Holder of the Company; or</w:t>
      </w:r>
    </w:p>
    <w:p>
      <w:pPr>
        <w:spacing w:after="0" w:line="181" w:lineRule="exact"/>
        <w:rPr>
          <w:rFonts w:ascii="Arial" w:cs="Arial" w:eastAsia="Arial" w:hAnsi="Arial"/>
          <w:sz w:val="18"/>
          <w:szCs w:val="18"/>
          <w:color w:val="auto"/>
        </w:rPr>
      </w:pPr>
    </w:p>
    <w:p>
      <w:pPr>
        <w:jc w:val="both"/>
        <w:ind w:left="2180" w:hanging="542"/>
        <w:spacing w:after="0" w:line="276" w:lineRule="auto"/>
        <w:tabs>
          <w:tab w:leader="none" w:pos="237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paid for by the Office Holder, or which the Office Holder is obligated to pay under a court order, in a proceeding brought against the Office Holder by the Company, or on its behalf, or by a third party, or in a criminal proceeding in which the Office Holder is found innocent, or in a criminal proceeding in which the Office Holder was convicted of an offense that does not require proof of criminal intent, all in respect of an act performed by the Office Holder by virtue of the Office Holder being an Office Holder of the Company; or</w:t>
      </w:r>
    </w:p>
    <w:p>
      <w:pPr>
        <w:spacing w:after="0" w:line="172" w:lineRule="exact"/>
        <w:rPr>
          <w:rFonts w:ascii="Arial" w:cs="Arial" w:eastAsia="Arial" w:hAnsi="Arial"/>
          <w:sz w:val="17"/>
          <w:szCs w:val="17"/>
          <w:color w:val="auto"/>
        </w:rPr>
      </w:pPr>
    </w:p>
    <w:p>
      <w:pPr>
        <w:jc w:val="both"/>
        <w:ind w:left="2180" w:hanging="542"/>
        <w:spacing w:after="0" w:line="255" w:lineRule="auto"/>
        <w:tabs>
          <w:tab w:leader="none" w:pos="245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expended by him or her as a result of an investigation or proceeding instituted against him or her by a competent authority, which investigation or proceeding has not ended in a criminal charge or in a financial liability in lieu of a criminal proceeding, or has ended in a financial obligation in lieu of a criminal proceeding for an offence that does not require proof of criminal intent (the phrases "proceeding that has not ended in a criminal charge" and "financial obligation in lieu of a criminal proceeding" shall have the meaning as defined in Section 260(a)(1a) of the Companies Law); or</w:t>
      </w:r>
    </w:p>
    <w:p>
      <w:pPr>
        <w:spacing w:after="0" w:line="193"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92.2. The Company may, to the extent permitted by the Companies Law, undertake to indemnify an Office Holder as aforesaid: (i) prospectively, provided that the undertaking according to Article 92.1 above is limited to categories of events which in the opinion of the Board can be foreseen, in view of the Company's then current activities, when the undertaking to indemnify is given, and to an amount set by the Board as reasonable under the circumstances, and (ii) retroactively.</w:t>
      </w:r>
    </w:p>
    <w:p>
      <w:pPr>
        <w:spacing w:after="0" w:line="183"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ELEASE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may, to the extent permitted by the Companies Law, release an Office Holder of the Company, in advance, from his or her liability, in whole or in part, for damages resulting from the breach of his or her duty of care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Company may not exempt in advance an Office Holder from his/her liability for damages resulting from a breach of his/her duty of care to the Company in a "Distribution" (as defined in the Companies Law).</w:t>
      </w:r>
    </w:p>
    <w:p>
      <w:pPr>
        <w:spacing w:after="0" w:line="183"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provisions of Articles 91, 92 and 93 above are not intended, and shall not be interpreted, to restrict the Company in any manner in respect of the procurement of insurance and/or in respect of indemnification and/or release from liability in connection with any person who is not an Office Holder, including, without limitation, any employee, agent, consultant or contractor of the Company who is not an Office Holder, or in connection with any Office Holder to the extent that such insurance and/or indemnification and/or release from liability is permitted under the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u w:val="single" w:color="auto"/>
          <w:color w:val="auto"/>
        </w:rPr>
        <w:t>LIQUIDATION</w:t>
      </w:r>
    </w:p>
    <w:p>
      <w:pPr>
        <w:spacing w:after="0" w:line="225"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IQUIDATION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REFERENCE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95.1. Upon the occurrence of a Liquidation (as defined below), all of the assets available for distribution to the Shareholders, whether capital, surplus, earnings, securities or assets of any kind (to which, upon the occurrence of a Liquidation, any amounts received directly by shareholders on account of their shares shall be added) (the "</w:t>
      </w:r>
      <w:r>
        <w:rPr>
          <w:rFonts w:ascii="Arial" w:cs="Arial" w:eastAsia="Arial" w:hAnsi="Arial"/>
          <w:sz w:val="18"/>
          <w:szCs w:val="18"/>
          <w:b w:val="1"/>
          <w:bCs w:val="1"/>
          <w:color w:val="auto"/>
        </w:rPr>
        <w:t>Liquidation Assets</w:t>
      </w:r>
      <w:r>
        <w:rPr>
          <w:rFonts w:ascii="Arial" w:cs="Arial" w:eastAsia="Arial" w:hAnsi="Arial"/>
          <w:sz w:val="18"/>
          <w:szCs w:val="18"/>
          <w:color w:val="auto"/>
        </w:rPr>
        <w:t>") shall be distributed pro-rata among all the holders of shares of the Company, based on their respective holdings of outstanding shares of the Company.</w:t>
      </w:r>
    </w:p>
    <w:p>
      <w:pPr>
        <w:spacing w:after="0" w:line="18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95.2. A "</w:t>
      </w:r>
      <w:r>
        <w:rPr>
          <w:rFonts w:ascii="Arial" w:cs="Arial" w:eastAsia="Arial" w:hAnsi="Arial"/>
          <w:sz w:val="18"/>
          <w:szCs w:val="18"/>
          <w:b w:val="1"/>
          <w:bCs w:val="1"/>
          <w:color w:val="auto"/>
        </w:rPr>
        <w:t>Liquidation</w:t>
      </w:r>
      <w:r>
        <w:rPr>
          <w:rFonts w:ascii="Arial" w:cs="Arial" w:eastAsia="Arial" w:hAnsi="Arial"/>
          <w:sz w:val="18"/>
          <w:szCs w:val="18"/>
          <w:color w:val="auto"/>
        </w:rPr>
        <w:t>" shall mean any liquidation, dissolution, winding–up of the Company (whether voluntary or involuntary), any bankruptcy or insolvency proceeding under any bankruptcy or insolvency or similar law, whether voluntary or involuntary, is properly commenced by or against the Company, or a receiver or liquidator has been appointed to all or substantially all of the Company's assets or an assignment for the benefit of creditors has been made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left="660" w:hanging="652"/>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INUTES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96.1. Minutes of each General Meeting and of each meeting of the Board shall be recorded and duly entered in books provided for that purpose. Such minutes shall set forth all resolutions adopted at the meeting and, with respect to minutes of a meeting of the Board, the names of the persons present at the meeting.</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96.2. Any minutes as aforesaid, if purporting to be signed by the Chairman of the meeting or by the Chairman of the next succeeding meeting (or, in the case of Board meetings where there is only one Director on the Board, by such Director),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recorded therein.</w:t>
      </w:r>
    </w:p>
    <w:p>
      <w:pPr>
        <w:spacing w:after="0" w:line="177"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OOKS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shall cause accurate books of account to be kept in accordance with the provisions of the Companies Law and of any other applicable Law. Such books of account shall be kept at the registered office of the Company or at such other place or places as the Board may deem appropriate, and they shall always be open to inspection by all Directors. Any Shareholder shall be entitled to receive a copy of the audited financial statements of any fiscal year with the opinion of the Company’s Auditor with respect to such financial statements.</w:t>
      </w:r>
    </w:p>
    <w:p>
      <w:pPr>
        <w:spacing w:after="0" w:line="183"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UDIT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Without derogating from the requirements of any applicable Law, at least once in every fiscal year the accounts of the Company shall be audited and the accuracy of the profit and loss account and balance sheet certified by one or more duly qualified auditors.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9" w:name="page160"/>
    <w:bookmarkEnd w:id="159"/>
    <w:p>
      <w:pPr>
        <w:ind w:left="660" w:hanging="652"/>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ESERVED</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ESERVED</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IGHTS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S</w:t>
      </w:r>
      <w:r>
        <w:rPr>
          <w:rFonts w:ascii="Arial" w:cs="Arial" w:eastAsia="Arial" w:hAnsi="Arial"/>
          <w:sz w:val="12"/>
          <w:szCs w:val="12"/>
          <w:b w:val="1"/>
          <w:bCs w:val="1"/>
          <w:color w:val="auto"/>
        </w:rPr>
        <w:t>TAMP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EAL</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101.1. The Board shall be entitled to authorize any person or persons (who need not be Directors) to act and sign on behalf of the Company, and the acts and signature of such person(s) on behalf of the Company shall bind the Company insofar as such person(s) acted and signed within the scope of his or their authority. The Board may determine separate signatory rights in respect of different matters of the Company and in respect of the amounts in respect of which such persons are authorized to sign.</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101.2. The Board may provide for an official stamp and/or seal. If the Board provides for a seal, it shall also provide for the safe custody thereof. Such seal shall not be used except by the authority of the Board and in the presence of the person(s) authorized to sign on behalf of the Company, who shall sign every instrument to which such seal is affixed.</w:t>
      </w:r>
    </w:p>
    <w:p>
      <w:pPr>
        <w:spacing w:after="0" w:line="177" w:lineRule="exact"/>
        <w:rPr>
          <w:sz w:val="20"/>
          <w:szCs w:val="20"/>
          <w:color w:val="auto"/>
        </w:rPr>
      </w:pPr>
    </w:p>
    <w:p>
      <w:pPr>
        <w:ind w:left="660" w:hanging="652"/>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OTICES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102.1. Any written notice or other document may be served by the Company upon any Shareholder either personally or by sending it by prepaid registered mail (airmail if sent to a place outside Israel) addressed to such Shareholder at his address as described in the Shareholder Register or such other address as he may have designated in writing for the receipt of notices and other documents. Any written notice or other document may be served by any Shareholder upon the Company by tendering the same in person to the corporate secretary or the Chief Executive Officer of the Company at the principal office of the Company or by sending it by prepaid registered mail (airmail if posted outside Israel) to the Company at its registered office. Any such notice or other document shall be deemed to have been served two (2) Business Days after it has been posted (seven (7) Business Days if sent internationally), or when actually received by the addressee if sooner than two Business Days or seven Business Days, as the case may be, after it has been posted, or when actually tendered in person, to such Shareholder (or to the corporate secretary or the Chief Executive Officer), provided, however, that notice may be sent by facsimile, and such notice shall be deemed to have been given twenty four (24) hours after such facsimile has been sent or when actually received by such Shareholder (or by the Company), whichever is earlier. If a notice is, in fact, received by the addressee, it shall be deemed to have been duly served, when received, notwithstanding that it was defectively addressed or failed, in some respect, to comply with the provisions of this Article 102.1. Unless otherwise provided in these Articles, the provisions of this Article 102.1 shall also apply to written notices permitted or required to be given by the Company to any Director or by any Director to the Company.</w:t>
      </w:r>
    </w:p>
    <w:p>
      <w:pPr>
        <w:spacing w:after="0" w:line="17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102.2. All notices to be given to the Shareholders shall, with respect to any share held by persons jointly, be given to whichever of such persons is named first in the Shareholder Register, and any notice so given shall be sufficient notice to the holders of such share.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0" w:name="page161"/>
    <w:bookmarkEnd w:id="160"/>
    <w:p>
      <w:pPr>
        <w:jc w:val="both"/>
        <w:ind w:right="20"/>
        <w:spacing w:after="0" w:line="277" w:lineRule="auto"/>
        <w:rPr>
          <w:sz w:val="20"/>
          <w:szCs w:val="20"/>
          <w:color w:val="auto"/>
        </w:rPr>
      </w:pPr>
      <w:r>
        <w:rPr>
          <w:rFonts w:ascii="Arial" w:cs="Arial" w:eastAsia="Arial" w:hAnsi="Arial"/>
          <w:sz w:val="18"/>
          <w:szCs w:val="18"/>
          <w:color w:val="auto"/>
        </w:rPr>
        <w:t>102.3. Any Shareholder whose address is not described in the Shareholder Register, and who shall not have designated in writing an address for the receipt of notices, shall not be entitled to receive any notice from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102.4. Any Shareholder and any Director may waive his right to receive notices generally or during a specific time period and he may consent that a General Meeting of the Company or a meeting of the Board, as the case may be, shall be convened and held notwithstanding the fact that he did not receive a notice with respect thereto, or notwithstanding the fact that the notice was not received by him within the required time, in each case subject to the provisions of any Law prohibiting any such waiver or consent.</w:t>
      </w: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2"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3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3.2</w:t>
            </w:r>
          </w:p>
        </w:tc>
      </w:tr>
      <w:tr>
        <w:trPr>
          <w:trHeight w:val="480"/>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80" w:type="dxa"/>
            <w:vAlign w:val="bottom"/>
          </w:tcPr>
          <w:p>
            <w:pPr>
              <w:jc w:val="center"/>
              <w:ind w:right="3170"/>
              <w:spacing w:after="0"/>
              <w:rPr>
                <w:sz w:val="20"/>
                <w:szCs w:val="20"/>
                <w:color w:val="auto"/>
              </w:rPr>
            </w:pPr>
            <w:r>
              <w:rPr>
                <w:rFonts w:ascii="Arial" w:cs="Arial" w:eastAsia="Arial" w:hAnsi="Arial"/>
                <w:sz w:val="18"/>
                <w:szCs w:val="18"/>
                <w:color w:val="auto"/>
                <w:w w:val="98"/>
              </w:rPr>
              <w:t>A</w:t>
            </w:r>
            <w:r>
              <w:rPr>
                <w:rFonts w:ascii="Arial" w:cs="Arial" w:eastAsia="Arial" w:hAnsi="Arial"/>
                <w:sz w:val="12"/>
                <w:szCs w:val="12"/>
                <w:color w:val="auto"/>
                <w:w w:val="98"/>
              </w:rPr>
              <w:t>RTICLES OF</w:t>
            </w:r>
            <w:r>
              <w:rPr>
                <w:rFonts w:ascii="Arial" w:cs="Arial" w:eastAsia="Arial" w:hAnsi="Arial"/>
                <w:sz w:val="18"/>
                <w:szCs w:val="18"/>
                <w:color w:val="auto"/>
                <w:w w:val="98"/>
              </w:rPr>
              <w:t xml:space="preserve"> A</w:t>
            </w:r>
            <w:r>
              <w:rPr>
                <w:rFonts w:ascii="Arial" w:cs="Arial" w:eastAsia="Arial" w:hAnsi="Arial"/>
                <w:sz w:val="12"/>
                <w:szCs w:val="12"/>
                <w:color w:val="auto"/>
                <w:w w:val="98"/>
              </w:rPr>
              <w:t>SSOCIATION OF</w:t>
            </w:r>
          </w:p>
        </w:tc>
        <w:tc>
          <w:tcPr>
            <w:tcW w:w="840" w:type="dxa"/>
            <w:vAlign w:val="bottom"/>
            <w:tcBorders>
              <w:top w:val="single" w:sz="8" w:color="auto"/>
            </w:tcBorders>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32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LCOBRA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r>
      <w:tr>
        <w:trPr>
          <w:trHeight w:val="432"/>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320" w:type="dxa"/>
            <w:vAlign w:val="bottom"/>
            <w:gridSpan w:val="2"/>
          </w:tcPr>
          <w:p>
            <w:pPr>
              <w:jc w:val="center"/>
              <w:ind w:right="4100"/>
              <w:spacing w:after="0"/>
              <w:rPr>
                <w:sz w:val="20"/>
                <w:szCs w:val="20"/>
                <w:color w:val="auto"/>
              </w:rPr>
            </w:pPr>
            <w:r>
              <w:rPr>
                <w:rFonts w:ascii="Arial" w:cs="Arial" w:eastAsia="Arial" w:hAnsi="Arial"/>
                <w:sz w:val="18"/>
                <w:szCs w:val="18"/>
                <w:color w:val="auto"/>
                <w:w w:val="99"/>
              </w:rPr>
              <w:t>A C</w:t>
            </w:r>
            <w:r>
              <w:rPr>
                <w:rFonts w:ascii="Arial" w:cs="Arial" w:eastAsia="Arial" w:hAnsi="Arial"/>
                <w:sz w:val="12"/>
                <w:szCs w:val="12"/>
                <w:color w:val="auto"/>
                <w:w w:val="99"/>
              </w:rPr>
              <w:t>OMPANY</w:t>
            </w:r>
            <w:r>
              <w:rPr>
                <w:rFonts w:ascii="Arial" w:cs="Arial" w:eastAsia="Arial" w:hAnsi="Arial"/>
                <w:sz w:val="18"/>
                <w:szCs w:val="18"/>
                <w:color w:val="auto"/>
                <w:w w:val="99"/>
              </w:rPr>
              <w:t xml:space="preserve"> L</w:t>
            </w:r>
            <w:r>
              <w:rPr>
                <w:rFonts w:ascii="Arial" w:cs="Arial" w:eastAsia="Arial" w:hAnsi="Arial"/>
                <w:sz w:val="12"/>
                <w:szCs w:val="12"/>
                <w:color w:val="auto"/>
                <w:w w:val="99"/>
              </w:rPr>
              <w:t>IMITED BY</w:t>
            </w:r>
            <w:r>
              <w:rPr>
                <w:rFonts w:ascii="Arial" w:cs="Arial" w:eastAsia="Arial" w:hAnsi="Arial"/>
                <w:sz w:val="18"/>
                <w:szCs w:val="18"/>
                <w:color w:val="auto"/>
                <w:w w:val="99"/>
              </w:rPr>
              <w:t xml:space="preserve"> S</w:t>
            </w:r>
            <w:r>
              <w:rPr>
                <w:rFonts w:ascii="Arial" w:cs="Arial" w:eastAsia="Arial" w:hAnsi="Arial"/>
                <w:sz w:val="12"/>
                <w:szCs w:val="12"/>
                <w:color w:val="auto"/>
                <w:w w:val="99"/>
              </w:rPr>
              <w:t>HARES</w:t>
            </w:r>
          </w:p>
        </w:tc>
      </w:tr>
      <w:tr>
        <w:trPr>
          <w:trHeight w:val="432"/>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320" w:type="dxa"/>
            <w:vAlign w:val="bottom"/>
            <w:gridSpan w:val="2"/>
          </w:tcPr>
          <w:p>
            <w:pPr>
              <w:jc w:val="center"/>
              <w:ind w:right="4080"/>
              <w:spacing w:after="0"/>
              <w:rPr>
                <w:sz w:val="20"/>
                <w:szCs w:val="20"/>
                <w:color w:val="auto"/>
              </w:rPr>
            </w:pPr>
            <w:r>
              <w:rPr>
                <w:rFonts w:ascii="Arial" w:cs="Arial" w:eastAsia="Arial" w:hAnsi="Arial"/>
                <w:sz w:val="18"/>
                <w:szCs w:val="18"/>
                <w:color w:val="auto"/>
                <w:w w:val="94"/>
              </w:rPr>
              <w:t>U</w:t>
            </w:r>
            <w:r>
              <w:rPr>
                <w:rFonts w:ascii="Arial" w:cs="Arial" w:eastAsia="Arial" w:hAnsi="Arial"/>
                <w:sz w:val="12"/>
                <w:szCs w:val="12"/>
                <w:color w:val="auto"/>
                <w:w w:val="94"/>
              </w:rPr>
              <w:t>NDER</w:t>
            </w:r>
            <w:r>
              <w:rPr>
                <w:rFonts w:ascii="Arial" w:cs="Arial" w:eastAsia="Arial" w:hAnsi="Arial"/>
                <w:sz w:val="18"/>
                <w:szCs w:val="18"/>
                <w:color w:val="auto"/>
                <w:w w:val="94"/>
              </w:rPr>
              <w:t xml:space="preserve"> T</w:t>
            </w:r>
            <w:r>
              <w:rPr>
                <w:rFonts w:ascii="Arial" w:cs="Arial" w:eastAsia="Arial" w:hAnsi="Arial"/>
                <w:sz w:val="12"/>
                <w:szCs w:val="12"/>
                <w:color w:val="auto"/>
                <w:w w:val="94"/>
              </w:rPr>
              <w:t>HE</w:t>
            </w:r>
            <w:r>
              <w:rPr>
                <w:rFonts w:ascii="Arial" w:cs="Arial" w:eastAsia="Arial" w:hAnsi="Arial"/>
                <w:sz w:val="18"/>
                <w:szCs w:val="18"/>
                <w:color w:val="auto"/>
                <w:w w:val="94"/>
              </w:rPr>
              <w:t xml:space="preserve"> C</w:t>
            </w:r>
            <w:r>
              <w:rPr>
                <w:rFonts w:ascii="Arial" w:cs="Arial" w:eastAsia="Arial" w:hAnsi="Arial"/>
                <w:sz w:val="12"/>
                <w:szCs w:val="12"/>
                <w:color w:val="auto"/>
                <w:w w:val="94"/>
              </w:rPr>
              <w:t>OMPANIES</w:t>
            </w:r>
            <w:r>
              <w:rPr>
                <w:rFonts w:ascii="Arial" w:cs="Arial" w:eastAsia="Arial" w:hAnsi="Arial"/>
                <w:sz w:val="18"/>
                <w:szCs w:val="18"/>
                <w:color w:val="auto"/>
                <w:w w:val="94"/>
              </w:rPr>
              <w:t xml:space="preserve"> L</w:t>
            </w:r>
            <w:r>
              <w:rPr>
                <w:rFonts w:ascii="Arial" w:cs="Arial" w:eastAsia="Arial" w:hAnsi="Arial"/>
                <w:sz w:val="12"/>
                <w:szCs w:val="12"/>
                <w:color w:val="auto"/>
                <w:w w:val="94"/>
              </w:rPr>
              <w:t>AW</w:t>
            </w:r>
            <w:r>
              <w:rPr>
                <w:rFonts w:ascii="Arial" w:cs="Arial" w:eastAsia="Arial" w:hAnsi="Arial"/>
                <w:sz w:val="18"/>
                <w:szCs w:val="18"/>
                <w:color w:val="auto"/>
                <w:w w:val="94"/>
              </w:rPr>
              <w:t>, 5759-1999</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 General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2 Shares and Share Capital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3 General Meetings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4 The Board of Directors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5 Committees of the Board of Directors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6 General Manager</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w w:val="96"/>
              </w:rPr>
              <w:t>Chapter 7 Exemption, Insurance, and Indemnification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8 Internal Auditor</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9 Auditing Accountant</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10 Signing in the Company’s Name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11 Dividend and Benefit Shares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12 Accounts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Chapter 13 Notifications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320" w:type="dxa"/>
            <w:vAlign w:val="bottom"/>
            <w:gridSpan w:val="2"/>
          </w:tcPr>
          <w:p>
            <w:pPr>
              <w:jc w:val="center"/>
              <w:ind w:right="4080"/>
              <w:spacing w:after="0"/>
              <w:rPr>
                <w:sz w:val="20"/>
                <w:szCs w:val="20"/>
                <w:color w:val="auto"/>
              </w:rPr>
            </w:pPr>
            <w:r>
              <w:rPr>
                <w:rFonts w:ascii="Arial" w:cs="Arial" w:eastAsia="Arial" w:hAnsi="Arial"/>
                <w:sz w:val="18"/>
                <w:szCs w:val="18"/>
                <w:b w:val="1"/>
                <w:bCs w:val="1"/>
                <w:color w:val="auto"/>
                <w:w w:val="92"/>
              </w:rPr>
              <w:t>Chapter 1 General</w:t>
            </w:r>
          </w:p>
        </w:tc>
      </w:tr>
      <w:tr>
        <w:trPr>
          <w:trHeight w:val="392"/>
        </w:trPr>
        <w:tc>
          <w:tcPr>
            <w:tcW w:w="1040" w:type="dxa"/>
            <w:vAlign w:val="bottom"/>
          </w:tcPr>
          <w:p>
            <w:pPr>
              <w:ind w:left="400"/>
              <w:spacing w:after="0"/>
              <w:rPr>
                <w:sz w:val="20"/>
                <w:szCs w:val="20"/>
                <w:color w:val="auto"/>
              </w:rPr>
            </w:pPr>
            <w:r>
              <w:rPr>
                <w:rFonts w:ascii="Arial" w:cs="Arial" w:eastAsia="Arial" w:hAnsi="Arial"/>
                <w:sz w:val="18"/>
                <w:szCs w:val="18"/>
                <w:color w:val="auto"/>
              </w:rPr>
              <w:t>1.1</w:t>
            </w:r>
          </w:p>
        </w:tc>
        <w:tc>
          <w:tcPr>
            <w:tcW w:w="3060" w:type="dxa"/>
            <w:vAlign w:val="bottom"/>
            <w:gridSpan w:val="2"/>
          </w:tcPr>
          <w:p>
            <w:pPr>
              <w:spacing w:after="0"/>
              <w:rPr>
                <w:sz w:val="20"/>
                <w:szCs w:val="20"/>
                <w:color w:val="auto"/>
              </w:rPr>
            </w:pPr>
            <w:r>
              <w:rPr>
                <w:rFonts w:ascii="Arial" w:cs="Arial" w:eastAsia="Arial" w:hAnsi="Arial"/>
                <w:sz w:val="18"/>
                <w:szCs w:val="18"/>
                <w:color w:val="auto"/>
              </w:rPr>
              <w:t>Name of Company.</w:t>
            </w:r>
          </w:p>
        </w:tc>
        <w:tc>
          <w:tcPr>
            <w:tcW w:w="6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 of the Company is Alcobra Ltd.</w:t>
      </w:r>
    </w:p>
    <w:p>
      <w:pPr>
        <w:spacing w:after="0" w:line="225"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Goals of the Company</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goal of the Company is to engage in any lawful business.</w:t>
      </w:r>
    </w:p>
    <w:p>
      <w:pPr>
        <w:spacing w:after="0" w:line="225"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Interpretation</w:t>
      </w:r>
    </w:p>
    <w:p>
      <w:pPr>
        <w:spacing w:after="0" w:line="225"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Any statement in the singular shall also include the plural and vice versa; any statement in the masculine shall also include the feminine and vice versa.</w:t>
      </w:r>
    </w:p>
    <w:p>
      <w:pPr>
        <w:spacing w:after="0" w:line="170"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Except insofar as these Articles include special definitions of certain terms, any word and expression in these Articles shall have the meaning attributed thereto in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unless this contradicts the written matter or the content thereof.</w:t>
      </w:r>
    </w:p>
    <w:p>
      <w:pPr>
        <w:spacing w:after="0" w:line="181"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prevent doubt it is clarified that regarding matters regulated in the Companies Law in such manner that the arrangements in these matters may be conditioned in the Articles, and in cases in which these Articles do not include different provisions from those in the Companies Law, the provisions of the Companies Law shall apply.</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62" w:name="page163"/>
    <w:bookmarkEnd w:id="162"/>
    <w:p>
      <w:pPr>
        <w:ind w:left="1400" w:right="20" w:hanging="755"/>
        <w:spacing w:after="0" w:line="308" w:lineRule="auto"/>
        <w:tabs>
          <w:tab w:leader="none" w:pos="13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For the avoidance of doubt, the provisions of the Articles of Association of the Company as detailed below are in any event subject to the provisions of the Companies Law, the Securities Law, 5728-1968 (the “</w:t>
      </w:r>
      <w:r>
        <w:rPr>
          <w:rFonts w:ascii="Arial" w:cs="Arial" w:eastAsia="Arial" w:hAnsi="Arial"/>
          <w:sz w:val="17"/>
          <w:szCs w:val="17"/>
          <w:b w:val="1"/>
          <w:bCs w:val="1"/>
          <w:color w:val="auto"/>
        </w:rPr>
        <w:t>Securities Law</w:t>
      </w:r>
      <w:r>
        <w:rPr>
          <w:rFonts w:ascii="Arial" w:cs="Arial" w:eastAsia="Arial" w:hAnsi="Arial"/>
          <w:sz w:val="17"/>
          <w:szCs w:val="17"/>
          <w:color w:val="auto"/>
        </w:rPr>
        <w:t>”) and any other applicable law.</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u w:val="single" w:color="auto"/>
          <w:color w:val="auto"/>
        </w:rPr>
        <w:t>Limited Liability</w:t>
      </w:r>
      <w:r>
        <w:rPr>
          <w:rFonts w:ascii="Arial" w:cs="Arial" w:eastAsia="Arial" w:hAnsi="Arial"/>
          <w:sz w:val="17"/>
          <w:szCs w:val="17"/>
          <w:color w:val="auto"/>
        </w:rPr>
        <w:t>.</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liability of the shareholders for the Company’s debts shall be limited to the full amount (nominal value with the addition of premium) required to be paid to the Company for the shares and which has not yet been paid.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Donations</w:t>
      </w:r>
      <w:r>
        <w:rPr>
          <w:rFonts w:ascii="Arial" w:cs="Arial" w:eastAsia="Arial" w:hAnsi="Arial"/>
          <w:sz w:val="16"/>
          <w:szCs w:val="16"/>
          <w:color w:val="auto"/>
        </w:rPr>
        <w:t>.</w:t>
      </w:r>
    </w:p>
    <w:p>
      <w:pPr>
        <w:spacing w:after="0" w:line="225"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Company is entitled to donate a reasonable sum of money for a fit purpose. The Board of Directors of the Company is entitled to determine, at its discretion, rules for the making of donations by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2 Shares and Share Capital</w:t>
      </w:r>
    </w:p>
    <w:p>
      <w:pPr>
        <w:spacing w:after="0" w:line="229"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Share Capital and Rights Attached to Shares</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 xml:space="preserve">The registered capital of the Company is NIS </w:t>
      </w:r>
      <w:r>
        <w:rPr>
          <w:rFonts w:ascii="Arial" w:cs="Arial" w:eastAsia="Arial" w:hAnsi="Arial"/>
          <w:sz w:val="16"/>
          <w:szCs w:val="16"/>
          <w:color w:val="auto"/>
          <w:highlight w:val="yellow"/>
        </w:rPr>
        <w:t>________</w:t>
      </w:r>
      <w:r>
        <w:rPr>
          <w:rFonts w:ascii="Arial" w:cs="Arial" w:eastAsia="Arial" w:hAnsi="Arial"/>
          <w:sz w:val="16"/>
          <w:szCs w:val="16"/>
          <w:color w:val="auto"/>
        </w:rPr>
        <w:t xml:space="preserve">, divided into </w:t>
      </w:r>
      <w:r>
        <w:rPr>
          <w:rFonts w:ascii="Arial" w:cs="Arial" w:eastAsia="Arial" w:hAnsi="Arial"/>
          <w:sz w:val="16"/>
          <w:szCs w:val="16"/>
          <w:color w:val="auto"/>
          <w:highlight w:val="yellow"/>
        </w:rPr>
        <w:t>______</w:t>
      </w:r>
      <w:r>
        <w:rPr>
          <w:rFonts w:ascii="Arial" w:cs="Arial" w:eastAsia="Arial" w:hAnsi="Arial"/>
          <w:sz w:val="16"/>
          <w:szCs w:val="16"/>
          <w:color w:val="auto"/>
        </w:rPr>
        <w:t xml:space="preserve"> ordinary shares with a nominal value of NIS 0.01 each.</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ordinary shares shall entitle their owners to –</w:t>
      </w:r>
    </w:p>
    <w:p>
      <w:pPr>
        <w:spacing w:after="0" w:line="225" w:lineRule="exact"/>
        <w:rPr>
          <w:sz w:val="20"/>
          <w:szCs w:val="20"/>
          <w:color w:val="auto"/>
        </w:rPr>
      </w:pPr>
    </w:p>
    <w:p>
      <w:pPr>
        <w:jc w:val="both"/>
        <w:ind w:left="2300" w:hanging="890"/>
        <w:spacing w:after="0" w:line="264" w:lineRule="auto"/>
        <w:tabs>
          <w:tab w:leader="none" w:pos="228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8"/>
          <w:szCs w:val="18"/>
          <w:color w:val="auto"/>
        </w:rPr>
        <w:t>An equal right to participate in and vote at the General Meetings of the Company, whether Annual Meetings or Extraordinary Meetings. Each of the shares in the Company shall entitle its owner present at the meeting and participating in the vote in person, by proxy, or by means of a voting deed, to one vote;</w:t>
      </w:r>
    </w:p>
    <w:p>
      <w:pPr>
        <w:spacing w:after="0" w:line="181" w:lineRule="exact"/>
        <w:rPr>
          <w:sz w:val="20"/>
          <w:szCs w:val="20"/>
          <w:color w:val="auto"/>
        </w:rPr>
      </w:pPr>
    </w:p>
    <w:p>
      <w:pPr>
        <w:jc w:val="both"/>
        <w:ind w:left="2300" w:hanging="890"/>
        <w:spacing w:after="0" w:line="277" w:lineRule="auto"/>
        <w:tabs>
          <w:tab w:leader="none" w:pos="228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8"/>
          <w:szCs w:val="18"/>
          <w:color w:val="auto"/>
        </w:rPr>
        <w:t>An equal right to participate in the distribution of dividends, whether in cash or assets, benefit shares, or any other distribution, according to the proportionate nominal value of the shares held thereby;</w:t>
      </w:r>
    </w:p>
    <w:p>
      <w:pPr>
        <w:spacing w:after="0" w:line="170" w:lineRule="exact"/>
        <w:rPr>
          <w:sz w:val="20"/>
          <w:szCs w:val="20"/>
          <w:color w:val="auto"/>
        </w:rPr>
      </w:pPr>
    </w:p>
    <w:p>
      <w:pPr>
        <w:jc w:val="both"/>
        <w:ind w:left="2300" w:hanging="890"/>
        <w:spacing w:after="0" w:line="277" w:lineRule="auto"/>
        <w:tabs>
          <w:tab w:leader="none" w:pos="228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8"/>
          <w:szCs w:val="18"/>
          <w:color w:val="auto"/>
        </w:rPr>
        <w:t>An equal right to participate in the distribution of the surplus assets of the Company in the event of its liquidation in accordance with the proportionate nominal value of the shares held thereby.</w:t>
      </w:r>
    </w:p>
    <w:p>
      <w:pPr>
        <w:spacing w:after="0" w:line="170" w:lineRule="exact"/>
        <w:rPr>
          <w:sz w:val="20"/>
          <w:szCs w:val="20"/>
          <w:color w:val="auto"/>
        </w:rPr>
      </w:pPr>
    </w:p>
    <w:p>
      <w:pPr>
        <w:jc w:val="both"/>
        <w:ind w:left="1400" w:hanging="755"/>
        <w:spacing w:after="0" w:line="286" w:lineRule="auto"/>
        <w:tabs>
          <w:tab w:leader="none" w:pos="13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The Board of Directors is entitled to issue shares and other convertible securities or securities that may be realized as shares up to the limit of the Company’s registered capital. For the purpose of calculating the limit of the registered capital, convertible securities or securities that may be realized as shares shall be considered to have been converted or realized as of their date of issue.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63" w:name="page164"/>
    <w:bookmarkEnd w:id="163"/>
    <w:p>
      <w:pPr>
        <w:ind w:left="42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Share Certificates</w:t>
      </w:r>
    </w:p>
    <w:p>
      <w:pPr>
        <w:spacing w:after="0" w:line="225" w:lineRule="exact"/>
        <w:rPr>
          <w:sz w:val="20"/>
          <w:szCs w:val="20"/>
          <w:color w:val="auto"/>
        </w:rPr>
      </w:pPr>
    </w:p>
    <w:p>
      <w:pPr>
        <w:jc w:val="both"/>
        <w:ind w:left="1400" w:hanging="755"/>
        <w:spacing w:after="0" w:line="257" w:lineRule="auto"/>
        <w:tabs>
          <w:tab w:leader="none" w:pos="13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owner of a share registered in the registry of shareholders is entitled to receive from the Company, without payment and within a period of three months following the allocation or the registration of transfer, one share certificate stamped with the Company’s stamp regarding all the shares registered in his name, which certificate shall detail the number of shares. In the event of a jointly owned share, the Company shall issue one share certificate for all the joint owners of the share, and the delivery of such a certificate to one of the partners shall be considered delivery to them all.</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Each share certificate shall bear the signature of at least one Director, together with the Company stamp or its printed name.</w:t>
      </w:r>
    </w:p>
    <w:p>
      <w:pPr>
        <w:spacing w:after="0" w:line="225"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share certificate that has been defaced, destroyed, or lost may be renewed on the basis of such proof and guarantees as shall be required by the Company from time to time.</w:t>
      </w:r>
    </w:p>
    <w:p>
      <w:pPr>
        <w:spacing w:after="0" w:line="170"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Reliefs relating to Shares that Have Not Been Fully Paid</w:t>
      </w:r>
    </w:p>
    <w:p>
      <w:pPr>
        <w:spacing w:after="0" w:line="225" w:lineRule="exact"/>
        <w:rPr>
          <w:sz w:val="20"/>
          <w:szCs w:val="20"/>
          <w:color w:val="auto"/>
        </w:rPr>
      </w:pPr>
    </w:p>
    <w:p>
      <w:pPr>
        <w:jc w:val="both"/>
        <w:ind w:left="1400" w:hanging="755"/>
        <w:spacing w:after="0" w:line="255" w:lineRule="auto"/>
        <w:tabs>
          <w:tab w:leader="none" w:pos="13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If any or all of the remuneration the shareholder undertook to pay the Company in return for his shares has not been paid by such date and on such conditions as established in the conditions for the allocation of his shares and/or in the payment request as stated in Article 2.3.2 below, the Company is entitled, by way of a decision of the Board of Directors, to forfeit the shares whose remuneration has not been fully paid. The forfeiture of shares shall take place provided that the Company has sent the shareholder written warning of its intention to forfeit the shares after at least 7 days from the date of receipt of the warning, insofar as payment shall not be made during the period determined in the letter of warning.</w:t>
      </w:r>
    </w:p>
    <w:p>
      <w:pPr>
        <w:spacing w:after="0" w:line="193" w:lineRule="exact"/>
        <w:rPr>
          <w:sz w:val="20"/>
          <w:szCs w:val="20"/>
          <w:color w:val="auto"/>
        </w:rPr>
      </w:pPr>
    </w:p>
    <w:p>
      <w:pPr>
        <w:ind w:left="1420" w:right="20"/>
        <w:spacing w:after="0" w:line="277" w:lineRule="auto"/>
        <w:rPr>
          <w:sz w:val="20"/>
          <w:szCs w:val="20"/>
          <w:color w:val="auto"/>
        </w:rPr>
      </w:pPr>
      <w:r>
        <w:rPr>
          <w:rFonts w:ascii="Arial" w:cs="Arial" w:eastAsia="Arial" w:hAnsi="Arial"/>
          <w:sz w:val="18"/>
          <w:szCs w:val="18"/>
          <w:color w:val="auto"/>
        </w:rPr>
        <w:t>The Board of Directors is entitled, at any time prior to the date on which the forfeited share is sold, reallocated, or otherwise transferred, to nullify the forfeiture on such conditions as it shall see fit.</w:t>
      </w:r>
    </w:p>
    <w:p>
      <w:pPr>
        <w:spacing w:after="0" w:line="170" w:lineRule="exact"/>
        <w:rPr>
          <w:sz w:val="20"/>
          <w:szCs w:val="20"/>
          <w:color w:val="auto"/>
        </w:rPr>
      </w:pPr>
    </w:p>
    <w:p>
      <w:pPr>
        <w:jc w:val="both"/>
        <w:ind w:left="1400" w:hanging="755"/>
        <w:spacing w:after="0" w:line="255" w:lineRule="auto"/>
        <w:tabs>
          <w:tab w:leader="none" w:pos="13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If, in accordance with the conditions of allocation of the shares, there is no fixed date for the payment of any part of the price to be paid on account thereof, the Board of Directors is entitled, from time to time, to present payment requests to the shareholders on account of monies not yet removed for the shares they hold, and each shareholder shall be obliged to pay the Company the amount requested on the date determined as stated, provided that he shall receive prior notice of 14 days of the date and place of payment (a “</w:t>
      </w:r>
      <w:r>
        <w:rPr>
          <w:rFonts w:ascii="Arial" w:cs="Arial" w:eastAsia="Arial" w:hAnsi="Arial"/>
          <w:sz w:val="18"/>
          <w:szCs w:val="18"/>
          <w:b w:val="1"/>
          <w:bCs w:val="1"/>
          <w:color w:val="auto"/>
        </w:rPr>
        <w:t>Payment Request</w:t>
      </w:r>
      <w:r>
        <w:rPr>
          <w:rFonts w:ascii="Arial" w:cs="Arial" w:eastAsia="Arial" w:hAnsi="Arial"/>
          <w:sz w:val="18"/>
          <w:szCs w:val="18"/>
          <w:color w:val="auto"/>
        </w:rPr>
        <w:t>”). The notification shall specify that non-payment by or before the determined date and in the specified place may lead to the forfeiture of the shares regarding which payment is requested. A Payment Request may be nullified or postponed to another date, all as shall be decided by the Board of Directors.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64" w:name="page165"/>
    <w:bookmarkEnd w:id="164"/>
    <w:p>
      <w:pPr>
        <w:ind w:left="1400" w:right="20" w:hanging="755"/>
        <w:spacing w:after="0" w:line="277" w:lineRule="auto"/>
        <w:tabs>
          <w:tab w:leader="none" w:pos="13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Unless otherwise determined in the conditions of allocations of the shares, a shareholder shall not be entitled to receive a dividend or to exercise any right as a shareholder on account of shares that have not yet been fully paid.</w:t>
      </w:r>
    </w:p>
    <w:p>
      <w:pPr>
        <w:spacing w:after="0" w:line="170"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Persons who are the joint owners of a share shall be liable jointly and severally for payment of the amounts due to the Company on account of the share.</w:t>
      </w:r>
    </w:p>
    <w:p>
      <w:pPr>
        <w:spacing w:after="0" w:line="170"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The content of this section shall not derogate from any other relief of the Company vis-à-vis a shareholder who fails to pay his debt to the Company on account of his shares.</w:t>
      </w:r>
    </w:p>
    <w:p>
      <w:pPr>
        <w:spacing w:after="0" w:line="170"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Transfer of Shares</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The Company’s shares are transferable.</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transfer of shares must be made in writing, and it shall be recorded only if –</w:t>
      </w:r>
    </w:p>
    <w:p>
      <w:pPr>
        <w:spacing w:after="0" w:line="225" w:lineRule="exact"/>
        <w:rPr>
          <w:sz w:val="20"/>
          <w:szCs w:val="20"/>
          <w:color w:val="auto"/>
        </w:rPr>
      </w:pPr>
    </w:p>
    <w:p>
      <w:pPr>
        <w:jc w:val="both"/>
        <w:ind w:left="2300" w:hanging="890"/>
        <w:spacing w:after="0" w:line="276" w:lineRule="auto"/>
        <w:tabs>
          <w:tab w:leader="none" w:pos="2280" w:val="left"/>
        </w:tabs>
        <w:rPr>
          <w:sz w:val="20"/>
          <w:szCs w:val="20"/>
          <w:color w:val="auto"/>
        </w:rPr>
      </w:pPr>
      <w:r>
        <w:rPr>
          <w:rFonts w:ascii="Arial" w:cs="Arial" w:eastAsia="Arial" w:hAnsi="Arial"/>
          <w:sz w:val="18"/>
          <w:szCs w:val="18"/>
          <w:color w:val="auto"/>
        </w:rPr>
        <w:t>2.4.2.1</w:t>
      </w:r>
      <w:r>
        <w:rPr>
          <w:sz w:val="20"/>
          <w:szCs w:val="20"/>
          <w:color w:val="auto"/>
        </w:rPr>
        <w:tab/>
      </w:r>
      <w:r>
        <w:rPr>
          <w:rFonts w:ascii="Arial" w:cs="Arial" w:eastAsia="Arial" w:hAnsi="Arial"/>
          <w:sz w:val="17"/>
          <w:szCs w:val="17"/>
          <w:color w:val="auto"/>
        </w:rPr>
        <w:t>A proper certificate for the transfer of shares, together with the certificates of the share intended for transfer, if such were issued, are delivered to the Company at its registered office. The certificate of transfer shall be drafted in such form approved by the Board of Directors and signed by the transferor and by a witness confirming the signature of the transferor. In the event of the transfer of shares that are not fully paid as of the date of transfer, the certificate of transfer shall also be signed by the recipient of the share and by a witness testifying to the signature of the recipient; or</w:t>
      </w:r>
    </w:p>
    <w:p>
      <w:pPr>
        <w:spacing w:after="0" w:line="173"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6"/>
          <w:szCs w:val="16"/>
          <w:color w:val="auto"/>
        </w:rPr>
        <w:t>A court order for the amendment of the registration shall be delivered to the Company; or</w:t>
      </w:r>
    </w:p>
    <w:p>
      <w:pPr>
        <w:spacing w:after="0" w:line="225"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2.4.2.3</w:t>
      </w:r>
      <w:r>
        <w:rPr>
          <w:sz w:val="20"/>
          <w:szCs w:val="20"/>
          <w:color w:val="auto"/>
        </w:rPr>
        <w:tab/>
      </w:r>
      <w:r>
        <w:rPr>
          <w:rFonts w:ascii="Arial" w:cs="Arial" w:eastAsia="Arial" w:hAnsi="Arial"/>
          <w:sz w:val="16"/>
          <w:szCs w:val="16"/>
          <w:color w:val="auto"/>
        </w:rPr>
        <w:t>It shall be proved to the Company that lawful conditions pertain for the transfer of the right to the share.</w:t>
      </w:r>
    </w:p>
    <w:p>
      <w:pPr>
        <w:spacing w:after="0" w:line="225"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transfer of shares that have not been fully paid requires the authorization of the Board of Directors, which is entitled to refuse to grant its authorization at its absolute discretion and without stating grounds therefore.</w:t>
      </w:r>
    </w:p>
    <w:p>
      <w:pPr>
        <w:spacing w:after="0" w:line="170"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recipient of the transfer shall be considered the shareholder regarding the transferred shares from the moment of the registration of his name in the registry of shareholders.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Changes in Capital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65" w:name="page166"/>
    <w:bookmarkEnd w:id="165"/>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The General Meeting is entitled to increase the Company’s registered share capital by creating new shares of an existing class or a new class, all as shall be determined in the decision of the General Meeting.</w:t>
      </w:r>
    </w:p>
    <w:p>
      <w:pPr>
        <w:spacing w:after="0" w:line="170"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Subject to the provisions of the Companies Law, the General Meeting is entitled to decrease the Company’s registered share capital or nullify registered share capital that has not yet been allocated (provided that there is no commitment, including a conditioned commitment, by the Company to allocate the shares).</w:t>
      </w:r>
    </w:p>
    <w:p>
      <w:pPr>
        <w:spacing w:after="0" w:line="181"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The General Meeting shall be entitled, subject to the provisions of any law:</w:t>
      </w:r>
    </w:p>
    <w:p>
      <w:pPr>
        <w:spacing w:after="0" w:line="225" w:lineRule="exact"/>
        <w:rPr>
          <w:sz w:val="20"/>
          <w:szCs w:val="20"/>
          <w:color w:val="auto"/>
        </w:rPr>
      </w:pPr>
    </w:p>
    <w:p>
      <w:pPr>
        <w:ind w:left="2300" w:hanging="890"/>
        <w:spacing w:after="0" w:line="277" w:lineRule="auto"/>
        <w:tabs>
          <w:tab w:leader="none" w:pos="2280" w:val="left"/>
        </w:tabs>
        <w:rPr>
          <w:sz w:val="20"/>
          <w:szCs w:val="20"/>
          <w:color w:val="auto"/>
        </w:rPr>
      </w:pPr>
      <w:r>
        <w:rPr>
          <w:rFonts w:ascii="Arial" w:cs="Arial" w:eastAsia="Arial" w:hAnsi="Arial"/>
          <w:sz w:val="18"/>
          <w:szCs w:val="18"/>
          <w:color w:val="auto"/>
        </w:rPr>
        <w:t>2.5.3.1</w:t>
      </w:r>
      <w:r>
        <w:rPr>
          <w:sz w:val="20"/>
          <w:szCs w:val="20"/>
          <w:color w:val="auto"/>
        </w:rPr>
        <w:tab/>
      </w:r>
      <w:r>
        <w:rPr>
          <w:rFonts w:ascii="Arial" w:cs="Arial" w:eastAsia="Arial" w:hAnsi="Arial"/>
          <w:sz w:val="18"/>
          <w:szCs w:val="18"/>
          <w:color w:val="auto"/>
        </w:rPr>
        <w:t>To unify and redivide its share capital, or any part thereof, into shares of a nominal value greater than the nominal value of the existing shares.</w:t>
      </w:r>
    </w:p>
    <w:p>
      <w:pPr>
        <w:spacing w:after="0" w:line="170" w:lineRule="exact"/>
        <w:rPr>
          <w:sz w:val="20"/>
          <w:szCs w:val="20"/>
          <w:color w:val="auto"/>
        </w:rPr>
      </w:pPr>
    </w:p>
    <w:p>
      <w:pPr>
        <w:ind w:left="2300" w:hanging="890"/>
        <w:spacing w:after="0" w:line="277" w:lineRule="auto"/>
        <w:tabs>
          <w:tab w:leader="none" w:pos="2280" w:val="left"/>
        </w:tabs>
        <w:rPr>
          <w:sz w:val="20"/>
          <w:szCs w:val="20"/>
          <w:color w:val="auto"/>
        </w:rPr>
      </w:pPr>
      <w:r>
        <w:rPr>
          <w:rFonts w:ascii="Arial" w:cs="Arial" w:eastAsia="Arial" w:hAnsi="Arial"/>
          <w:sz w:val="18"/>
          <w:szCs w:val="18"/>
          <w:color w:val="auto"/>
        </w:rPr>
        <w:t>2.5.3.2</w:t>
      </w:r>
      <w:r>
        <w:rPr>
          <w:sz w:val="20"/>
          <w:szCs w:val="20"/>
          <w:color w:val="auto"/>
        </w:rPr>
        <w:tab/>
      </w:r>
      <w:r>
        <w:rPr>
          <w:rFonts w:ascii="Arial" w:cs="Arial" w:eastAsia="Arial" w:hAnsi="Arial"/>
          <w:sz w:val="18"/>
          <w:szCs w:val="18"/>
          <w:color w:val="auto"/>
        </w:rPr>
        <w:t>To divide, by way of the redivision of any or all of the existing shares, its share capital into shares of a nominal value smaller than the nominal value of the existing shares.</w:t>
      </w:r>
    </w:p>
    <w:p>
      <w:pPr>
        <w:spacing w:after="0" w:line="170" w:lineRule="exact"/>
        <w:rPr>
          <w:sz w:val="20"/>
          <w:szCs w:val="20"/>
          <w:color w:val="auto"/>
        </w:rPr>
      </w:pPr>
    </w:p>
    <w:p>
      <w:pPr>
        <w:ind w:left="2300" w:hanging="890"/>
        <w:spacing w:after="0" w:line="277" w:lineRule="auto"/>
        <w:tabs>
          <w:tab w:leader="none" w:pos="2280" w:val="left"/>
        </w:tabs>
        <w:rPr>
          <w:sz w:val="20"/>
          <w:szCs w:val="20"/>
          <w:color w:val="auto"/>
        </w:rPr>
      </w:pPr>
      <w:r>
        <w:rPr>
          <w:rFonts w:ascii="Arial" w:cs="Arial" w:eastAsia="Arial" w:hAnsi="Arial"/>
          <w:sz w:val="18"/>
          <w:szCs w:val="18"/>
          <w:color w:val="auto"/>
        </w:rPr>
        <w:t>2.5.3.3</w:t>
      </w:r>
      <w:r>
        <w:rPr>
          <w:sz w:val="20"/>
          <w:szCs w:val="20"/>
          <w:color w:val="auto"/>
        </w:rPr>
        <w:tab/>
      </w:r>
      <w:r>
        <w:rPr>
          <w:rFonts w:ascii="Arial" w:cs="Arial" w:eastAsia="Arial" w:hAnsi="Arial"/>
          <w:sz w:val="18"/>
          <w:szCs w:val="18"/>
          <w:color w:val="auto"/>
        </w:rPr>
        <w:t>To reduce its share capital and any reserved fund for the repayment of capital in such manner and on such conditions and with the receipt of such authorization as shall be required by the Companies Law.</w:t>
      </w:r>
    </w:p>
    <w:p>
      <w:pPr>
        <w:spacing w:after="0" w:line="17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u w:val="single" w:color="auto"/>
          <w:color w:val="auto"/>
        </w:rPr>
        <w:t>Changes in the Rights of Share Classes</w:t>
      </w:r>
    </w:p>
    <w:p>
      <w:pPr>
        <w:spacing w:after="0" w:line="225" w:lineRule="exact"/>
        <w:rPr>
          <w:sz w:val="20"/>
          <w:szCs w:val="20"/>
          <w:color w:val="auto"/>
        </w:rPr>
      </w:pPr>
    </w:p>
    <w:p>
      <w:pPr>
        <w:jc w:val="both"/>
        <w:ind w:left="1400" w:hanging="755"/>
        <w:spacing w:after="0" w:line="279" w:lineRule="auto"/>
        <w:tabs>
          <w:tab w:leader="none" w:pos="13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7"/>
          <w:szCs w:val="17"/>
          <w:color w:val="auto"/>
        </w:rPr>
        <w:t xml:space="preserve">Unless otherwise stated in the conditions of issue of the shares, and subject to the provisions of any law, the rights of any share class may be changed following a decision of the Company’s Board of Directors, and with the authorization of the General Meeting of shareholders of that class, or with the written consent of all the shareholders of that class. The provisions of the Company’s Articles of Association regarding General Meetings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a class meeting of class shareholders.</w:t>
      </w:r>
    </w:p>
    <w:p>
      <w:pPr>
        <w:spacing w:after="0" w:line="171" w:lineRule="exact"/>
        <w:rPr>
          <w:sz w:val="20"/>
          <w:szCs w:val="20"/>
          <w:color w:val="auto"/>
        </w:rPr>
      </w:pPr>
    </w:p>
    <w:p>
      <w:pPr>
        <w:jc w:val="both"/>
        <w:ind w:left="1400" w:hanging="755"/>
        <w:spacing w:after="0" w:line="342" w:lineRule="auto"/>
        <w:tabs>
          <w:tab w:leader="none" w:pos="13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rights granted to the holders of shares of a specific class issued with special rights shall not be considered to have been changed by virtue of the creation or issue of additional shares of equal grade, unless otherwise conditioned in the conditions of issue of the said shares.</w:t>
      </w:r>
    </w:p>
    <w:p>
      <w:pPr>
        <w:spacing w:after="0" w:line="12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u w:val="single" w:color="auto"/>
          <w:color w:val="auto"/>
        </w:rPr>
        <w:t>Redeemable Securities</w:t>
      </w:r>
    </w:p>
    <w:p>
      <w:pPr>
        <w:spacing w:after="0" w:line="225" w:lineRule="exact"/>
        <w:rPr>
          <w:sz w:val="20"/>
          <w:szCs w:val="20"/>
          <w:color w:val="auto"/>
        </w:rPr>
      </w:pPr>
    </w:p>
    <w:p>
      <w:pPr>
        <w:jc w:val="both"/>
        <w:ind w:left="640"/>
        <w:spacing w:after="0" w:line="342" w:lineRule="auto"/>
        <w:rPr>
          <w:sz w:val="20"/>
          <w:szCs w:val="20"/>
          <w:color w:val="auto"/>
        </w:rPr>
      </w:pPr>
      <w:r>
        <w:rPr>
          <w:rFonts w:ascii="Arial" w:cs="Arial" w:eastAsia="Arial" w:hAnsi="Arial"/>
          <w:sz w:val="16"/>
          <w:szCs w:val="16"/>
          <w:color w:val="auto"/>
        </w:rPr>
        <w:t>The Company is entitled, subject to any law, to issue redeemable securities on such conditions as shall be determined by the Board of Directors, provided that the General Meeting shall approve the recommendation of the Board of Directors and the conditions established thereby.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Chapter 3 General Meetings</w:t>
      </w:r>
    </w:p>
    <w:p>
      <w:pPr>
        <w:spacing w:after="0" w:line="229"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Authorities of General Meeting</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Company decisions on the following matters shall be taken at the General Meeting –</w:t>
      </w:r>
    </w:p>
    <w:p>
      <w:pPr>
        <w:spacing w:after="0" w:line="225"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3.1.1.1</w:t>
      </w:r>
      <w:r>
        <w:rPr>
          <w:sz w:val="20"/>
          <w:szCs w:val="20"/>
          <w:color w:val="auto"/>
        </w:rPr>
        <w:tab/>
      </w:r>
      <w:r>
        <w:rPr>
          <w:rFonts w:ascii="Arial" w:cs="Arial" w:eastAsia="Arial" w:hAnsi="Arial"/>
          <w:sz w:val="16"/>
          <w:szCs w:val="16"/>
          <w:color w:val="auto"/>
        </w:rPr>
        <w:t>Changes to the Articles;</w:t>
      </w:r>
    </w:p>
    <w:p>
      <w:pPr>
        <w:spacing w:after="0" w:line="225"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6"/>
          <w:szCs w:val="16"/>
          <w:color w:val="auto"/>
        </w:rPr>
        <w:t>Exercising vital authorities of the Board of Directors in the event that the Board of Directors is unable to perform its function;</w:t>
      </w:r>
    </w:p>
    <w:p>
      <w:pPr>
        <w:spacing w:after="0" w:line="225"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6"/>
          <w:szCs w:val="16"/>
          <w:color w:val="auto"/>
        </w:rPr>
        <w:t>Appointment of the auditing accountant of the Company and the cessation of employment thereof;</w:t>
      </w:r>
    </w:p>
    <w:p>
      <w:pPr>
        <w:spacing w:after="0" w:line="225"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3.1.1.4</w:t>
      </w:r>
      <w:r>
        <w:rPr>
          <w:sz w:val="20"/>
          <w:szCs w:val="20"/>
          <w:color w:val="auto"/>
        </w:rPr>
        <w:tab/>
      </w:r>
      <w:r>
        <w:rPr>
          <w:rFonts w:ascii="Arial" w:cs="Arial" w:eastAsia="Arial" w:hAnsi="Arial"/>
          <w:sz w:val="16"/>
          <w:szCs w:val="16"/>
          <w:color w:val="auto"/>
        </w:rPr>
        <w:t>Appointment of Directors, including External Directors;</w:t>
      </w:r>
    </w:p>
    <w:p>
      <w:pPr>
        <w:spacing w:after="0" w:line="225" w:lineRule="exact"/>
        <w:rPr>
          <w:sz w:val="20"/>
          <w:szCs w:val="20"/>
          <w:color w:val="auto"/>
        </w:rPr>
      </w:pPr>
    </w:p>
    <w:p>
      <w:pPr>
        <w:jc w:val="both"/>
        <w:ind w:left="2300" w:hanging="890"/>
        <w:spacing w:after="0" w:line="277" w:lineRule="auto"/>
        <w:tabs>
          <w:tab w:leader="none" w:pos="2280" w:val="left"/>
        </w:tabs>
        <w:rPr>
          <w:sz w:val="20"/>
          <w:szCs w:val="20"/>
          <w:color w:val="auto"/>
        </w:rPr>
      </w:pPr>
      <w:r>
        <w:rPr>
          <w:rFonts w:ascii="Arial" w:cs="Arial" w:eastAsia="Arial" w:hAnsi="Arial"/>
          <w:sz w:val="18"/>
          <w:szCs w:val="18"/>
          <w:color w:val="auto"/>
        </w:rPr>
        <w:t>3.1.1.5</w:t>
      </w:r>
      <w:r>
        <w:rPr>
          <w:sz w:val="20"/>
          <w:szCs w:val="20"/>
          <w:color w:val="auto"/>
        </w:rPr>
        <w:tab/>
      </w:r>
      <w:r>
        <w:rPr>
          <w:rFonts w:ascii="Arial" w:cs="Arial" w:eastAsia="Arial" w:hAnsi="Arial"/>
          <w:sz w:val="18"/>
          <w:szCs w:val="18"/>
          <w:color w:val="auto"/>
        </w:rPr>
        <w:t>Authorization of actions and transactions requiring the authorization of the General Meeting in accordance with the provisions of the Companies Law and any other law;</w:t>
      </w:r>
    </w:p>
    <w:p>
      <w:pPr>
        <w:spacing w:after="0" w:line="170"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3.1.1.6</w:t>
      </w:r>
      <w:r>
        <w:rPr>
          <w:sz w:val="20"/>
          <w:szCs w:val="20"/>
          <w:color w:val="auto"/>
        </w:rPr>
        <w:tab/>
      </w:r>
      <w:r>
        <w:rPr>
          <w:rFonts w:ascii="Arial" w:cs="Arial" w:eastAsia="Arial" w:hAnsi="Arial"/>
          <w:sz w:val="15"/>
          <w:szCs w:val="15"/>
          <w:color w:val="auto"/>
        </w:rPr>
        <w:t>Increasing and decreasing the registered share capital;</w:t>
      </w:r>
    </w:p>
    <w:p>
      <w:pPr>
        <w:spacing w:after="0" w:line="225"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3.1.1.7</w:t>
      </w:r>
      <w:r>
        <w:rPr>
          <w:sz w:val="20"/>
          <w:szCs w:val="20"/>
          <w:color w:val="auto"/>
        </w:rPr>
        <w:tab/>
      </w:r>
      <w:r>
        <w:rPr>
          <w:rFonts w:ascii="Arial" w:cs="Arial" w:eastAsia="Arial" w:hAnsi="Arial"/>
          <w:sz w:val="16"/>
          <w:szCs w:val="16"/>
          <w:color w:val="auto"/>
        </w:rPr>
        <w:t>Merger as defined in the Companies Law.</w:t>
      </w:r>
    </w:p>
    <w:p>
      <w:pPr>
        <w:spacing w:after="0" w:line="225" w:lineRule="exact"/>
        <w:rPr>
          <w:sz w:val="20"/>
          <w:szCs w:val="20"/>
          <w:color w:val="auto"/>
        </w:rPr>
      </w:pPr>
    </w:p>
    <w:p>
      <w:pPr>
        <w:ind w:left="1400" w:right="20" w:hanging="755"/>
        <w:spacing w:after="0" w:line="308" w:lineRule="auto"/>
        <w:tabs>
          <w:tab w:leader="none" w:pos="13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Subject to the provisions of the law, the General Meeting is entitled to assume authorities granted to another organ in the Company, including the Board of Directors, for a particular matter or for a given period of time required under the circumstances.</w:t>
      </w:r>
    </w:p>
    <w:p>
      <w:pPr>
        <w:spacing w:after="0" w:line="147" w:lineRule="exact"/>
        <w:rPr>
          <w:sz w:val="20"/>
          <w:szCs w:val="20"/>
          <w:color w:val="auto"/>
        </w:rPr>
      </w:pPr>
    </w:p>
    <w:p>
      <w:pPr>
        <w:jc w:val="both"/>
        <w:ind w:left="1420"/>
        <w:spacing w:after="0" w:line="264" w:lineRule="auto"/>
        <w:rPr>
          <w:sz w:val="20"/>
          <w:szCs w:val="20"/>
          <w:color w:val="auto"/>
        </w:rPr>
      </w:pPr>
      <w:r>
        <w:rPr>
          <w:rFonts w:ascii="Arial" w:cs="Arial" w:eastAsia="Arial" w:hAnsi="Arial"/>
          <w:sz w:val="18"/>
          <w:szCs w:val="18"/>
          <w:color w:val="auto"/>
        </w:rPr>
        <w:t>If the General Meeting has assumed authorities granted to the Board of Directors in accordance with the Companies Law, the shareholders shall bear the same rights, obligations, and liability as apply to the Board of Directors regarding the exercising of those same authorities, as detailed in section 50 of the Companies Law, as this shall be amended from time to time.</w:t>
      </w:r>
    </w:p>
    <w:p>
      <w:pPr>
        <w:spacing w:after="0" w:line="181"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Convening of General Meetings</w:t>
      </w:r>
    </w:p>
    <w:p>
      <w:pPr>
        <w:spacing w:after="0" w:line="225" w:lineRule="exact"/>
        <w:rPr>
          <w:sz w:val="20"/>
          <w:szCs w:val="20"/>
          <w:color w:val="auto"/>
        </w:rPr>
      </w:pPr>
    </w:p>
    <w:p>
      <w:pPr>
        <w:jc w:val="both"/>
        <w:ind w:left="1400" w:hanging="755"/>
        <w:spacing w:after="0" w:line="286" w:lineRule="auto"/>
        <w:tabs>
          <w:tab w:leader="none" w:pos="1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General meetings shall be convened at least once a year at such a venue and on such a date as shall be determined by the Board of Directors, and subject to the provisions of the law, but not later than 15 months after the previous General Meeting. These General Meetings shall be called “Annual Meetings.” The remaining meetings of the Company shall be called “Extraordinary Meetings.”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67" w:name="page168"/>
    <w:bookmarkEnd w:id="167"/>
    <w:p>
      <w:pPr>
        <w:jc w:val="both"/>
        <w:ind w:left="1400" w:hanging="755"/>
        <w:spacing w:after="0" w:line="279" w:lineRule="auto"/>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The agenda at the Annual Meeting shall include discussion of the report of the Board of Directors and financial statements as required by law. The Annual Meeting shall appoint an auditing accountant; shall appoint the Directors in accordance with these Articles; and shall discuss all other matters to be discussed at the Annual Meeting of the Company in accordance with these Articles or in accordance with the Companies Law, as well as any other matter as shall be determined by the Board of Directors.</w:t>
      </w:r>
    </w:p>
    <w:p>
      <w:pPr>
        <w:spacing w:after="0" w:line="171"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The Board of Directors is entitled to convene an Extraordinary Meeting in accordance with its decision, and must convene a General Meeting if a written request is received from any of the following (a “</w:t>
      </w:r>
      <w:r>
        <w:rPr>
          <w:rFonts w:ascii="Arial" w:cs="Arial" w:eastAsia="Arial" w:hAnsi="Arial"/>
          <w:sz w:val="18"/>
          <w:szCs w:val="18"/>
          <w:b w:val="1"/>
          <w:bCs w:val="1"/>
          <w:color w:val="auto"/>
        </w:rPr>
        <w:t>Request to Convene</w:t>
      </w:r>
      <w:r>
        <w:rPr>
          <w:rFonts w:ascii="Arial" w:cs="Arial" w:eastAsia="Arial" w:hAnsi="Arial"/>
          <w:sz w:val="18"/>
          <w:szCs w:val="18"/>
          <w:color w:val="auto"/>
        </w:rPr>
        <w:t>”):</w:t>
      </w:r>
    </w:p>
    <w:p>
      <w:pPr>
        <w:spacing w:after="0" w:line="170"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3.2.3.1</w:t>
      </w:r>
      <w:r>
        <w:rPr>
          <w:sz w:val="20"/>
          <w:szCs w:val="20"/>
          <w:color w:val="auto"/>
        </w:rPr>
        <w:tab/>
      </w:r>
      <w:r>
        <w:rPr>
          <w:rFonts w:ascii="Arial" w:cs="Arial" w:eastAsia="Arial" w:hAnsi="Arial"/>
          <w:sz w:val="16"/>
          <w:szCs w:val="16"/>
          <w:color w:val="auto"/>
        </w:rPr>
        <w:t>Two Directors or one-fourth of the incumbent Directors;</w:t>
      </w:r>
    </w:p>
    <w:p>
      <w:pPr>
        <w:spacing w:after="0" w:line="225" w:lineRule="exact"/>
        <w:rPr>
          <w:sz w:val="20"/>
          <w:szCs w:val="20"/>
          <w:color w:val="auto"/>
        </w:rPr>
      </w:pPr>
    </w:p>
    <w:p>
      <w:pPr>
        <w:ind w:left="2300" w:hanging="890"/>
        <w:spacing w:after="0" w:line="277" w:lineRule="auto"/>
        <w:tabs>
          <w:tab w:leader="none" w:pos="2280" w:val="left"/>
        </w:tabs>
        <w:rPr>
          <w:sz w:val="20"/>
          <w:szCs w:val="20"/>
          <w:color w:val="auto"/>
        </w:rPr>
      </w:pPr>
      <w:r>
        <w:rPr>
          <w:rFonts w:ascii="Arial" w:cs="Arial" w:eastAsia="Arial" w:hAnsi="Arial"/>
          <w:sz w:val="18"/>
          <w:szCs w:val="18"/>
          <w:color w:val="auto"/>
        </w:rPr>
        <w:t>3.2.3.2</w:t>
      </w:r>
      <w:r>
        <w:rPr>
          <w:sz w:val="20"/>
          <w:szCs w:val="20"/>
          <w:color w:val="auto"/>
        </w:rPr>
        <w:tab/>
      </w:r>
      <w:r>
        <w:rPr>
          <w:rFonts w:ascii="Arial" w:cs="Arial" w:eastAsia="Arial" w:hAnsi="Arial"/>
          <w:sz w:val="18"/>
          <w:szCs w:val="18"/>
          <w:color w:val="auto"/>
        </w:rPr>
        <w:t>One or more shareholders holding at least five percent of the issued capital and at least one percent of the voting rights in the Company; or</w:t>
      </w:r>
    </w:p>
    <w:p>
      <w:pPr>
        <w:spacing w:after="0" w:line="170"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3.2.3.3</w:t>
      </w:r>
      <w:r>
        <w:rPr>
          <w:sz w:val="20"/>
          <w:szCs w:val="20"/>
          <w:color w:val="auto"/>
        </w:rPr>
        <w:tab/>
      </w:r>
      <w:r>
        <w:rPr>
          <w:rFonts w:ascii="Arial" w:cs="Arial" w:eastAsia="Arial" w:hAnsi="Arial"/>
          <w:sz w:val="16"/>
          <w:szCs w:val="16"/>
          <w:color w:val="auto"/>
        </w:rPr>
        <w:t>One or more shareholders holding at least five percent of the voting rights in the Company.</w:t>
      </w:r>
    </w:p>
    <w:p>
      <w:pPr>
        <w:spacing w:after="0" w:line="225" w:lineRule="exact"/>
        <w:rPr>
          <w:sz w:val="20"/>
          <w:szCs w:val="20"/>
          <w:color w:val="auto"/>
        </w:rPr>
      </w:pPr>
    </w:p>
    <w:p>
      <w:pPr>
        <w:jc w:val="both"/>
        <w:ind w:left="1400" w:right="20" w:hanging="755"/>
        <w:spacing w:after="0" w:line="264" w:lineRule="auto"/>
        <w:tabs>
          <w:tab w:leader="none" w:pos="13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Any Request to Convene must specify the goals for whose purpose the meeting is to be convened, and shall be signed by those requesting the convening and delivered at the Company’s registered office. The request may consist of a number of documents of identical format, each signed by one or more individuals making the request.</w:t>
      </w:r>
    </w:p>
    <w:p>
      <w:pPr>
        <w:spacing w:after="0" w:line="181"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A Board of Directors required to convene an Extraordinary Meeting shall proceed to convene such meeting within twenty-one days from the date on which the Request to Convene was submitted thereto, for a date determined in an invitation in accordance with Article 3.2.6 below and subject to any law.</w:t>
      </w:r>
    </w:p>
    <w:p>
      <w:pPr>
        <w:spacing w:after="0" w:line="181"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8"/>
          <w:szCs w:val="18"/>
          <w:color w:val="auto"/>
        </w:rPr>
        <w:t>Notification of the members of the Company regarding the convening of a General Meeting shall be published or delivered to all the shareholders registered in the registry of shareholders in the Company in accordance with the requirements of the law. The notification shall include the agenda, the proposed decisions, and arrangements regarding voting in writing.</w:t>
      </w:r>
    </w:p>
    <w:p>
      <w:pPr>
        <w:spacing w:after="0" w:line="181"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Discussion at General Meetings</w:t>
      </w:r>
    </w:p>
    <w:p>
      <w:pPr>
        <w:spacing w:after="0" w:line="225"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The discussion at the General Meeting shall be opened only if a legal quorum is present at the time the discussion begins. A legal quorum is the presence of at least two shareholders holding at least one-third of the voting rights (including presence by means of proxy or through a voting deed) within an hour from the time specified for the opening of the meeting.</w:t>
      </w:r>
    </w:p>
    <w:p>
      <w:pPr>
        <w:spacing w:after="0" w:line="181" w:lineRule="exact"/>
        <w:rPr>
          <w:sz w:val="20"/>
          <w:szCs w:val="20"/>
          <w:color w:val="auto"/>
        </w:rPr>
      </w:pPr>
    </w:p>
    <w:p>
      <w:pPr>
        <w:jc w:val="both"/>
        <w:ind w:left="1400" w:hanging="755"/>
        <w:spacing w:after="0" w:line="276" w:lineRule="auto"/>
        <w:tabs>
          <w:tab w:leader="none" w:pos="13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If, at the end of one hour from the time specified for the opening of the meeting, no legal quorum is present, the meeting shall be postponed by one week, to the same day, the same hour, and the same venue, or to a later date, if specified in the invitation to the meeting or in the notification of the meeting (the “</w:t>
      </w:r>
      <w:r>
        <w:rPr>
          <w:rFonts w:ascii="Arial" w:cs="Arial" w:eastAsia="Arial" w:hAnsi="Arial"/>
          <w:sz w:val="17"/>
          <w:szCs w:val="17"/>
          <w:b w:val="1"/>
          <w:bCs w:val="1"/>
          <w:color w:val="auto"/>
        </w:rPr>
        <w:t>Postponed Meeting</w:t>
      </w:r>
      <w:r>
        <w:rPr>
          <w:rFonts w:ascii="Arial" w:cs="Arial" w:eastAsia="Arial" w:hAnsi="Arial"/>
          <w:sz w:val="17"/>
          <w:szCs w:val="17"/>
          <w:color w:val="auto"/>
        </w:rPr>
        <w:t xml:space="preserve">”). Notification of a Postponed Meeting shall be made as stated in Article 3.2.6, </w:t>
      </w:r>
      <w:r>
        <w:rPr>
          <w:rFonts w:ascii="Arial" w:cs="Arial" w:eastAsia="Arial" w:hAnsi="Arial"/>
          <w:sz w:val="17"/>
          <w:szCs w:val="17"/>
          <w:i w:val="1"/>
          <w:iCs w:val="1"/>
          <w:color w:val="auto"/>
        </w:rPr>
        <w:t>mutatis mutandis</w:t>
      </w:r>
      <w:r>
        <w:rPr>
          <w:rFonts w:ascii="Arial" w:cs="Arial" w:eastAsia="Arial" w:hAnsi="Arial"/>
          <w:sz w:val="17"/>
          <w:szCs w:val="17"/>
          <w:color w:val="auto"/>
        </w:rPr>
        <w:t>, provided that notification and invitation regarding a Postponed Meeting postponed for a period of not more than 21 days shall be made not later than seventy-two hours prior to the Postponed Meeting.</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68" w:name="page169"/>
    <w:bookmarkEnd w:id="168"/>
    <w:p>
      <w:pPr>
        <w:jc w:val="both"/>
        <w:ind w:left="1400" w:right="20" w:hanging="755"/>
        <w:spacing w:after="0" w:line="277" w:lineRule="auto"/>
        <w:tabs>
          <w:tab w:leader="none" w:pos="138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The legal quorum for commencing a Postponed Meeting shall be the presence of any two shareholders (including presence by means of proxy or through a voting deed).</w:t>
      </w:r>
    </w:p>
    <w:p>
      <w:pPr>
        <w:spacing w:after="0" w:line="170"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The chairperson of the Board of Directors shall serve as the chairperson of the General Meeting. If the chairperson of the Board of Directors is absent from the meeting after 15 minutes from the time specified for the meeting, or if he refuses to serve as the chairperson of the meeting, the chairperson shall be elected by the General Meeting.</w:t>
      </w:r>
    </w:p>
    <w:p>
      <w:pPr>
        <w:spacing w:after="0" w:line="181" w:lineRule="exact"/>
        <w:rPr>
          <w:sz w:val="20"/>
          <w:szCs w:val="20"/>
          <w:color w:val="auto"/>
        </w:rPr>
      </w:pPr>
    </w:p>
    <w:p>
      <w:pPr>
        <w:jc w:val="both"/>
        <w:ind w:left="1400" w:hanging="755"/>
        <w:spacing w:after="0" w:line="342" w:lineRule="auto"/>
        <w:tabs>
          <w:tab w:leader="none" w:pos="138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color w:val="auto"/>
        </w:rPr>
        <w:t>A General Meeting with a legal quorum is entitled to decide on the postponement of the meeting to another date and to such venue as shall be determined and, in this case, notifications and invitations to the Postponed Meeting shall be made as stated in Article 3.3.2 above.</w:t>
      </w:r>
    </w:p>
    <w:p>
      <w:pPr>
        <w:spacing w:after="0" w:line="124"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Voting at a General Meeting</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A shareholder in the Company shall be entitled to vote at General Meetings in person or by means of a proxy or a voting deed.</w:t>
      </w:r>
    </w:p>
    <w:p>
      <w:pPr>
        <w:spacing w:after="0" w:line="225" w:lineRule="exact"/>
        <w:rPr>
          <w:sz w:val="20"/>
          <w:szCs w:val="20"/>
          <w:color w:val="auto"/>
        </w:rPr>
      </w:pPr>
    </w:p>
    <w:p>
      <w:pPr>
        <w:ind w:left="1420"/>
        <w:spacing w:after="0" w:line="277" w:lineRule="auto"/>
        <w:rPr>
          <w:sz w:val="20"/>
          <w:szCs w:val="20"/>
          <w:color w:val="auto"/>
        </w:rPr>
      </w:pPr>
      <w:r>
        <w:rPr>
          <w:rFonts w:ascii="Arial" w:cs="Arial" w:eastAsia="Arial" w:hAnsi="Arial"/>
          <w:sz w:val="18"/>
          <w:szCs w:val="18"/>
          <w:color w:val="auto"/>
        </w:rPr>
        <w:t>Shareholders entitled to participate in and vote at the General Meeting are the shareholders as of such date as shall be determined by the Board of Directors in the decision to convene the General Meeting, and subject to any law.</w:t>
      </w:r>
    </w:p>
    <w:p>
      <w:pPr>
        <w:spacing w:after="0" w:line="170"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In any vote, each shareholder shall have a number of votes equivalent to the number of shares in their possession entitling the holder to a vote.</w:t>
      </w:r>
    </w:p>
    <w:p>
      <w:pPr>
        <w:spacing w:after="0" w:line="170"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A decision at the General Meeting shall be taken by an ordinary majority unless another majority is determined in the Companies Law or in these Articles.</w:t>
      </w:r>
    </w:p>
    <w:p>
      <w:pPr>
        <w:spacing w:after="0" w:line="170"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8"/>
          <w:szCs w:val="18"/>
          <w:color w:val="auto"/>
        </w:rPr>
        <w:t>The declaration by the chairperson of the meeting that a decision has been adopted unanimously or by a given majority, or rejected or not adopted by a given majority, shall constitute prima facie evidence of the content thereof.</w:t>
      </w:r>
    </w:p>
    <w:p>
      <w:pPr>
        <w:spacing w:after="0" w:line="197" w:lineRule="exact"/>
        <w:rPr>
          <w:sz w:val="20"/>
          <w:szCs w:val="20"/>
          <w:color w:val="auto"/>
        </w:rPr>
      </w:pPr>
    </w:p>
    <w:p>
      <w:pPr>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8"/>
          <w:szCs w:val="18"/>
          <w:color w:val="auto"/>
        </w:rPr>
        <w:t>If the votes at the meeting are equally divided, the chairperson of the meeting shall not have an additional or casting opinion and the decision presented for voting shall be rejected.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69" w:name="page170"/>
    <w:bookmarkEnd w:id="169"/>
    <w:p>
      <w:pPr>
        <w:jc w:val="both"/>
        <w:ind w:left="1400" w:right="20" w:hanging="755"/>
        <w:spacing w:after="0" w:line="264" w:lineRule="auto"/>
        <w:tabs>
          <w:tab w:leader="none" w:pos="1380" w:val="left"/>
        </w:tabs>
        <w:rPr>
          <w:sz w:val="20"/>
          <w:szCs w:val="20"/>
          <w:color w:val="auto"/>
        </w:rPr>
      </w:pPr>
      <w:r>
        <w:rPr>
          <w:rFonts w:ascii="Arial" w:cs="Arial" w:eastAsia="Arial" w:hAnsi="Arial"/>
          <w:sz w:val="18"/>
          <w:szCs w:val="18"/>
          <w:color w:val="auto"/>
        </w:rPr>
        <w:t>3.4.6</w:t>
      </w:r>
      <w:r>
        <w:rPr>
          <w:sz w:val="20"/>
          <w:szCs w:val="20"/>
          <w:color w:val="auto"/>
        </w:rPr>
        <w:tab/>
      </w:r>
      <w:r>
        <w:rPr>
          <w:rFonts w:ascii="Arial" w:cs="Arial" w:eastAsia="Arial" w:hAnsi="Arial"/>
          <w:sz w:val="18"/>
          <w:szCs w:val="18"/>
          <w:color w:val="auto"/>
        </w:rPr>
        <w:t>To the extent required by the Companies Law or otherwise resolved by the Board of Directors in its decision to convene the General Meeting, shareholders in the Company shall be entitled to vote on certain matters on the agenda of a General Meeting (including class meetings) by means of a voting deed.</w:t>
      </w:r>
    </w:p>
    <w:p>
      <w:pPr>
        <w:spacing w:after="0" w:line="181" w:lineRule="exact"/>
        <w:rPr>
          <w:sz w:val="20"/>
          <w:szCs w:val="20"/>
          <w:color w:val="auto"/>
        </w:rPr>
      </w:pPr>
    </w:p>
    <w:p>
      <w:pPr>
        <w:jc w:val="both"/>
        <w:ind w:left="1400" w:hanging="755"/>
        <w:spacing w:after="0" w:line="312" w:lineRule="auto"/>
        <w:tabs>
          <w:tab w:leader="none" w:pos="138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6"/>
          <w:szCs w:val="16"/>
          <w:color w:val="auto"/>
        </w:rPr>
        <w:t>In order to be considered tantamount to presence at the meeting, including for the matter of the presence of the legal quorum, a voting deed, stating the manner of voting as set forth in the Companies Law, must be delivered to the Company by such date prescribed by the Board of Directors, or, if no such date has been prescribed, up to 72 hours prior to the time of commencement of the meeting.</w:t>
      </w:r>
    </w:p>
    <w:p>
      <w:pPr>
        <w:spacing w:after="0" w:line="143" w:lineRule="exact"/>
        <w:rPr>
          <w:sz w:val="20"/>
          <w:szCs w:val="20"/>
          <w:color w:val="auto"/>
        </w:rPr>
      </w:pPr>
    </w:p>
    <w:p>
      <w:pPr>
        <w:jc w:val="both"/>
        <w:ind w:left="1400" w:hanging="755"/>
        <w:spacing w:after="0" w:line="282" w:lineRule="auto"/>
        <w:tabs>
          <w:tab w:leader="none" w:pos="1380" w:val="left"/>
        </w:tabs>
        <w:rPr>
          <w:sz w:val="20"/>
          <w:szCs w:val="20"/>
          <w:color w:val="auto"/>
        </w:rPr>
      </w:pPr>
      <w:r>
        <w:rPr>
          <w:rFonts w:ascii="Arial" w:cs="Arial" w:eastAsia="Arial" w:hAnsi="Arial"/>
          <w:sz w:val="18"/>
          <w:szCs w:val="18"/>
          <w:color w:val="auto"/>
        </w:rPr>
        <w:t>3.4.8</w:t>
      </w:r>
      <w:r>
        <w:rPr>
          <w:sz w:val="20"/>
          <w:szCs w:val="20"/>
          <w:color w:val="auto"/>
        </w:rPr>
        <w:tab/>
      </w:r>
      <w:r>
        <w:rPr>
          <w:rFonts w:ascii="Arial" w:cs="Arial" w:eastAsia="Arial" w:hAnsi="Arial"/>
          <w:sz w:val="18"/>
          <w:szCs w:val="18"/>
          <w:color w:val="auto"/>
        </w:rPr>
        <w:t>Appointment of a proxy shall be in writing, signed by the appointer (“</w:t>
      </w:r>
      <w:r>
        <w:rPr>
          <w:rFonts w:ascii="Arial" w:cs="Arial" w:eastAsia="Arial" w:hAnsi="Arial"/>
          <w:sz w:val="18"/>
          <w:szCs w:val="18"/>
          <w:b w:val="1"/>
          <w:bCs w:val="1"/>
          <w:color w:val="auto"/>
        </w:rPr>
        <w:t>Power of Attorney</w:t>
      </w:r>
      <w:r>
        <w:rPr>
          <w:rFonts w:ascii="Arial" w:cs="Arial" w:eastAsia="Arial" w:hAnsi="Arial"/>
          <w:sz w:val="18"/>
          <w:szCs w:val="18"/>
          <w:color w:val="auto"/>
        </w:rPr>
        <w:t>”). A corporation shall vote by means of its representatives, who shall be appointed in a document signed properly by the corporation (“</w:t>
      </w:r>
      <w:r>
        <w:rPr>
          <w:rFonts w:ascii="Arial" w:cs="Arial" w:eastAsia="Arial" w:hAnsi="Arial"/>
          <w:sz w:val="18"/>
          <w:szCs w:val="18"/>
          <w:b w:val="1"/>
          <w:bCs w:val="1"/>
          <w:color w:val="auto"/>
        </w:rPr>
        <w:t>Letter of Appointment</w:t>
      </w:r>
      <w:r>
        <w:rPr>
          <w:rFonts w:ascii="Arial" w:cs="Arial" w:eastAsia="Arial" w:hAnsi="Arial"/>
          <w:sz w:val="18"/>
          <w:szCs w:val="18"/>
          <w:color w:val="auto"/>
        </w:rPr>
        <w:t>.”)</w:t>
      </w:r>
    </w:p>
    <w:p>
      <w:pPr>
        <w:spacing w:after="0" w:line="166" w:lineRule="exact"/>
        <w:rPr>
          <w:sz w:val="20"/>
          <w:szCs w:val="20"/>
          <w:color w:val="auto"/>
        </w:rPr>
      </w:pPr>
    </w:p>
    <w:p>
      <w:pPr>
        <w:jc w:val="both"/>
        <w:ind w:left="1400" w:hanging="755"/>
        <w:spacing w:after="0" w:line="302" w:lineRule="auto"/>
        <w:tabs>
          <w:tab w:leader="none" w:pos="1380" w:val="left"/>
        </w:tabs>
        <w:rPr>
          <w:sz w:val="20"/>
          <w:szCs w:val="20"/>
          <w:color w:val="auto"/>
        </w:rPr>
      </w:pPr>
      <w:r>
        <w:rPr>
          <w:rFonts w:ascii="Arial" w:cs="Arial" w:eastAsia="Arial" w:hAnsi="Arial"/>
          <w:sz w:val="18"/>
          <w:szCs w:val="18"/>
          <w:color w:val="auto"/>
        </w:rPr>
        <w:t>3.4.9</w:t>
      </w:r>
      <w:r>
        <w:rPr>
          <w:sz w:val="20"/>
          <w:szCs w:val="20"/>
          <w:color w:val="auto"/>
        </w:rPr>
        <w:tab/>
      </w:r>
      <w:r>
        <w:rPr>
          <w:rFonts w:ascii="Arial" w:cs="Arial" w:eastAsia="Arial" w:hAnsi="Arial"/>
          <w:sz w:val="16"/>
          <w:szCs w:val="16"/>
          <w:color w:val="auto"/>
        </w:rPr>
        <w:t>A vote in accordance with the conditions of a Power of Attorney shall be lawful even if the appointer dies before the voting, or becomes legally incompetent, is liquidated, becomes bankrupt, nullifies the Letter of Appointment, or transfers the share regarding which it was given, unless written notification is received at the Company’s office prior to the meeting that the shareholder has died, become legally incompetent, been liquidated, become bankrupt, or has nullified the Letter of Appointment or transferred the shares as stated.</w:t>
      </w:r>
    </w:p>
    <w:p>
      <w:pPr>
        <w:spacing w:after="0" w:line="154"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3.4.10</w:t>
      </w:r>
      <w:r>
        <w:rPr>
          <w:sz w:val="20"/>
          <w:szCs w:val="20"/>
          <w:color w:val="auto"/>
        </w:rPr>
        <w:tab/>
      </w:r>
      <w:r>
        <w:rPr>
          <w:rFonts w:ascii="Arial" w:cs="Arial" w:eastAsia="Arial" w:hAnsi="Arial"/>
          <w:sz w:val="18"/>
          <w:szCs w:val="18"/>
          <w:color w:val="auto"/>
        </w:rPr>
        <w:t>The Letter of Appointment and the Power of Attorney, or a copy authorized by an attorney, shall be deposited at the Company’s registered offices at least 72 hours prior to the time determined for the meeting or for the Postponed Meeting at which the person mentioned in the document intends to vote in accordance therewith.</w:t>
      </w:r>
    </w:p>
    <w:p>
      <w:pPr>
        <w:spacing w:after="0" w:line="181"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3.4.11</w:t>
      </w:r>
      <w:r>
        <w:rPr>
          <w:sz w:val="20"/>
          <w:szCs w:val="20"/>
          <w:color w:val="auto"/>
        </w:rPr>
        <w:tab/>
      </w:r>
      <w:r>
        <w:rPr>
          <w:rFonts w:ascii="Arial" w:cs="Arial" w:eastAsia="Arial" w:hAnsi="Arial"/>
          <w:sz w:val="18"/>
          <w:szCs w:val="18"/>
          <w:color w:val="auto"/>
        </w:rPr>
        <w:t>A shareholder in the Company shall be entitled to vote at the Company’s meetings by means of several proxies appointed thereby, provided that each proxy shall be appointed on account of different sections of the shares held by the said shareholder. There shall be no impediment to each proxy as stated voting in a different manner in the Company’s meetings.</w:t>
      </w:r>
    </w:p>
    <w:p>
      <w:pPr>
        <w:spacing w:after="0" w:line="181"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3.4.12</w:t>
      </w:r>
      <w:r>
        <w:rPr>
          <w:sz w:val="20"/>
          <w:szCs w:val="20"/>
          <w:color w:val="auto"/>
        </w:rPr>
        <w:tab/>
      </w:r>
      <w:r>
        <w:rPr>
          <w:rFonts w:ascii="Arial" w:cs="Arial" w:eastAsia="Arial" w:hAnsi="Arial"/>
          <w:sz w:val="18"/>
          <w:szCs w:val="18"/>
          <w:color w:val="auto"/>
        </w:rPr>
        <w:t>If a shareholder is legally incompetent, he is entitled to vote by means of his trustees, the recipient of his assets, his natural guardian or other legal guardian, and these are entitled to vote in person or by proxy or a voting deed.</w:t>
      </w:r>
    </w:p>
    <w:p>
      <w:pPr>
        <w:spacing w:after="0" w:line="170"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3.4.13</w:t>
      </w:r>
      <w:r>
        <w:rPr>
          <w:sz w:val="20"/>
          <w:szCs w:val="20"/>
          <w:color w:val="auto"/>
        </w:rPr>
        <w:tab/>
      </w:r>
      <w:r>
        <w:rPr>
          <w:rFonts w:ascii="Arial" w:cs="Arial" w:eastAsia="Arial" w:hAnsi="Arial"/>
          <w:sz w:val="18"/>
          <w:szCs w:val="18"/>
          <w:color w:val="auto"/>
        </w:rPr>
        <w:t>When two or more persons are the joint owners of a share, in a vote on any matter the vote of the person whose name is registered first in the registry of shareholders as the owner of that share shall be accepted, whether in person or by proxy, and he is entitled to deliver voting deeds to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Chapter 4 The Board of Directors</w:t>
      </w:r>
    </w:p>
    <w:p>
      <w:pPr>
        <w:spacing w:after="0" w:line="229"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Authorities of the Board of Directors</w:t>
      </w:r>
    </w:p>
    <w:p>
      <w:pPr>
        <w:spacing w:after="0" w:line="225"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The Board of Directors shall set the Company’s policy, supervise the execution of the functions and actions of the General Manager, and, within this, shall act and shall enjoy all the authorities detailed in section 92 of the Companies Law. In addition, any authority not granted in the Companies Law or in these Articles to another organ may be exercised by the Board of Directors, in addition to the authorities and functions of the Board of Directors in accordance with the content of any law.</w:t>
      </w:r>
    </w:p>
    <w:p>
      <w:pPr>
        <w:spacing w:after="0" w:line="187"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Appointment of Board of Directors and Cessation of Office Thereof</w:t>
      </w:r>
    </w:p>
    <w:p>
      <w:pPr>
        <w:spacing w:after="0" w:line="225" w:lineRule="exact"/>
        <w:rPr>
          <w:sz w:val="20"/>
          <w:szCs w:val="20"/>
          <w:color w:val="auto"/>
        </w:rPr>
      </w:pPr>
    </w:p>
    <w:p>
      <w:pPr>
        <w:jc w:val="both"/>
        <w:ind w:left="1400" w:hanging="755"/>
        <w:spacing w:after="0" w:line="264" w:lineRule="auto"/>
        <w:tabs>
          <w:tab w:leader="none" w:pos="13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number of Directors in the Company shall be determined from time to time by the Annual Meeting, provided that this shall not be fewer than 5 and not more than 11 Directors, including External Directors. The number of External Directors in the Company shall not be less than the number determined in the Companies Law.</w:t>
      </w:r>
    </w:p>
    <w:p>
      <w:pPr>
        <w:spacing w:after="0" w:line="181" w:lineRule="exact"/>
        <w:rPr>
          <w:sz w:val="20"/>
          <w:szCs w:val="20"/>
          <w:color w:val="auto"/>
        </w:rPr>
      </w:pPr>
    </w:p>
    <w:p>
      <w:pPr>
        <w:jc w:val="both"/>
        <w:ind w:left="1400" w:hanging="755"/>
        <w:spacing w:after="0" w:line="259" w:lineRule="auto"/>
        <w:tabs>
          <w:tab w:leader="none" w:pos="13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Other than External Directors (who shall be elected and serve in office in strict accordance with the provisions of the Companies Law), the Directors in the Company shall be elected at an Annual Meeting and shall serve in their office until the next Annual Meeting following one year from their election, or until they cease to serve in their office in accordance with the provisions of the Articles or any law, whichever is the earlier.</w:t>
      </w:r>
    </w:p>
    <w:p>
      <w:pPr>
        <w:spacing w:after="0" w:line="187" w:lineRule="exact"/>
        <w:rPr>
          <w:sz w:val="20"/>
          <w:szCs w:val="20"/>
          <w:color w:val="auto"/>
        </w:rPr>
      </w:pPr>
    </w:p>
    <w:p>
      <w:pPr>
        <w:jc w:val="both"/>
        <w:ind w:left="1400" w:hanging="755"/>
        <w:spacing w:after="0" w:line="257" w:lineRule="auto"/>
        <w:tabs>
          <w:tab w:leader="none" w:pos="13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In addition to the content of Article 4.2.2 above, the Board of Directors is entitled to appoint a Director in place of a Director, other than an External Director, whose position has become vacant, or appoint new additions to the Board of Directors up to the maximum number of Directors set forth in Article 4.2.1 above. The appointment of a Director by the Board of Directors shall remain valid through the next Annual Meeting or until the Director shall cease to serve in their office in accordance with the provisions of these Articles or of any law, whichever is the earlier.</w:t>
      </w:r>
    </w:p>
    <w:p>
      <w:pPr>
        <w:spacing w:after="0" w:line="188"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A Director whose period of office has expired may be reelected; an External Director may be reelected for additional periods of office in strict accordance with the provisions of the Companies Law.</w:t>
      </w:r>
    </w:p>
    <w:p>
      <w:pPr>
        <w:spacing w:after="0" w:line="170"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The office of a Director shall commence on the date of appointment or on a later date if so determined in the decision of appointment.</w:t>
      </w:r>
    </w:p>
    <w:p>
      <w:pPr>
        <w:spacing w:after="0" w:line="225" w:lineRule="exact"/>
        <w:rPr>
          <w:sz w:val="20"/>
          <w:szCs w:val="20"/>
          <w:color w:val="auto"/>
        </w:rPr>
      </w:pPr>
    </w:p>
    <w:p>
      <w:pPr>
        <w:jc w:val="both"/>
        <w:ind w:left="1400" w:hanging="755"/>
        <w:spacing w:after="0" w:line="302" w:lineRule="auto"/>
        <w:tabs>
          <w:tab w:leader="none" w:pos="13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The Board of Directors shall elect one of its members as the chairperson of the Board of Directors. The elected chairperson shall run the meetings of the Board of Directors and shall sign the minutes of the discussion. If no chairperson is elected, or if the chairperson of the Board of Directors is not present after 15 minutes from the time set for the meeting, the Directors present shall choose one of their number to serve as the chairperson at that meeting, and the chosen member shall run the meeting and sign the minutes of the discussion.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71" w:name="page172"/>
    <w:bookmarkEnd w:id="171"/>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The chairperson of the Board of Directors shall not be the General Manager of the Company or a relative thereof unless the conditions stipulated in section 121(C) of the Companies Law apply.</w:t>
      </w:r>
    </w:p>
    <w:p>
      <w:pPr>
        <w:spacing w:after="0" w:line="170" w:lineRule="exact"/>
        <w:rPr>
          <w:sz w:val="20"/>
          <w:szCs w:val="20"/>
          <w:color w:val="auto"/>
        </w:rPr>
      </w:pPr>
    </w:p>
    <w:p>
      <w:pPr>
        <w:jc w:val="both"/>
        <w:ind w:left="1400" w:hanging="755"/>
        <w:spacing w:after="0" w:line="259" w:lineRule="auto"/>
        <w:tabs>
          <w:tab w:leader="none" w:pos="138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The General Meeting is entitled to transfer any Director (other than an External Director) from their office prior to the end of the period of their office, whether the Director was appointed thereby in accordance with Article 4.2.2 above or was appointed by the Board of Directors in accordance with Article 4.2.3 above, provided that the Director shall be given a reasonable opportunity to state their case before the General Meeting.</w:t>
      </w:r>
    </w:p>
    <w:p>
      <w:pPr>
        <w:spacing w:after="0" w:line="187" w:lineRule="exact"/>
        <w:rPr>
          <w:sz w:val="20"/>
          <w:szCs w:val="20"/>
          <w:color w:val="auto"/>
        </w:rPr>
      </w:pPr>
    </w:p>
    <w:p>
      <w:pPr>
        <w:jc w:val="both"/>
        <w:ind w:left="1400" w:hanging="755"/>
        <w:spacing w:after="0" w:line="257" w:lineRule="auto"/>
        <w:tabs>
          <w:tab w:leader="none" w:pos="138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Any Director is entitled, with the agreement of the Board of Directors and subject to the provisions of the Companies Law, to appoint a substitute for themselves (a “</w:t>
      </w:r>
      <w:r>
        <w:rPr>
          <w:rFonts w:ascii="Arial" w:cs="Arial" w:eastAsia="Arial" w:hAnsi="Arial"/>
          <w:sz w:val="18"/>
          <w:szCs w:val="18"/>
          <w:b w:val="1"/>
          <w:bCs w:val="1"/>
          <w:color w:val="auto"/>
        </w:rPr>
        <w:t>Substitute Director</w:t>
      </w:r>
      <w:r>
        <w:rPr>
          <w:rFonts w:ascii="Arial" w:cs="Arial" w:eastAsia="Arial" w:hAnsi="Arial"/>
          <w:sz w:val="18"/>
          <w:szCs w:val="18"/>
          <w:color w:val="auto"/>
        </w:rPr>
        <w:t>”), provided that a person who is not competent shall not be appointed to serve as a Substitute Director, nor a person who has been appointed as a Substitute Director for another Director and/or a person who is already serving as a Director in the Company, and further provided that a Substitute Director must posses the same qualifications as required of the appointing Director.</w:t>
      </w:r>
    </w:p>
    <w:p>
      <w:pPr>
        <w:spacing w:after="0" w:line="188" w:lineRule="exact"/>
        <w:rPr>
          <w:sz w:val="20"/>
          <w:szCs w:val="20"/>
          <w:color w:val="auto"/>
        </w:rPr>
      </w:pPr>
    </w:p>
    <w:p>
      <w:pPr>
        <w:jc w:val="both"/>
        <w:ind w:left="1420"/>
        <w:spacing w:after="0" w:line="259" w:lineRule="auto"/>
        <w:rPr>
          <w:sz w:val="20"/>
          <w:szCs w:val="20"/>
          <w:color w:val="auto"/>
        </w:rPr>
      </w:pPr>
      <w:r>
        <w:rPr>
          <w:rFonts w:ascii="Arial" w:cs="Arial" w:eastAsia="Arial" w:hAnsi="Arial"/>
          <w:sz w:val="18"/>
          <w:szCs w:val="18"/>
          <w:color w:val="auto"/>
        </w:rPr>
        <w:t>The appointment or cessation of office of a Substitute Director shall be made in a written document signed by the Director who appointed him; in any case, however, the office of a Substitute Director shall be terminated if one of the cases stipulated in the paragraphs in Article 4.2.10 below shall apply, or if the office of the member of the Board of Directors for whom he serves as a substitute shall become vacant for any reason.</w:t>
      </w:r>
    </w:p>
    <w:p>
      <w:pPr>
        <w:spacing w:after="0" w:line="187" w:lineRule="exact"/>
        <w:rPr>
          <w:sz w:val="20"/>
          <w:szCs w:val="20"/>
          <w:color w:val="auto"/>
        </w:rPr>
      </w:pPr>
    </w:p>
    <w:p>
      <w:pPr>
        <w:jc w:val="both"/>
        <w:ind w:left="1420"/>
        <w:spacing w:after="0" w:line="308" w:lineRule="auto"/>
        <w:rPr>
          <w:sz w:val="20"/>
          <w:szCs w:val="20"/>
          <w:color w:val="auto"/>
        </w:rPr>
      </w:pPr>
      <w:r>
        <w:rPr>
          <w:rFonts w:ascii="Arial" w:cs="Arial" w:eastAsia="Arial" w:hAnsi="Arial"/>
          <w:sz w:val="17"/>
          <w:szCs w:val="17"/>
          <w:color w:val="auto"/>
        </w:rPr>
        <w:t>A Substitute Director is considered tantamount to a Director and all the legal provisions and the provisions of these Articles shall apply, with the exception of the provisions regarding the appointment and/or dismissal of a Director as established in these Articles.</w:t>
      </w:r>
    </w:p>
    <w:p>
      <w:pPr>
        <w:spacing w:after="0" w:line="147"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4.2.10</w:t>
      </w:r>
      <w:r>
        <w:rPr>
          <w:sz w:val="20"/>
          <w:szCs w:val="20"/>
          <w:color w:val="auto"/>
        </w:rPr>
        <w:tab/>
      </w:r>
      <w:r>
        <w:rPr>
          <w:rFonts w:ascii="Arial" w:cs="Arial" w:eastAsia="Arial" w:hAnsi="Arial"/>
          <w:sz w:val="16"/>
          <w:szCs w:val="16"/>
          <w:color w:val="auto"/>
        </w:rPr>
        <w:t>The office of a Director shall become vacant in any of the following cases: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72" w:name="page173"/>
    <w:bookmarkEnd w:id="172"/>
    <w:p>
      <w:pPr>
        <w:ind w:left="2300" w:right="20" w:hanging="890"/>
        <w:spacing w:after="0" w:line="277" w:lineRule="auto"/>
        <w:tabs>
          <w:tab w:leader="none" w:pos="2280" w:val="left"/>
        </w:tabs>
        <w:rPr>
          <w:sz w:val="20"/>
          <w:szCs w:val="20"/>
          <w:color w:val="auto"/>
        </w:rPr>
      </w:pPr>
      <w:r>
        <w:rPr>
          <w:rFonts w:ascii="Arial" w:cs="Arial" w:eastAsia="Arial" w:hAnsi="Arial"/>
          <w:sz w:val="18"/>
          <w:szCs w:val="18"/>
          <w:color w:val="auto"/>
        </w:rPr>
        <w:t>4.2.10.1</w:t>
      </w:r>
      <w:r>
        <w:rPr>
          <w:sz w:val="20"/>
          <w:szCs w:val="20"/>
          <w:color w:val="auto"/>
        </w:rPr>
        <w:tab/>
      </w:r>
      <w:r>
        <w:rPr>
          <w:rFonts w:ascii="Arial" w:cs="Arial" w:eastAsia="Arial" w:hAnsi="Arial"/>
          <w:sz w:val="18"/>
          <w:szCs w:val="18"/>
          <w:color w:val="auto"/>
        </w:rPr>
        <w:t>He resigns from his office by means of a letter signed in his hand, submitted to the Company and detailing the reasons for his resignation;</w:t>
      </w:r>
    </w:p>
    <w:p>
      <w:pPr>
        <w:spacing w:after="0" w:line="170"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4.2.10.2</w:t>
      </w:r>
      <w:r>
        <w:rPr>
          <w:sz w:val="20"/>
          <w:szCs w:val="20"/>
          <w:color w:val="auto"/>
        </w:rPr>
        <w:tab/>
      </w:r>
      <w:r>
        <w:rPr>
          <w:rFonts w:ascii="Arial" w:cs="Arial" w:eastAsia="Arial" w:hAnsi="Arial"/>
          <w:sz w:val="16"/>
          <w:szCs w:val="16"/>
          <w:color w:val="auto"/>
        </w:rPr>
        <w:t>He is removed from his office by the General Meeting;</w:t>
      </w:r>
    </w:p>
    <w:p>
      <w:pPr>
        <w:spacing w:after="0" w:line="225"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4.2.10.3</w:t>
      </w:r>
      <w:r>
        <w:rPr>
          <w:sz w:val="20"/>
          <w:szCs w:val="20"/>
          <w:color w:val="auto"/>
        </w:rPr>
        <w:tab/>
      </w:r>
      <w:r>
        <w:rPr>
          <w:rFonts w:ascii="Arial" w:cs="Arial" w:eastAsia="Arial" w:hAnsi="Arial"/>
          <w:sz w:val="16"/>
          <w:szCs w:val="16"/>
          <w:color w:val="auto"/>
        </w:rPr>
        <w:t>He is convicted of an offense as stated in section 232 of the Companies Law;</w:t>
      </w:r>
    </w:p>
    <w:p>
      <w:pPr>
        <w:spacing w:after="0" w:line="225" w:lineRule="exact"/>
        <w:rPr>
          <w:sz w:val="20"/>
          <w:szCs w:val="20"/>
          <w:color w:val="auto"/>
        </w:rPr>
      </w:pPr>
    </w:p>
    <w:p>
      <w:pPr>
        <w:ind w:left="2300" w:right="20" w:hanging="890"/>
        <w:spacing w:after="0" w:line="277" w:lineRule="auto"/>
        <w:tabs>
          <w:tab w:leader="none" w:pos="2280" w:val="left"/>
        </w:tabs>
        <w:rPr>
          <w:sz w:val="20"/>
          <w:szCs w:val="20"/>
          <w:color w:val="auto"/>
        </w:rPr>
      </w:pPr>
      <w:r>
        <w:rPr>
          <w:rFonts w:ascii="Arial" w:cs="Arial" w:eastAsia="Arial" w:hAnsi="Arial"/>
          <w:sz w:val="18"/>
          <w:szCs w:val="18"/>
          <w:color w:val="auto"/>
        </w:rPr>
        <w:t>4.2.10.4</w:t>
      </w:r>
      <w:r>
        <w:rPr>
          <w:sz w:val="20"/>
          <w:szCs w:val="20"/>
          <w:color w:val="auto"/>
        </w:rPr>
        <w:tab/>
      </w:r>
      <w:r>
        <w:rPr>
          <w:rFonts w:ascii="Arial" w:cs="Arial" w:eastAsia="Arial" w:hAnsi="Arial"/>
          <w:sz w:val="18"/>
          <w:szCs w:val="18"/>
          <w:color w:val="auto"/>
        </w:rPr>
        <w:t>In accordance with the decision of the administrative enforcement committee, as stated in section 232A of the Companies Law;</w:t>
      </w:r>
    </w:p>
    <w:p>
      <w:pPr>
        <w:spacing w:after="0" w:line="170"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4.2.10.5</w:t>
      </w:r>
      <w:r>
        <w:rPr>
          <w:sz w:val="20"/>
          <w:szCs w:val="20"/>
          <w:color w:val="auto"/>
        </w:rPr>
        <w:tab/>
      </w:r>
      <w:r>
        <w:rPr>
          <w:rFonts w:ascii="Arial" w:cs="Arial" w:eastAsia="Arial" w:hAnsi="Arial"/>
          <w:sz w:val="16"/>
          <w:szCs w:val="16"/>
          <w:color w:val="auto"/>
        </w:rPr>
        <w:t>In accordance with a court decision as stated in section 233 of the Companies Law;</w:t>
      </w:r>
    </w:p>
    <w:p>
      <w:pPr>
        <w:spacing w:after="0" w:line="225"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4.2.10.6</w:t>
      </w:r>
      <w:r>
        <w:rPr>
          <w:sz w:val="20"/>
          <w:szCs w:val="20"/>
          <w:color w:val="auto"/>
        </w:rPr>
        <w:tab/>
      </w:r>
      <w:r>
        <w:rPr>
          <w:rFonts w:ascii="Arial" w:cs="Arial" w:eastAsia="Arial" w:hAnsi="Arial"/>
          <w:sz w:val="16"/>
          <w:szCs w:val="16"/>
          <w:color w:val="auto"/>
        </w:rPr>
        <w:t>He is declared legally incompetent;</w:t>
      </w:r>
    </w:p>
    <w:p>
      <w:pPr>
        <w:spacing w:after="0" w:line="225" w:lineRule="exact"/>
        <w:rPr>
          <w:sz w:val="20"/>
          <w:szCs w:val="20"/>
          <w:color w:val="auto"/>
        </w:rPr>
      </w:pPr>
    </w:p>
    <w:p>
      <w:pPr>
        <w:ind w:left="2300" w:right="20" w:hanging="890"/>
        <w:spacing w:after="0" w:line="277" w:lineRule="auto"/>
        <w:tabs>
          <w:tab w:leader="none" w:pos="2280" w:val="left"/>
        </w:tabs>
        <w:rPr>
          <w:sz w:val="20"/>
          <w:szCs w:val="20"/>
          <w:color w:val="auto"/>
        </w:rPr>
      </w:pPr>
      <w:r>
        <w:rPr>
          <w:rFonts w:ascii="Arial" w:cs="Arial" w:eastAsia="Arial" w:hAnsi="Arial"/>
          <w:sz w:val="18"/>
          <w:szCs w:val="18"/>
          <w:color w:val="auto"/>
        </w:rPr>
        <w:t>4.2.10.7</w:t>
      </w:r>
      <w:r>
        <w:rPr>
          <w:sz w:val="20"/>
          <w:szCs w:val="20"/>
          <w:color w:val="auto"/>
        </w:rPr>
        <w:tab/>
      </w:r>
      <w:r>
        <w:rPr>
          <w:rFonts w:ascii="Arial" w:cs="Arial" w:eastAsia="Arial" w:hAnsi="Arial"/>
          <w:sz w:val="18"/>
          <w:szCs w:val="18"/>
          <w:color w:val="auto"/>
        </w:rPr>
        <w:t>He is declared bankrupt and, if the Director is a corporation – it opted for voluntary liquidation or a liquidation order was issued against it.</w:t>
      </w:r>
    </w:p>
    <w:p>
      <w:pPr>
        <w:spacing w:after="0" w:line="170" w:lineRule="exact"/>
        <w:rPr>
          <w:sz w:val="20"/>
          <w:szCs w:val="20"/>
          <w:color w:val="auto"/>
        </w:rPr>
      </w:pPr>
    </w:p>
    <w:p>
      <w:pPr>
        <w:jc w:val="both"/>
        <w:ind w:left="1400" w:hanging="755"/>
        <w:spacing w:after="0" w:line="255" w:lineRule="auto"/>
        <w:tabs>
          <w:tab w:leader="none" w:pos="1380" w:val="left"/>
        </w:tabs>
        <w:rPr>
          <w:sz w:val="20"/>
          <w:szCs w:val="20"/>
          <w:color w:val="auto"/>
        </w:rPr>
      </w:pPr>
      <w:r>
        <w:rPr>
          <w:rFonts w:ascii="Arial" w:cs="Arial" w:eastAsia="Arial" w:hAnsi="Arial"/>
          <w:sz w:val="18"/>
          <w:szCs w:val="18"/>
          <w:color w:val="auto"/>
        </w:rPr>
        <w:t>4.2.11</w:t>
      </w:r>
      <w:r>
        <w:rPr>
          <w:sz w:val="20"/>
          <w:szCs w:val="20"/>
          <w:color w:val="auto"/>
        </w:rPr>
        <w:tab/>
      </w:r>
      <w:r>
        <w:rPr>
          <w:rFonts w:ascii="Arial" w:cs="Arial" w:eastAsia="Arial" w:hAnsi="Arial"/>
          <w:sz w:val="18"/>
          <w:szCs w:val="18"/>
          <w:color w:val="auto"/>
        </w:rPr>
        <w:t>In the event that the position of a Director becomes vacant, the remaining Directors shall be entitled to continue to act, provided the number of Directors remaining shall not be less than the minimum number of Directors as stated above. If the number of Directors falls below the above-mentioned minimum number, the remaining Directors shall be entitled to act solely in order to fill the place of the Director that has become vacant as stated in Article 4.2.3 above, or in order to convene a General Meeting of the Company, and pending the convening of the General Meeting of the Company as stated they may act to manage the Company’s affairs solely in matters that cannot be delayed.</w:t>
      </w:r>
    </w:p>
    <w:p>
      <w:pPr>
        <w:spacing w:after="0" w:line="193"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4.2.12</w:t>
      </w:r>
      <w:r>
        <w:rPr>
          <w:sz w:val="20"/>
          <w:szCs w:val="20"/>
          <w:color w:val="auto"/>
        </w:rPr>
        <w:tab/>
      </w:r>
      <w:r>
        <w:rPr>
          <w:rFonts w:ascii="Arial" w:cs="Arial" w:eastAsia="Arial" w:hAnsi="Arial"/>
          <w:sz w:val="18"/>
          <w:szCs w:val="18"/>
          <w:color w:val="auto"/>
        </w:rPr>
        <w:t>The conditions of office of the members of the Board of Directors shall be authorized in accordance with the provisions of the Companies Law.</w:t>
      </w:r>
    </w:p>
    <w:p>
      <w:pPr>
        <w:spacing w:after="0" w:line="170" w:lineRule="exact"/>
        <w:rPr>
          <w:sz w:val="20"/>
          <w:szCs w:val="20"/>
          <w:color w:val="auto"/>
        </w:rPr>
      </w:pPr>
    </w:p>
    <w:p>
      <w:pPr>
        <w:ind w:left="220"/>
        <w:spacing w:after="0"/>
        <w:tabs>
          <w:tab w:leader="none" w:pos="8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Meetings of the Board of Directors</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The Board of Directors shall convene for a meeting in accordance with the needs of the Company, and at least once every three months.</w:t>
      </w:r>
    </w:p>
    <w:p>
      <w:pPr>
        <w:spacing w:after="0" w:line="225"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chairperson of the Board of Directors is entitled to convene the Board at any time. In addition, the Board of Directors shall hold a meeting on such subject as shall be specified in the following cases:</w:t>
      </w:r>
    </w:p>
    <w:p>
      <w:pPr>
        <w:spacing w:after="0" w:line="170"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4.3.2.1</w:t>
      </w:r>
      <w:r>
        <w:rPr>
          <w:sz w:val="20"/>
          <w:szCs w:val="20"/>
          <w:color w:val="auto"/>
        </w:rPr>
        <w:tab/>
      </w:r>
      <w:r>
        <w:rPr>
          <w:rFonts w:ascii="Arial" w:cs="Arial" w:eastAsia="Arial" w:hAnsi="Arial"/>
          <w:sz w:val="16"/>
          <w:szCs w:val="16"/>
          <w:color w:val="auto"/>
        </w:rPr>
        <w:t>In accordance with the request of two Directors; however, if at the time the Board of Directors comprises five Directors or less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 in accordance with the request of one Director;</w:t>
      </w:r>
    </w:p>
    <w:p>
      <w:pPr>
        <w:spacing w:after="0" w:line="211" w:lineRule="exact"/>
        <w:rPr>
          <w:sz w:val="20"/>
          <w:szCs w:val="20"/>
          <w:color w:val="auto"/>
        </w:rPr>
      </w:pPr>
    </w:p>
    <w:p>
      <w:pPr>
        <w:ind w:left="2300" w:hanging="890"/>
        <w:spacing w:after="0" w:line="308" w:lineRule="auto"/>
        <w:tabs>
          <w:tab w:leader="none" w:pos="2280" w:val="left"/>
        </w:tabs>
        <w:rPr>
          <w:sz w:val="20"/>
          <w:szCs w:val="20"/>
          <w:color w:val="auto"/>
        </w:rPr>
      </w:pPr>
      <w:r>
        <w:rPr>
          <w:rFonts w:ascii="Arial" w:cs="Arial" w:eastAsia="Arial" w:hAnsi="Arial"/>
          <w:sz w:val="18"/>
          <w:szCs w:val="18"/>
          <w:color w:val="auto"/>
        </w:rPr>
        <w:t>4.3.2.2</w:t>
      </w:r>
      <w:r>
        <w:rPr>
          <w:sz w:val="20"/>
          <w:szCs w:val="20"/>
          <w:color w:val="auto"/>
        </w:rPr>
        <w:tab/>
      </w:r>
      <w:r>
        <w:rPr>
          <w:rFonts w:ascii="Arial" w:cs="Arial" w:eastAsia="Arial" w:hAnsi="Arial"/>
          <w:sz w:val="17"/>
          <w:szCs w:val="17"/>
          <w:color w:val="auto"/>
        </w:rPr>
        <w:t>In accordance with the request of one Director if, in his request to convene the Board, he states that he has learned of a matter in the Company ostensibly entailing a violation of the law or infringement of proper business practice;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73" w:name="page174"/>
    <w:bookmarkEnd w:id="173"/>
    <w:p>
      <w:pPr>
        <w:ind w:left="1400"/>
        <w:spacing w:after="0"/>
        <w:tabs>
          <w:tab w:leader="none" w:pos="2280" w:val="left"/>
        </w:tabs>
        <w:rPr>
          <w:sz w:val="20"/>
          <w:szCs w:val="20"/>
          <w:color w:val="auto"/>
        </w:rPr>
      </w:pPr>
      <w:r>
        <w:rPr>
          <w:rFonts w:ascii="Arial" w:cs="Arial" w:eastAsia="Arial" w:hAnsi="Arial"/>
          <w:sz w:val="18"/>
          <w:szCs w:val="18"/>
          <w:color w:val="auto"/>
        </w:rPr>
        <w:t>4.3.2.3</w:t>
      </w:r>
      <w:r>
        <w:rPr>
          <w:sz w:val="20"/>
          <w:szCs w:val="20"/>
          <w:color w:val="auto"/>
        </w:rPr>
        <w:tab/>
      </w:r>
      <w:r>
        <w:rPr>
          <w:rFonts w:ascii="Arial" w:cs="Arial" w:eastAsia="Arial" w:hAnsi="Arial"/>
          <w:sz w:val="16"/>
          <w:szCs w:val="16"/>
          <w:color w:val="auto"/>
        </w:rPr>
        <w:t>If a notification or report by the General Manager require an action on the part of the Board of Directors;</w:t>
      </w:r>
    </w:p>
    <w:p>
      <w:pPr>
        <w:spacing w:after="0" w:line="225" w:lineRule="exact"/>
        <w:rPr>
          <w:sz w:val="20"/>
          <w:szCs w:val="20"/>
          <w:color w:val="auto"/>
        </w:rPr>
      </w:pPr>
    </w:p>
    <w:p>
      <w:pPr>
        <w:jc w:val="both"/>
        <w:ind w:left="2300" w:hanging="890"/>
        <w:spacing w:after="0" w:line="264" w:lineRule="auto"/>
        <w:tabs>
          <w:tab w:leader="none" w:pos="2280" w:val="left"/>
        </w:tabs>
        <w:rPr>
          <w:sz w:val="20"/>
          <w:szCs w:val="20"/>
          <w:color w:val="auto"/>
        </w:rPr>
      </w:pPr>
      <w:r>
        <w:rPr>
          <w:rFonts w:ascii="Arial" w:cs="Arial" w:eastAsia="Arial" w:hAnsi="Arial"/>
          <w:sz w:val="18"/>
          <w:szCs w:val="18"/>
          <w:color w:val="auto"/>
        </w:rPr>
        <w:t>4.3.2.4</w:t>
      </w:r>
      <w:r>
        <w:rPr>
          <w:sz w:val="20"/>
          <w:szCs w:val="20"/>
          <w:color w:val="auto"/>
        </w:rPr>
        <w:tab/>
      </w:r>
      <w:r>
        <w:rPr>
          <w:rFonts w:ascii="Arial" w:cs="Arial" w:eastAsia="Arial" w:hAnsi="Arial"/>
          <w:sz w:val="18"/>
          <w:szCs w:val="18"/>
          <w:color w:val="auto"/>
        </w:rPr>
        <w:t>If the auditing accountant has informed the chairperson of the Board of Directors – or, in the event that no chairperson was appointed for the Board of Directors, has informed the Board of Directors – of substantial defects in the accounting control of the Company.</w:t>
      </w:r>
    </w:p>
    <w:p>
      <w:pPr>
        <w:spacing w:after="0" w:line="181" w:lineRule="exact"/>
        <w:rPr>
          <w:sz w:val="20"/>
          <w:szCs w:val="20"/>
          <w:color w:val="auto"/>
        </w:rPr>
      </w:pPr>
    </w:p>
    <w:p>
      <w:pPr>
        <w:jc w:val="both"/>
        <w:ind w:left="1400" w:hanging="755"/>
        <w:spacing w:after="0" w:line="259" w:lineRule="auto"/>
        <w:tabs>
          <w:tab w:leader="none" w:pos="13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Notification of the meeting of the Board of Directors shall be delivered to all members of the Board a reasonable period of time (taking into account the circumstances and urgency of the matter) prior to the date of convening of the Board. Notification shall be delivered to the address of the Director as forwarded to the Company in advance, and shall stipulate the time of the meeting and the venue at which it shall convene, as well as reasonable detail of all subjects on the agenda.</w:t>
      </w:r>
    </w:p>
    <w:p>
      <w:pPr>
        <w:spacing w:after="0" w:line="187" w:lineRule="exact"/>
        <w:rPr>
          <w:sz w:val="20"/>
          <w:szCs w:val="20"/>
          <w:color w:val="auto"/>
        </w:rPr>
      </w:pPr>
    </w:p>
    <w:p>
      <w:pPr>
        <w:ind w:left="1420"/>
        <w:spacing w:after="0" w:line="277" w:lineRule="auto"/>
        <w:rPr>
          <w:sz w:val="20"/>
          <w:szCs w:val="20"/>
          <w:color w:val="auto"/>
        </w:rPr>
      </w:pPr>
      <w:r>
        <w:rPr>
          <w:rFonts w:ascii="Arial" w:cs="Arial" w:eastAsia="Arial" w:hAnsi="Arial"/>
          <w:sz w:val="18"/>
          <w:szCs w:val="18"/>
          <w:color w:val="auto"/>
        </w:rPr>
        <w:t>Notwithstanding the above, the Board of Directors is entitled to convene a meeting without notification, in urgent matters, with the consent of the majority of the Directors.</w:t>
      </w:r>
    </w:p>
    <w:p>
      <w:pPr>
        <w:spacing w:after="0" w:line="170" w:lineRule="exact"/>
        <w:rPr>
          <w:sz w:val="20"/>
          <w:szCs w:val="20"/>
          <w:color w:val="auto"/>
        </w:rPr>
      </w:pPr>
    </w:p>
    <w:p>
      <w:pPr>
        <w:jc w:val="both"/>
        <w:ind w:left="1400" w:hanging="755"/>
        <w:spacing w:after="0" w:line="302" w:lineRule="auto"/>
        <w:tabs>
          <w:tab w:leader="none" w:pos="138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The agenda of the meetings of the Board of Directors shall be determined by the chairperson of the Board, or if no chairperson has been appointed the Directors convening the meeting, and shall include: Subjects determined by the chairperson of the Board; subjects deriving from the report of the General Manager and/or the auditing accountant; or any subject a Director or the General Manager have requested to be included on the agenda a reasonable period of time prior to the convening of the meeting of the Board.</w:t>
      </w:r>
    </w:p>
    <w:p>
      <w:pPr>
        <w:spacing w:after="0" w:line="154" w:lineRule="exact"/>
        <w:rPr>
          <w:sz w:val="20"/>
          <w:szCs w:val="20"/>
          <w:color w:val="auto"/>
        </w:rPr>
      </w:pPr>
    </w:p>
    <w:p>
      <w:pPr>
        <w:jc w:val="both"/>
        <w:ind w:left="1400" w:hanging="755"/>
        <w:spacing w:after="0" w:line="257" w:lineRule="auto"/>
        <w:tabs>
          <w:tab w:leader="none" w:pos="138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8"/>
          <w:szCs w:val="18"/>
          <w:color w:val="auto"/>
        </w:rPr>
        <w:t>The legal quorum for the commencement of a meeting of the Board of Directors shall be a majority of the members of the Board of Directors. If, within half an hour from the time set for the commencement of the meeting, no quorum is present, the meeting shall be postponed to another date as decided by the chairperson of the Board, or, in his absence, by the Directors present at the convened meeting, provided that reasonable prior notification be given to all Directors regarding the date of the Postponed Meeting. The legal quorum for the opening of a Postponed Meeting shall be any two Directors.</w:t>
      </w:r>
    </w:p>
    <w:p>
      <w:pPr>
        <w:spacing w:after="0" w:line="188" w:lineRule="exact"/>
        <w:rPr>
          <w:sz w:val="20"/>
          <w:szCs w:val="20"/>
          <w:color w:val="auto"/>
        </w:rPr>
      </w:pPr>
    </w:p>
    <w:p>
      <w:pPr>
        <w:jc w:val="both"/>
        <w:ind w:left="1400" w:right="20" w:hanging="755"/>
        <w:spacing w:after="0" w:line="277" w:lineRule="auto"/>
        <w:tabs>
          <w:tab w:leader="none" w:pos="138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8"/>
          <w:szCs w:val="18"/>
          <w:color w:val="auto"/>
        </w:rPr>
        <w:t>The Board of Directors is entitled to hold meetings by use of any means of communication, providing that all the participating Directors can hear each other simultaneously.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74" w:name="page175"/>
    <w:bookmarkEnd w:id="174"/>
    <w:p>
      <w:pPr>
        <w:jc w:val="both"/>
        <w:ind w:left="1400" w:hanging="755"/>
        <w:spacing w:after="0" w:line="279" w:lineRule="auto"/>
        <w:tabs>
          <w:tab w:leader="none" w:pos="138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7"/>
          <w:szCs w:val="17"/>
          <w:color w:val="auto"/>
        </w:rPr>
        <w:t>The Board of Directors is entitled to take decisions without actually convening, provided that all the Directors entitled to participate in the discussion and to vote on the subject brought for decision agree thereto. If decisions are made as stated in this section, the chairperson of the Board of Directors shall record minutes of the decisions stating the manner of voting of each Director on the subjects brought for decision, as well as the fact that all the Directors agreed to take the decision without convening.</w:t>
      </w:r>
    </w:p>
    <w:p>
      <w:pPr>
        <w:spacing w:after="0" w:line="17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Voting on the Board of Directors</w:t>
      </w:r>
    </w:p>
    <w:p>
      <w:pPr>
        <w:spacing w:after="0" w:line="22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Each Director shall have one vote when voting on the Board of Directors.</w:t>
      </w:r>
    </w:p>
    <w:p>
      <w:pPr>
        <w:spacing w:after="0" w:line="225" w:lineRule="exact"/>
        <w:rPr>
          <w:sz w:val="20"/>
          <w:szCs w:val="20"/>
          <w:color w:val="auto"/>
        </w:rPr>
      </w:pPr>
    </w:p>
    <w:p>
      <w:pPr>
        <w:jc w:val="both"/>
        <w:ind w:left="1400" w:hanging="755"/>
        <w:spacing w:after="0" w:line="277" w:lineRule="auto"/>
        <w:tabs>
          <w:tab w:leader="none" w:pos="13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Decisions of the Board of Directors shall be taken by a majority vote. The chairperson of the Board of Directors shall not have any additional or casting opinion, and in the event of a tie vote, the decision brought for voting shall be rejected.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5 Committees of the Board of Directors</w:t>
      </w:r>
    </w:p>
    <w:p>
      <w:pPr>
        <w:spacing w:after="0" w:line="225" w:lineRule="exact"/>
        <w:rPr>
          <w:sz w:val="20"/>
          <w:szCs w:val="20"/>
          <w:color w:val="auto"/>
        </w:rPr>
      </w:pPr>
    </w:p>
    <w:p>
      <w:pPr>
        <w:jc w:val="both"/>
        <w:ind w:left="700" w:hanging="634"/>
        <w:spacing w:after="0" w:line="256" w:lineRule="auto"/>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Board of Directors is entitled to establish committees and to appoint members thereto (“</w:t>
      </w:r>
      <w:r>
        <w:rPr>
          <w:rFonts w:ascii="Arial" w:cs="Arial" w:eastAsia="Arial" w:hAnsi="Arial"/>
          <w:sz w:val="18"/>
          <w:szCs w:val="18"/>
          <w:b w:val="1"/>
          <w:bCs w:val="1"/>
          <w:color w:val="auto"/>
        </w:rPr>
        <w:t>Board’ Committee</w:t>
      </w:r>
      <w:r>
        <w:rPr>
          <w:rFonts w:ascii="Arial" w:cs="Arial" w:eastAsia="Arial" w:hAnsi="Arial"/>
          <w:sz w:val="18"/>
          <w:szCs w:val="18"/>
          <w:color w:val="auto"/>
        </w:rPr>
        <w:t>”). If Board’ Committees are established, the Board of Directors shall determine, in the conditions of empowerment thereof, whether specific authorities of the Board of Directors shall be delegated to the Board’ Committees, in such manner that the decision of the Board’ Committee shall be considered tantamount to a decision of the Board of Directors, or whether the decision of the Board’ Committee shall merely constitute a recommendation, subject to the authorization of the Board of Directors; provided that authorities to make decisions in the matters stated in Article 112 of the Companies Law shall not be delegated to a committee.</w:t>
      </w:r>
    </w:p>
    <w:p>
      <w:pPr>
        <w:spacing w:after="0" w:line="192" w:lineRule="exact"/>
        <w:rPr>
          <w:sz w:val="20"/>
          <w:szCs w:val="20"/>
          <w:color w:val="auto"/>
        </w:rPr>
      </w:pPr>
    </w:p>
    <w:p>
      <w:pPr>
        <w:jc w:val="both"/>
        <w:ind w:left="700" w:hanging="634"/>
        <w:spacing w:after="0" w:line="264" w:lineRule="auto"/>
        <w:tabs>
          <w:tab w:leader="none" w:pos="6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 person who is not a Director shall not serve in a Board’ Committee to which the Board of Directors has delegated authorities. Persons who are not members of the Board of Directors may serve in a Board’ Committee whose function is merely to advise or submit recommendations to the Board of Directors.</w:t>
      </w:r>
    </w:p>
    <w:p>
      <w:pPr>
        <w:spacing w:after="0" w:line="181"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 xml:space="preserve">The provisions included in these Articles relating to the meetings of the Board of Directors and voting therein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subject to the decisions of the Board of Directors regarding the procedures for the meetings (if any) of any Board’ Committee comprising two or more members.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 General Manager</w:t>
      </w:r>
    </w:p>
    <w:p>
      <w:pPr>
        <w:spacing w:after="0" w:line="229" w:lineRule="exact"/>
        <w:rPr>
          <w:sz w:val="20"/>
          <w:szCs w:val="20"/>
          <w:color w:val="auto"/>
        </w:rPr>
      </w:pPr>
    </w:p>
    <w:p>
      <w:pPr>
        <w:jc w:val="both"/>
        <w:ind w:left="640" w:hanging="634"/>
        <w:spacing w:after="0" w:line="308"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Board of Directors of the Company shall appoint one or more General Managers. The General Manager shall be responsible for the routine management of the Company’s affairs within the framework of the policy set by the Board of Directors and subject to its guidelines.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Chapter 7 Exemption, Insurance, and Indemnification</w:t>
      </w:r>
    </w:p>
    <w:p>
      <w:pPr>
        <w:spacing w:after="0" w:line="229" w:lineRule="exact"/>
        <w:rPr>
          <w:sz w:val="20"/>
          <w:szCs w:val="20"/>
          <w:color w:val="auto"/>
        </w:rPr>
      </w:pPr>
    </w:p>
    <w:p>
      <w:pPr>
        <w:ind w:left="680"/>
        <w:spacing w:after="0"/>
        <w:tabs>
          <w:tab w:leader="none" w:pos="13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Exemption</w:t>
      </w:r>
    </w:p>
    <w:p>
      <w:pPr>
        <w:spacing w:after="0" w:line="225"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Subject to the provisions of the Companies Law and the Securities Law, the Company hereby releases, in advance, its Office Holders from liability to the Company for damage that arises from the breach of the Office Holder’s duty of care to the Company.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u w:val="single" w:color="auto"/>
          <w:color w:val="auto"/>
        </w:rPr>
        <w:t>Insurance</w:t>
      </w:r>
    </w:p>
    <w:p>
      <w:pPr>
        <w:spacing w:after="0" w:line="22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Subject to the provisions of the Companies Law and the Securities Law, the Company may enter into a contract for the insurance of the liability, in whole or in part, of an Office Holder, with respect to an obligation imposed on such Office Holder due to an act performed by him in his capacity as such, arising from any of the following:</w:t>
      </w:r>
    </w:p>
    <w:p>
      <w:pPr>
        <w:spacing w:after="0" w:line="181"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a breach of duty of care to the Company or to any other person;</w:t>
      </w:r>
    </w:p>
    <w:p>
      <w:pPr>
        <w:spacing w:after="0" w:line="225" w:lineRule="exact"/>
        <w:rPr>
          <w:sz w:val="20"/>
          <w:szCs w:val="20"/>
          <w:color w:val="auto"/>
        </w:rPr>
      </w:pPr>
    </w:p>
    <w:p>
      <w:pPr>
        <w:jc w:val="both"/>
        <w:ind w:left="1400" w:right="20" w:hanging="755"/>
        <w:spacing w:after="0" w:line="277" w:lineRule="auto"/>
        <w:tabs>
          <w:tab w:leader="none" w:pos="138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a breach of the duty of loyalty to the Company provided that the Office Holder acted in good faith and had reasonable grounds to assume that the act would not harm the interests of the Company;</w:t>
      </w:r>
    </w:p>
    <w:p>
      <w:pPr>
        <w:spacing w:after="0" w:line="170" w:lineRule="exact"/>
        <w:rPr>
          <w:sz w:val="20"/>
          <w:szCs w:val="20"/>
          <w:color w:val="auto"/>
        </w:rPr>
      </w:pPr>
    </w:p>
    <w:p>
      <w:pPr>
        <w:jc w:val="both"/>
        <w:ind w:left="1400" w:hanging="755"/>
        <w:spacing w:after="0" w:line="259" w:lineRule="auto"/>
        <w:tabs>
          <w:tab w:leader="none" w:pos="138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a financial liability imposed on such Office Holder in favor of any other person, including in favor of an injured party as set forth in section 52LIV(a)(1)(a) of the Securities Law, as well as expenses, including reasonable litigation expenses and attorney’s fees, expended by an Office Holder or which were imposed on an Office Holder by a court in proceedings filed against the Office Holder under Chapters VIII’3, VIII’4 or IX’1 of the Securities Law; and</w:t>
      </w:r>
    </w:p>
    <w:p>
      <w:pPr>
        <w:spacing w:after="0" w:line="187"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6"/>
          <w:szCs w:val="16"/>
          <w:color w:val="auto"/>
        </w:rPr>
        <w:t>any other incident for which it is or shall be permitted to insure the liability of an officer.</w:t>
      </w:r>
    </w:p>
    <w:p>
      <w:pPr>
        <w:spacing w:after="0" w:line="225"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Indemnification</w:t>
      </w:r>
    </w:p>
    <w:p>
      <w:pPr>
        <w:spacing w:after="0" w:line="22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Subject to the provisions of the Companies Law and the Securities Law, the Company may undertake in advance to indemnify, or may indemnify retroactively, an Office Holder of the Company with respect to any of the following liabilities or expenses that arise from an act performed by the Office Holder by virtue of being an Office Holder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76" w:name="page177"/>
    <w:bookmarkEnd w:id="176"/>
    <w:p>
      <w:pPr>
        <w:jc w:val="both"/>
        <w:ind w:left="1400" w:hanging="755"/>
        <w:spacing w:after="0" w:line="257" w:lineRule="auto"/>
        <w:tabs>
          <w:tab w:leader="none" w:pos="138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8"/>
          <w:szCs w:val="18"/>
          <w:color w:val="auto"/>
        </w:rPr>
        <w:t>a financial liability imposed on an Office Holder in favor of another person by any judgment, including a judgment given as a result of a settlement or an arbitrator’s award which has been confirmed by a court, provided however that an undertaking to indemnify the Office Holder for such liabilities shall be restricted to those events that the Board may deem foreseeable in light of the Company’s actual activities, at the time of giving of such undertaking, and to a specific sum or a reasonable criterion under such circumstances as determined by the Board;</w:t>
      </w:r>
    </w:p>
    <w:p>
      <w:pPr>
        <w:spacing w:after="0" w:line="188" w:lineRule="exact"/>
        <w:rPr>
          <w:sz w:val="20"/>
          <w:szCs w:val="20"/>
          <w:color w:val="auto"/>
        </w:rPr>
      </w:pPr>
    </w:p>
    <w:p>
      <w:pPr>
        <w:jc w:val="both"/>
        <w:ind w:left="1400" w:hanging="755"/>
        <w:spacing w:after="0" w:line="276" w:lineRule="auto"/>
        <w:tabs>
          <w:tab w:leader="none" w:pos="138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7"/>
          <w:szCs w:val="17"/>
          <w:color w:val="auto"/>
        </w:rPr>
        <w:t>reasonable litigation expenses, including attorney’s fees, incurred by him as a result of an investigation or proceeding instituted against him by an authority empowered to conduct an investigation or proceedings, which are concluded without the filing of an indictment against the Office Holder and without the levying of a monetary obligation in lieu of criminal proceedings upon the Office Holder, or which are concluded without the filing of an indictment against the Office Holder but with levying a monetary obligation in substitute of such criminal proceedings upon the Office Holder for a crime that does not require proof of criminal intent;</w:t>
      </w:r>
    </w:p>
    <w:p>
      <w:pPr>
        <w:spacing w:after="0" w:line="173" w:lineRule="exact"/>
        <w:rPr>
          <w:sz w:val="20"/>
          <w:szCs w:val="20"/>
          <w:color w:val="auto"/>
        </w:rPr>
      </w:pPr>
    </w:p>
    <w:p>
      <w:pPr>
        <w:jc w:val="both"/>
        <w:ind w:left="1400" w:hanging="755"/>
        <w:spacing w:after="0" w:line="259" w:lineRule="auto"/>
        <w:tabs>
          <w:tab w:leader="none" w:pos="138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8"/>
          <w:szCs w:val="18"/>
          <w:color w:val="auto"/>
        </w:rPr>
        <w:t>reasonable litigation expenses, including attorney’s fees, expended by an Office Holder or which were imposed on an Office Holder by a court in proceedings filed against the Office Holder by the Company or in its name or by any other person or in a criminal charge on which the Office Holder was acquitted or in a criminal charge on which the Office Holder was convicted for an offense which did not require proof of criminal intent;</w:t>
      </w:r>
    </w:p>
    <w:p>
      <w:pPr>
        <w:spacing w:after="0" w:line="187" w:lineRule="exact"/>
        <w:rPr>
          <w:sz w:val="20"/>
          <w:szCs w:val="20"/>
          <w:color w:val="auto"/>
        </w:rPr>
      </w:pPr>
    </w:p>
    <w:p>
      <w:pPr>
        <w:jc w:val="both"/>
        <w:ind w:left="1400" w:hanging="755"/>
        <w:spacing w:after="0" w:line="312" w:lineRule="auto"/>
        <w:tabs>
          <w:tab w:leader="none" w:pos="138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a financial liability imposed on an Office Holder in favor of an injured party as set forth in section 52LIV(a)(1)(a) of the Securities Law, as well as expenses, including reasonable litigation expenses and attorney’s fees, expended by an Office Holder or which were imposed on an Office Holder by a court in proceedings filed against the Office Holder under Chapters VIII’3, VIII’4 or IX’1 of the Securities Law; and</w:t>
      </w:r>
    </w:p>
    <w:p>
      <w:pPr>
        <w:spacing w:after="0" w:line="147"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7.3.5</w:t>
      </w:r>
      <w:r>
        <w:rPr>
          <w:sz w:val="20"/>
          <w:szCs w:val="20"/>
          <w:color w:val="auto"/>
        </w:rPr>
        <w:tab/>
      </w:r>
      <w:r>
        <w:rPr>
          <w:rFonts w:ascii="Arial" w:cs="Arial" w:eastAsia="Arial" w:hAnsi="Arial"/>
          <w:sz w:val="16"/>
          <w:szCs w:val="16"/>
          <w:color w:val="auto"/>
        </w:rPr>
        <w:t>any other obligation or expense for which it is or shall be permitted to indemnify an officer.</w:t>
      </w:r>
    </w:p>
    <w:p>
      <w:pPr>
        <w:spacing w:after="0" w:line="225" w:lineRule="exact"/>
        <w:rPr>
          <w:sz w:val="20"/>
          <w:szCs w:val="20"/>
          <w:color w:val="auto"/>
        </w:rPr>
      </w:pPr>
    </w:p>
    <w:p>
      <w:pPr>
        <w:jc w:val="both"/>
        <w:ind w:left="700" w:hanging="634"/>
        <w:spacing w:after="0" w:line="257" w:lineRule="auto"/>
        <w:tabs>
          <w:tab w:leader="none" w:pos="6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provisions of this Chapter 7 are not intended, and shall not be interpreted, to restrict the Company in any manner in respect of the procurement of insurance or in respect of indemnification (i) in connection with any person who is not an Office Holder, including, without limitation, any employee, agent, consultant or contractor of the Company who is not an Office Holder, or (ii) in connection with any Office Holder to the extent that such insurance and/or indemnification is not specifically prohibited under the Companies Law; provided that the procurement of any such insurance or the provision of any such indemnification shall be approved by the Board.</w:t>
      </w:r>
    </w:p>
    <w:p>
      <w:pPr>
        <w:spacing w:after="0" w:line="188" w:lineRule="exact"/>
        <w:rPr>
          <w:sz w:val="20"/>
          <w:szCs w:val="20"/>
          <w:color w:val="auto"/>
        </w:rPr>
      </w:pPr>
    </w:p>
    <w:p>
      <w:pPr>
        <w:jc w:val="both"/>
        <w:ind w:left="640" w:hanging="634"/>
        <w:spacing w:after="0" w:line="312" w:lineRule="auto"/>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Any modification of the provisions of this Chapter 7, and any amendment to the Companies Law, the Securities Law or any other applicable law, shall be prospective in effect and shall not affect the Company’s obligation or ability to indemnify an Office Holder for any act or omission occurring prior to such modification or amendment, unless otherwise provided by the Companies Law, the Securities Law or such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Chapter 8 Internal Auditor</w:t>
      </w:r>
    </w:p>
    <w:p>
      <w:pPr>
        <w:spacing w:after="0" w:line="200" w:lineRule="exact"/>
        <w:rPr>
          <w:sz w:val="20"/>
          <w:szCs w:val="20"/>
          <w:color w:val="auto"/>
        </w:rPr>
      </w:pPr>
    </w:p>
    <w:p>
      <w:pPr>
        <w:spacing w:after="0" w:line="245"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8.1</w:t>
        <w:tab/>
        <w:t>The Board of Directors of the Company shall appoint an internal auditor in accordance with the proposal of the audit committee. A person who is an interested party in the Company, an office holder therein, or the relative or either of the above, as well as the auditing accountant or any person on his behalf, shall not serve as an internal auditor in the Company.</w:t>
      </w:r>
    </w:p>
    <w:p>
      <w:pPr>
        <w:spacing w:after="0" w:line="397" w:lineRule="exact"/>
        <w:rPr>
          <w:sz w:val="20"/>
          <w:szCs w:val="20"/>
          <w:color w:val="auto"/>
        </w:rPr>
      </w:pPr>
    </w:p>
    <w:p>
      <w:pPr>
        <w:jc w:val="both"/>
        <w:ind w:left="460" w:right="20" w:hanging="445"/>
        <w:spacing w:after="0" w:line="277" w:lineRule="auto"/>
        <w:tabs>
          <w:tab w:leader="none" w:pos="440" w:val="left"/>
        </w:tabs>
        <w:rPr>
          <w:sz w:val="20"/>
          <w:szCs w:val="20"/>
          <w:color w:val="auto"/>
        </w:rPr>
      </w:pPr>
      <w:r>
        <w:rPr>
          <w:rFonts w:ascii="Arial" w:cs="Arial" w:eastAsia="Arial" w:hAnsi="Arial"/>
          <w:sz w:val="18"/>
          <w:szCs w:val="18"/>
          <w:color w:val="auto"/>
        </w:rPr>
        <w:t>8.2</w:t>
        <w:tab/>
        <w:t>The Board of Directors shall determine which office holder shall be organizationally accountable for the internal auditor and, in the absence of such determination; this shall be the chairperson of the Board of Directors.</w:t>
      </w:r>
    </w:p>
    <w:p>
      <w:pPr>
        <w:spacing w:after="0" w:line="387" w:lineRule="exact"/>
        <w:rPr>
          <w:sz w:val="20"/>
          <w:szCs w:val="20"/>
          <w:color w:val="auto"/>
        </w:rPr>
      </w:pPr>
    </w:p>
    <w:p>
      <w:pPr>
        <w:jc w:val="both"/>
        <w:ind w:left="460" w:hanging="445"/>
        <w:spacing w:after="0" w:line="308"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The internal audit plan prepared by the auditor shall be submitted to the audit committee for authorization; however, the Board of Directors is permitted to determine that the plan shall be examined by the audit committee and submitted to the Board of Directors for authorization.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9 Auditing Accountant</w:t>
      </w:r>
    </w:p>
    <w:p>
      <w:pPr>
        <w:spacing w:after="0" w:line="229"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9.1</w:t>
        <w:tab/>
        <w:t>The General Meeting shall appoint an auditing accountant for the Company. The auditing accountant shall serve in office through the end of the following Annual Meeting, or for a longer period as determined by the Annual Meeting, provided that the period of office shall not be extended beyond the end of the third Annual Meeting following that at which the auditing accountant was appointed.</w:t>
      </w:r>
    </w:p>
    <w:p>
      <w:pPr>
        <w:spacing w:after="0" w:line="397" w:lineRule="exact"/>
        <w:rPr>
          <w:sz w:val="20"/>
          <w:szCs w:val="20"/>
          <w:color w:val="auto"/>
        </w:rPr>
      </w:pPr>
    </w:p>
    <w:p>
      <w:pPr>
        <w:jc w:val="both"/>
        <w:ind w:left="460" w:hanging="445"/>
        <w:spacing w:after="0" w:line="277" w:lineRule="auto"/>
        <w:tabs>
          <w:tab w:leader="none" w:pos="440" w:val="left"/>
        </w:tabs>
        <w:rPr>
          <w:sz w:val="20"/>
          <w:szCs w:val="20"/>
          <w:color w:val="auto"/>
        </w:rPr>
      </w:pPr>
      <w:r>
        <w:rPr>
          <w:rFonts w:ascii="Arial" w:cs="Arial" w:eastAsia="Arial" w:hAnsi="Arial"/>
          <w:sz w:val="18"/>
          <w:szCs w:val="18"/>
          <w:color w:val="auto"/>
        </w:rPr>
        <w:t>9.2</w:t>
        <w:tab/>
        <w:t>The fee of the auditing accountant for the auditing operations shall be determined by the Board of Directors. The Board of Directors shall report to the Annual Meeting on the fee of the auditing accountant.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10 Signing in the Company’s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  The rights to sign in the Company’s name shall be determined from time to time by the Board of Directors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10.2  The Company’s authorized signatory shall do so together with the Company’s stamp, or alongside its printed name.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11 Dividend and Benefit Shares</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decision by the Company to allocate a dividend and/or to allocate benefit shares shall be taken by the Company’s Board of Directors.</w:t>
      </w:r>
    </w:p>
    <w:p>
      <w:pPr>
        <w:spacing w:after="0" w:line="200" w:lineRule="exact"/>
        <w:rPr>
          <w:sz w:val="20"/>
          <w:szCs w:val="20"/>
          <w:color w:val="auto"/>
        </w:rPr>
      </w:pPr>
    </w:p>
    <w:p>
      <w:pPr>
        <w:spacing w:after="0" w:line="241" w:lineRule="exact"/>
        <w:rPr>
          <w:sz w:val="20"/>
          <w:szCs w:val="20"/>
          <w:color w:val="auto"/>
        </w:rPr>
      </w:pPr>
    </w:p>
    <w:p>
      <w:pPr>
        <w:jc w:val="both"/>
        <w:ind w:left="460" w:hanging="445"/>
        <w:spacing w:after="0" w:line="273"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Unless determined otherwise by the Board of Directors, it shall be permitted to pay any dividend by way of check or payment order to be sent by mail in accordance with the registered address of the shareholder or the personal eligible thereto or, in the case of joint registered owners of the same share, to that shareholder whose name is mentioned first in the registry of shareholders with regard to the joint ownership. Any such check shall be made out to order of the person to whom it is sent. A receipt from a person whose name, as of the date of declaration of the dividend, is registered in the registry of shareholders as the owner of any share or, in the case of joint owners, of one of the joint owners, shall serve as authorization regarding all payments made in connection with that share and regarding which the receipt was received.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78" w:name="page179"/>
    <w:bookmarkEnd w:id="178"/>
    <w:p>
      <w:pPr>
        <w:jc w:val="both"/>
        <w:ind w:left="640" w:hanging="634"/>
        <w:spacing w:after="0" w:line="302"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For the purpose of executing any decision in accordance with the provisions of this section, the Board of Directors is entitled to resolve as it sees fit any difficulty that emerges regarding distribution of the dividend and/or the benefit shares, including determining the value for the purpose of the said division of certain assets, and to determine that payments in cash shall be made to members on the basis of the value so determined; to determine provisions regarding fractions of shares; or to determine that sums of less than NIS 50 shall not be paid to a shareholder.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12 Accounts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shall maintain accounts and shall prepare financial statements in accordance with the Companies Law.</w:t>
      </w:r>
    </w:p>
    <w:p>
      <w:pPr>
        <w:spacing w:after="0" w:line="225"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account ledgers shall be held at the Company’s registered offices or in any other place as the Directors shall see fit, and shall always be open for inspection by the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13 Notifications</w:t>
      </w:r>
    </w:p>
    <w:p>
      <w:pPr>
        <w:spacing w:after="0" w:line="229" w:lineRule="exact"/>
        <w:rPr>
          <w:sz w:val="20"/>
          <w:szCs w:val="20"/>
          <w:color w:val="auto"/>
        </w:rPr>
      </w:pPr>
    </w:p>
    <w:p>
      <w:pPr>
        <w:jc w:val="both"/>
        <w:ind w:left="700" w:hanging="634"/>
        <w:spacing w:after="0" w:line="293" w:lineRule="auto"/>
        <w:tabs>
          <w:tab w:leader="none" w:pos="6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Subject to any law, a notification or any other document that shall be delivered by the Company, and which it is entitled or required to issue in accordance with the provisions of the Articles or any law, shall be delivered by the Company to any person in one of the following manners as decided by the Company in each individual case: (A) By dispatch by registered mail in a letter addressed in accordance with the registered address of that shareholder in the registry of shareholders, or in accordance with such address as stated by the shareholder in a letter to the Company as the letter for the delivery of notifications or other documents; (B) By dispatch by facsimile or other electronic form, in accordance with the number or address stated by the shareholder for the delivery of such notifications; or (C) By way of publication in applicable distribution site.</w:t>
      </w:r>
    </w:p>
    <w:p>
      <w:pPr>
        <w:spacing w:after="0" w:line="165"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Any notification to be made to shareholders shall be made, regarding jointly owned shares, to that person whose name is mentioned first in the registry of shareholders as the holder of that share, and any notification made in this manner shall be sufficient notification for the holders of that share.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79" w:name="page180"/>
    <w:bookmarkEnd w:id="179"/>
    <w:p>
      <w:pPr>
        <w:spacing w:after="0"/>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Any notification or other document sent in accordance with the provisions of Article 13.1 above shall be considered to have reached its destination:</w:t>
      </w:r>
    </w:p>
    <w:p>
      <w:pPr>
        <w:spacing w:after="0" w:line="23" w:lineRule="exact"/>
        <w:rPr>
          <w:sz w:val="20"/>
          <w:szCs w:val="20"/>
          <w:color w:val="auto"/>
        </w:rPr>
      </w:pPr>
    </w:p>
    <w:p>
      <w:pPr>
        <w:ind w:left="640" w:firstLine="3"/>
        <w:spacing w:after="0" w:line="261" w:lineRule="auto"/>
        <w:tabs>
          <w:tab w:leader="none" w:pos="95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Within 3 business days – if sent by registered mail in Israel; (B) On the first business day after its dispatch, if delivered by hand or sent by facsimile or other electronic method; or (C) On the date of publication on applicable distribution site.</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proving delivery, it shall be sufficient to prove that the letter sent by mail included the notification and that the document was addressed properly and was delivered to the post office as a letter bearing stamps, or as a registered letter bearing stamps, and, regarding a facsimile or other electronic method, it shall be sufficient to produce a dispatch confirmation sheet from the dispatching machine.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Any record made in an ordinary manner in the company’s registry shall be considered prima facie evidence of dispatch as recorded in that registry.</w:t>
      </w:r>
    </w:p>
    <w:p>
      <w:pPr>
        <w:spacing w:after="0" w:line="200" w:lineRule="exact"/>
        <w:rPr>
          <w:sz w:val="20"/>
          <w:szCs w:val="20"/>
          <w:color w:val="auto"/>
        </w:rPr>
      </w:pPr>
    </w:p>
    <w:p>
      <w:pPr>
        <w:spacing w:after="0" w:line="241" w:lineRule="exact"/>
        <w:rPr>
          <w:sz w:val="20"/>
          <w:szCs w:val="20"/>
          <w:color w:val="auto"/>
        </w:rPr>
      </w:pPr>
    </w:p>
    <w:p>
      <w:pPr>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When it is necessary to provide prior notification of a certain number of days, or when notification is valid for a certain period, the date of delivery shall be included in reckoning the number of days or the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{Exhibit 3.2 -- Articles of Association of the Company;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7200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ONVERTIBLE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This Convertible Loan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dated [_____], and effective [_____], is made and entered between </w:t>
      </w:r>
      <w:r>
        <w:rPr>
          <w:rFonts w:ascii="Arial" w:cs="Arial" w:eastAsia="Arial" w:hAnsi="Arial"/>
          <w:sz w:val="16"/>
          <w:szCs w:val="16"/>
          <w:b w:val="1"/>
          <w:bCs w:val="1"/>
          <w:color w:val="auto"/>
        </w:rPr>
        <w:t>Alcobra Ltd.</w:t>
      </w:r>
      <w:r>
        <w:rPr>
          <w:rFonts w:ascii="Arial" w:cs="Arial" w:eastAsia="Arial" w:hAnsi="Arial"/>
          <w:sz w:val="16"/>
          <w:szCs w:val="16"/>
          <w:color w:val="auto"/>
        </w:rPr>
        <w:t>, an Israeli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[_____]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i w:val="1"/>
                <w:iCs w:val="1"/>
                <w:color w:val="auto"/>
              </w:rPr>
              <w:t>Loan Amount:</w:t>
            </w:r>
          </w:p>
        </w:tc>
        <w:tc>
          <w:tcPr>
            <w:tcW w:w="9800" w:type="dxa"/>
            <w:vAlign w:val="bottom"/>
            <w:gridSpan w:val="6"/>
          </w:tcPr>
          <w:p>
            <w:pPr>
              <w:ind w:left="560"/>
              <w:spacing w:after="0"/>
              <w:rPr>
                <w:sz w:val="20"/>
                <w:szCs w:val="20"/>
                <w:color w:val="auto"/>
              </w:rPr>
            </w:pPr>
            <w:r>
              <w:rPr>
                <w:rFonts w:ascii="Arial" w:cs="Arial" w:eastAsia="Arial" w:hAnsi="Arial"/>
                <w:sz w:val="18"/>
                <w:szCs w:val="18"/>
                <w:color w:val="auto"/>
              </w:rPr>
              <w:t>[_____], (the “</w:t>
            </w:r>
            <w:r>
              <w:rPr>
                <w:rFonts w:ascii="Arial" w:cs="Arial" w:eastAsia="Arial" w:hAnsi="Arial"/>
                <w:sz w:val="18"/>
                <w:szCs w:val="18"/>
                <w:b w:val="1"/>
                <w:bCs w:val="1"/>
                <w:color w:val="auto"/>
              </w:rPr>
              <w:t>Loan Amount</w:t>
            </w:r>
            <w:r>
              <w:rPr>
                <w:rFonts w:ascii="Arial" w:cs="Arial" w:eastAsia="Arial" w:hAnsi="Arial"/>
                <w:sz w:val="18"/>
                <w:szCs w:val="18"/>
                <w:color w:val="auto"/>
              </w:rPr>
              <w:t>”), to be disbursed to the Company no later than [_____] (“</w:t>
            </w:r>
            <w:r>
              <w:rPr>
                <w:rFonts w:ascii="Arial" w:cs="Arial" w:eastAsia="Arial" w:hAnsi="Arial"/>
                <w:sz w:val="18"/>
                <w:szCs w:val="18"/>
                <w:b w:val="1"/>
                <w:bCs w:val="1"/>
                <w:color w:val="auto"/>
              </w:rPr>
              <w:t>Closing</w:t>
            </w:r>
            <w:r>
              <w:rPr>
                <w:rFonts w:ascii="Arial" w:cs="Arial" w:eastAsia="Arial" w:hAnsi="Arial"/>
                <w:sz w:val="18"/>
                <w:szCs w:val="18"/>
                <w:color w:val="auto"/>
              </w:rPr>
              <w:t>”).</w:t>
            </w:r>
          </w:p>
        </w:tc>
      </w:tr>
      <w:tr>
        <w:trPr>
          <w:trHeight w:val="414"/>
        </w:trPr>
        <w:tc>
          <w:tcPr>
            <w:tcW w:w="1620" w:type="dxa"/>
            <w:vAlign w:val="bottom"/>
          </w:tcPr>
          <w:p>
            <w:pPr>
              <w:spacing w:after="0"/>
              <w:rPr>
                <w:sz w:val="24"/>
                <w:szCs w:val="24"/>
                <w:color w:val="auto"/>
              </w:rPr>
            </w:pPr>
          </w:p>
        </w:tc>
        <w:tc>
          <w:tcPr>
            <w:tcW w:w="9800" w:type="dxa"/>
            <w:vAlign w:val="bottom"/>
            <w:gridSpan w:val="6"/>
          </w:tcPr>
          <w:p>
            <w:pPr>
              <w:ind w:left="560"/>
              <w:spacing w:after="0"/>
              <w:rPr>
                <w:sz w:val="20"/>
                <w:szCs w:val="20"/>
                <w:color w:val="auto"/>
              </w:rPr>
            </w:pPr>
            <w:r>
              <w:rPr>
                <w:rFonts w:ascii="Arial" w:cs="Arial" w:eastAsia="Arial" w:hAnsi="Arial"/>
                <w:sz w:val="18"/>
                <w:szCs w:val="18"/>
                <w:color w:val="auto"/>
                <w:w w:val="98"/>
              </w:rPr>
              <w:t>The convertible loan hereunder is to be made as part of a series of convertible loans, in an aggregate amount of up to</w:t>
            </w:r>
          </w:p>
        </w:tc>
      </w:tr>
      <w:tr>
        <w:trPr>
          <w:trHeight w:val="216"/>
        </w:trPr>
        <w:tc>
          <w:tcPr>
            <w:tcW w:w="1620" w:type="dxa"/>
            <w:vAlign w:val="bottom"/>
          </w:tcPr>
          <w:p>
            <w:pPr>
              <w:spacing w:after="0"/>
              <w:rPr>
                <w:sz w:val="18"/>
                <w:szCs w:val="18"/>
                <w:color w:val="auto"/>
              </w:rPr>
            </w:pPr>
          </w:p>
        </w:tc>
        <w:tc>
          <w:tcPr>
            <w:tcW w:w="9800" w:type="dxa"/>
            <w:vAlign w:val="bottom"/>
            <w:gridSpan w:val="6"/>
          </w:tcPr>
          <w:p>
            <w:pPr>
              <w:ind w:left="560"/>
              <w:spacing w:after="0"/>
              <w:rPr>
                <w:sz w:val="20"/>
                <w:szCs w:val="20"/>
                <w:color w:val="auto"/>
              </w:rPr>
            </w:pPr>
            <w:r>
              <w:rPr>
                <w:rFonts w:ascii="Arial" w:cs="Arial" w:eastAsia="Arial" w:hAnsi="Arial"/>
                <w:sz w:val="18"/>
                <w:szCs w:val="18"/>
                <w:color w:val="auto"/>
                <w:w w:val="91"/>
              </w:rPr>
              <w:t>US$600,000 (the “</w:t>
            </w:r>
            <w:r>
              <w:rPr>
                <w:rFonts w:ascii="Arial" w:cs="Arial" w:eastAsia="Arial" w:hAnsi="Arial"/>
                <w:sz w:val="18"/>
                <w:szCs w:val="18"/>
                <w:b w:val="1"/>
                <w:bCs w:val="1"/>
                <w:color w:val="auto"/>
                <w:w w:val="91"/>
              </w:rPr>
              <w:t>Aggregate Loan Amount</w:t>
            </w:r>
            <w:r>
              <w:rPr>
                <w:rFonts w:ascii="Arial" w:cs="Arial" w:eastAsia="Arial" w:hAnsi="Arial"/>
                <w:sz w:val="18"/>
                <w:szCs w:val="18"/>
                <w:color w:val="auto"/>
                <w:w w:val="91"/>
              </w:rPr>
              <w:t>”), disbursed or to be disbursed to the Company by certain individuals and entities</w:t>
            </w:r>
          </w:p>
        </w:tc>
      </w:tr>
      <w:tr>
        <w:trPr>
          <w:trHeight w:val="234"/>
        </w:trPr>
        <w:tc>
          <w:tcPr>
            <w:tcW w:w="1620" w:type="dxa"/>
            <w:vAlign w:val="bottom"/>
          </w:tcPr>
          <w:p>
            <w:pPr>
              <w:spacing w:after="0"/>
              <w:rPr>
                <w:sz w:val="20"/>
                <w:szCs w:val="20"/>
                <w:color w:val="auto"/>
              </w:rPr>
            </w:pPr>
          </w:p>
        </w:tc>
        <w:tc>
          <w:tcPr>
            <w:tcW w:w="9800" w:type="dxa"/>
            <w:vAlign w:val="bottom"/>
            <w:gridSpan w:val="6"/>
          </w:tcPr>
          <w:p>
            <w:pPr>
              <w:ind w:left="5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Lenders</w:t>
            </w:r>
            <w:r>
              <w:rPr>
                <w:rFonts w:ascii="Arial" w:cs="Arial" w:eastAsia="Arial" w:hAnsi="Arial"/>
                <w:sz w:val="18"/>
                <w:szCs w:val="18"/>
                <w:color w:val="auto"/>
              </w:rPr>
              <w:t>”) during the period commencing July 23, 2012 and ending [________].</w:t>
            </w:r>
          </w:p>
        </w:tc>
      </w:tr>
      <w:tr>
        <w:trPr>
          <w:trHeight w:val="414"/>
        </w:trPr>
        <w:tc>
          <w:tcPr>
            <w:tcW w:w="16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9800" w:type="dxa"/>
            <w:vAlign w:val="bottom"/>
            <w:gridSpan w:val="6"/>
          </w:tcPr>
          <w:p>
            <w:pPr>
              <w:ind w:left="560"/>
              <w:spacing w:after="0"/>
              <w:rPr>
                <w:sz w:val="20"/>
                <w:szCs w:val="20"/>
                <w:color w:val="auto"/>
              </w:rPr>
            </w:pPr>
            <w:r>
              <w:rPr>
                <w:rFonts w:ascii="Arial" w:cs="Arial" w:eastAsia="Arial" w:hAnsi="Arial"/>
                <w:sz w:val="18"/>
                <w:szCs w:val="18"/>
                <w:color w:val="auto"/>
                <w:w w:val="93"/>
              </w:rPr>
              <w:t>The Loan Amount shall bear interest at a rate of 6% per annum (the Loan Amount, together with accrued interest, the “</w:t>
            </w:r>
            <w:r>
              <w:rPr>
                <w:rFonts w:ascii="Arial" w:cs="Arial" w:eastAsia="Arial" w:hAnsi="Arial"/>
                <w:sz w:val="18"/>
                <w:szCs w:val="18"/>
                <w:b w:val="1"/>
                <w:bCs w:val="1"/>
                <w:color w:val="auto"/>
                <w:w w:val="93"/>
              </w:rPr>
              <w:t>Total</w:t>
            </w:r>
          </w:p>
        </w:tc>
      </w:tr>
      <w:tr>
        <w:trPr>
          <w:trHeight w:val="234"/>
        </w:trPr>
        <w:tc>
          <w:tcPr>
            <w:tcW w:w="1620" w:type="dxa"/>
            <w:vAlign w:val="bottom"/>
          </w:tcPr>
          <w:p>
            <w:pPr>
              <w:spacing w:after="0"/>
              <w:rPr>
                <w:sz w:val="20"/>
                <w:szCs w:val="20"/>
                <w:color w:val="auto"/>
              </w:rPr>
            </w:pPr>
          </w:p>
        </w:tc>
        <w:tc>
          <w:tcPr>
            <w:tcW w:w="9800" w:type="dxa"/>
            <w:vAlign w:val="bottom"/>
            <w:gridSpan w:val="6"/>
          </w:tcPr>
          <w:p>
            <w:pPr>
              <w:ind w:left="560"/>
              <w:spacing w:after="0"/>
              <w:rPr>
                <w:sz w:val="20"/>
                <w:szCs w:val="20"/>
                <w:color w:val="auto"/>
              </w:rPr>
            </w:pPr>
            <w:r>
              <w:rPr>
                <w:rFonts w:ascii="Arial" w:cs="Arial" w:eastAsia="Arial" w:hAnsi="Arial"/>
                <w:sz w:val="18"/>
                <w:szCs w:val="18"/>
                <w:b w:val="1"/>
                <w:bCs w:val="1"/>
                <w:color w:val="auto"/>
              </w:rPr>
              <w:t>Loan Amount</w:t>
            </w:r>
            <w:r>
              <w:rPr>
                <w:rFonts w:ascii="Arial" w:cs="Arial" w:eastAsia="Arial" w:hAnsi="Arial"/>
                <w:sz w:val="18"/>
                <w:szCs w:val="18"/>
                <w:color w:val="auto"/>
              </w:rPr>
              <w:t>”).</w:t>
            </w:r>
          </w:p>
        </w:tc>
      </w:tr>
      <w:tr>
        <w:trPr>
          <w:trHeight w:val="418"/>
        </w:trPr>
        <w:tc>
          <w:tcPr>
            <w:tcW w:w="16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800" w:type="dxa"/>
            <w:vAlign w:val="bottom"/>
            <w:gridSpan w:val="6"/>
          </w:tcPr>
          <w:p>
            <w:pPr>
              <w:ind w:left="560"/>
              <w:spacing w:after="0"/>
              <w:rPr>
                <w:sz w:val="20"/>
                <w:szCs w:val="20"/>
                <w:color w:val="auto"/>
              </w:rPr>
            </w:pPr>
            <w:r>
              <w:rPr>
                <w:rFonts w:ascii="Arial" w:cs="Arial" w:eastAsia="Arial" w:hAnsi="Arial"/>
                <w:sz w:val="18"/>
                <w:szCs w:val="18"/>
                <w:color w:val="auto"/>
                <w:w w:val="96"/>
              </w:rPr>
              <w:t>The Total Loan Amount shall be automatically converted into securities of the Company upon the earlier of the following</w:t>
            </w:r>
          </w:p>
        </w:tc>
      </w:tr>
      <w:tr>
        <w:trPr>
          <w:trHeight w:val="230"/>
        </w:trPr>
        <w:tc>
          <w:tcPr>
            <w:tcW w:w="1620" w:type="dxa"/>
            <w:vAlign w:val="bottom"/>
          </w:tcPr>
          <w:p>
            <w:pPr>
              <w:spacing w:after="0"/>
              <w:rPr>
                <w:sz w:val="20"/>
                <w:szCs w:val="20"/>
                <w:color w:val="auto"/>
              </w:rPr>
            </w:pPr>
          </w:p>
        </w:tc>
        <w:tc>
          <w:tcPr>
            <w:tcW w:w="9800" w:type="dxa"/>
            <w:vAlign w:val="bottom"/>
            <w:gridSpan w:val="6"/>
          </w:tcPr>
          <w:p>
            <w:pPr>
              <w:ind w:left="560"/>
              <w:spacing w:after="0"/>
              <w:rPr>
                <w:sz w:val="20"/>
                <w:szCs w:val="20"/>
                <w:color w:val="auto"/>
              </w:rPr>
            </w:pPr>
            <w:r>
              <w:rPr>
                <w:rFonts w:ascii="Arial" w:cs="Arial" w:eastAsia="Arial" w:hAnsi="Arial"/>
                <w:sz w:val="18"/>
                <w:szCs w:val="18"/>
                <w:color w:val="auto"/>
              </w:rPr>
              <w:t>events:</w:t>
            </w:r>
          </w:p>
        </w:tc>
      </w:tr>
      <w:tr>
        <w:trPr>
          <w:trHeight w:val="392"/>
        </w:trPr>
        <w:tc>
          <w:tcPr>
            <w:tcW w:w="1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0" w:type="dxa"/>
            <w:vAlign w:val="bottom"/>
            <w:gridSpan w:val="3"/>
          </w:tcPr>
          <w:p>
            <w:pPr>
              <w:jc w:val="right"/>
              <w:spacing w:after="0"/>
              <w:rPr>
                <w:sz w:val="20"/>
                <w:szCs w:val="20"/>
                <w:color w:val="auto"/>
              </w:rPr>
            </w:pPr>
            <w:r>
              <w:rPr>
                <w:rFonts w:ascii="Arial" w:cs="Arial" w:eastAsia="Arial" w:hAnsi="Arial"/>
                <w:sz w:val="18"/>
                <w:szCs w:val="18"/>
                <w:color w:val="auto"/>
                <w:w w:val="94"/>
              </w:rPr>
              <w:t>Financing Round. Upon investment in the Company's share capital by at least one investor (“</w:t>
            </w:r>
            <w:r>
              <w:rPr>
                <w:rFonts w:ascii="Arial" w:cs="Arial" w:eastAsia="Arial" w:hAnsi="Arial"/>
                <w:sz w:val="18"/>
                <w:szCs w:val="18"/>
                <w:b w:val="1"/>
                <w:bCs w:val="1"/>
                <w:color w:val="auto"/>
                <w:w w:val="94"/>
              </w:rPr>
              <w:t>Financing Round</w:t>
            </w:r>
            <w:r>
              <w:rPr>
                <w:rFonts w:ascii="Arial" w:cs="Arial" w:eastAsia="Arial" w:hAnsi="Arial"/>
                <w:sz w:val="18"/>
                <w:szCs w:val="18"/>
                <w:color w:val="auto"/>
                <w:w w:val="94"/>
              </w:rPr>
              <w:t>”), the</w:t>
            </w:r>
          </w:p>
        </w:tc>
      </w:tr>
      <w:tr>
        <w:trPr>
          <w:trHeight w:val="20"/>
        </w:trPr>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22"/>
        </w:trPr>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0" w:type="dxa"/>
            <w:vAlign w:val="bottom"/>
            <w:gridSpan w:val="5"/>
          </w:tcPr>
          <w:p>
            <w:pPr>
              <w:ind w:left="80"/>
              <w:spacing w:after="0"/>
              <w:rPr>
                <w:sz w:val="20"/>
                <w:szCs w:val="20"/>
                <w:color w:val="auto"/>
              </w:rPr>
            </w:pPr>
            <w:r>
              <w:rPr>
                <w:rFonts w:ascii="Arial" w:cs="Arial" w:eastAsia="Arial" w:hAnsi="Arial"/>
                <w:sz w:val="18"/>
                <w:szCs w:val="18"/>
                <w:color w:val="auto"/>
                <w:w w:val="97"/>
              </w:rPr>
              <w:t>Total Loan Amount shall be automatically converted into the most senior class of shares issued in the course of the</w:t>
            </w:r>
          </w:p>
        </w:tc>
      </w:tr>
      <w:tr>
        <w:trPr>
          <w:trHeight w:val="216"/>
        </w:trPr>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0" w:type="dxa"/>
            <w:vAlign w:val="bottom"/>
            <w:gridSpan w:val="5"/>
          </w:tcPr>
          <w:p>
            <w:pPr>
              <w:ind w:left="80"/>
              <w:spacing w:after="0"/>
              <w:rPr>
                <w:sz w:val="20"/>
                <w:szCs w:val="20"/>
                <w:color w:val="auto"/>
              </w:rPr>
            </w:pPr>
            <w:r>
              <w:rPr>
                <w:rFonts w:ascii="Arial" w:cs="Arial" w:eastAsia="Arial" w:hAnsi="Arial"/>
                <w:sz w:val="18"/>
                <w:szCs w:val="18"/>
                <w:color w:val="auto"/>
                <w:w w:val="97"/>
              </w:rPr>
              <w:t>Financing Round, under the same terms and conditions set forth therein with respect thereof (including issuance of</w:t>
            </w:r>
          </w:p>
        </w:tc>
      </w:tr>
      <w:tr>
        <w:trPr>
          <w:trHeight w:val="216"/>
        </w:trPr>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0" w:type="dxa"/>
            <w:vAlign w:val="bottom"/>
            <w:gridSpan w:val="5"/>
          </w:tcPr>
          <w:p>
            <w:pPr>
              <w:ind w:left="80"/>
              <w:spacing w:after="0"/>
              <w:rPr>
                <w:sz w:val="20"/>
                <w:szCs w:val="20"/>
                <w:color w:val="auto"/>
              </w:rPr>
            </w:pPr>
            <w:r>
              <w:rPr>
                <w:rFonts w:ascii="Arial" w:cs="Arial" w:eastAsia="Arial" w:hAnsi="Arial"/>
                <w:sz w:val="18"/>
                <w:szCs w:val="18"/>
                <w:color w:val="auto"/>
                <w:w w:val="95"/>
              </w:rPr>
              <w:t>warrants, etc.), at a 25% discount from the lowest price per share paid for such shares in the course of the Financing</w:t>
            </w:r>
          </w:p>
        </w:tc>
      </w:tr>
      <w:tr>
        <w:trPr>
          <w:trHeight w:val="230"/>
        </w:trPr>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0" w:type="dxa"/>
            <w:vAlign w:val="bottom"/>
            <w:gridSpan w:val="5"/>
          </w:tcPr>
          <w:p>
            <w:pPr>
              <w:ind w:left="80"/>
              <w:spacing w:after="0"/>
              <w:rPr>
                <w:sz w:val="20"/>
                <w:szCs w:val="20"/>
                <w:color w:val="auto"/>
              </w:rPr>
            </w:pPr>
            <w:r>
              <w:rPr>
                <w:rFonts w:ascii="Arial" w:cs="Arial" w:eastAsia="Arial" w:hAnsi="Arial"/>
                <w:sz w:val="18"/>
                <w:szCs w:val="18"/>
                <w:color w:val="auto"/>
              </w:rPr>
              <w:t>Round.</w:t>
            </w:r>
          </w:p>
        </w:tc>
      </w:tr>
      <w:tr>
        <w:trPr>
          <w:trHeight w:val="392"/>
        </w:trPr>
        <w:tc>
          <w:tcPr>
            <w:tcW w:w="16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8840" w:type="dxa"/>
            <w:vAlign w:val="bottom"/>
            <w:gridSpan w:val="4"/>
          </w:tcPr>
          <w:p>
            <w:pPr>
              <w:jc w:val="right"/>
              <w:spacing w:after="0"/>
              <w:rPr>
                <w:sz w:val="20"/>
                <w:szCs w:val="20"/>
                <w:color w:val="auto"/>
              </w:rPr>
            </w:pPr>
            <w:r>
              <w:rPr>
                <w:rFonts w:ascii="Arial" w:cs="Arial" w:eastAsia="Arial" w:hAnsi="Arial"/>
                <w:sz w:val="18"/>
                <w:szCs w:val="18"/>
                <w:color w:val="auto"/>
                <w:w w:val="95"/>
              </w:rPr>
              <w:t>Initial Public Offering. Upon closing of an underwritten public offering by the Company of its Ordinary Shares (“</w:t>
            </w:r>
            <w:r>
              <w:rPr>
                <w:rFonts w:ascii="Arial" w:cs="Arial" w:eastAsia="Arial" w:hAnsi="Arial"/>
                <w:sz w:val="18"/>
                <w:szCs w:val="18"/>
                <w:b w:val="1"/>
                <w:bCs w:val="1"/>
                <w:color w:val="auto"/>
                <w:w w:val="95"/>
              </w:rPr>
              <w:t>IPO</w:t>
            </w:r>
            <w:r>
              <w:rPr>
                <w:rFonts w:ascii="Arial" w:cs="Arial" w:eastAsia="Arial" w:hAnsi="Arial"/>
                <w:sz w:val="18"/>
                <w:szCs w:val="18"/>
                <w:color w:val="auto"/>
                <w:w w:val="95"/>
              </w:rPr>
              <w:t>”),</w:t>
            </w:r>
          </w:p>
        </w:tc>
      </w:tr>
      <w:tr>
        <w:trPr>
          <w:trHeight w:val="20"/>
        </w:trPr>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22"/>
        </w:trPr>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0" w:type="dxa"/>
            <w:vAlign w:val="bottom"/>
            <w:gridSpan w:val="5"/>
          </w:tcPr>
          <w:p>
            <w:pPr>
              <w:ind w:left="80"/>
              <w:spacing w:after="0"/>
              <w:rPr>
                <w:sz w:val="20"/>
                <w:szCs w:val="20"/>
                <w:color w:val="auto"/>
              </w:rPr>
            </w:pPr>
            <w:r>
              <w:rPr>
                <w:rFonts w:ascii="Arial" w:cs="Arial" w:eastAsia="Arial" w:hAnsi="Arial"/>
                <w:sz w:val="18"/>
                <w:szCs w:val="18"/>
                <w:color w:val="auto"/>
                <w:w w:val="96"/>
              </w:rPr>
              <w:t>the Total Loan Amount shall be automatically converted, as of immediately after the closing of the IPO, into Ordinary</w:t>
            </w:r>
          </w:p>
        </w:tc>
      </w:tr>
      <w:tr>
        <w:trPr>
          <w:trHeight w:val="230"/>
        </w:trPr>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0" w:type="dxa"/>
            <w:vAlign w:val="bottom"/>
            <w:gridSpan w:val="5"/>
          </w:tcPr>
          <w:p>
            <w:pPr>
              <w:ind w:left="80"/>
              <w:spacing w:after="0"/>
              <w:rPr>
                <w:sz w:val="20"/>
                <w:szCs w:val="20"/>
                <w:color w:val="auto"/>
              </w:rPr>
            </w:pPr>
            <w:r>
              <w:rPr>
                <w:rFonts w:ascii="Arial" w:cs="Arial" w:eastAsia="Arial" w:hAnsi="Arial"/>
                <w:sz w:val="18"/>
                <w:szCs w:val="18"/>
                <w:color w:val="auto"/>
                <w:w w:val="96"/>
              </w:rPr>
              <w:t>Shares of the Company at a 25% discount from the effective price per share determined for such shares in the IPO.</w:t>
            </w:r>
          </w:p>
        </w:tc>
      </w:tr>
    </w:tbl>
    <w:p>
      <w:pPr>
        <w:spacing w:after="0" w:line="202" w:lineRule="exact"/>
        <w:rPr>
          <w:sz w:val="20"/>
          <w:szCs w:val="20"/>
          <w:color w:val="auto"/>
        </w:rPr>
      </w:pPr>
    </w:p>
    <w:p>
      <w:pPr>
        <w:jc w:val="both"/>
        <w:ind w:left="2180"/>
        <w:spacing w:after="0" w:line="259" w:lineRule="auto"/>
        <w:rPr>
          <w:sz w:val="20"/>
          <w:szCs w:val="20"/>
          <w:color w:val="auto"/>
        </w:rPr>
      </w:pPr>
      <w:r>
        <w:rPr>
          <w:rFonts w:ascii="Arial" w:cs="Arial" w:eastAsia="Arial" w:hAnsi="Arial"/>
          <w:sz w:val="18"/>
          <w:szCs w:val="18"/>
          <w:color w:val="auto"/>
        </w:rPr>
        <w:t>In case the Total Loan Amount remains due and outstanding upon the elapse of 12 months from Closing, and unless Company is otherwise instructed by Lenders holding a majority share in the Aggregate Loan Amount, then the Total Loan Amount shall be automatically converted into an amount of Ordinary Shares of the Company reflecting a pre-money Company valuation of US$25,000,000 on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1" w:name="page182"/>
    <w:bookmarkEnd w:id="181"/>
    <w:p>
      <w:pPr>
        <w:ind w:left="2180"/>
        <w:spacing w:after="0"/>
        <w:rPr>
          <w:sz w:val="20"/>
          <w:szCs w:val="20"/>
          <w:color w:val="auto"/>
        </w:rPr>
      </w:pPr>
      <w:r>
        <w:rPr>
          <w:rFonts w:ascii="Arial" w:cs="Arial" w:eastAsia="Arial" w:hAnsi="Arial"/>
          <w:sz w:val="18"/>
          <w:szCs w:val="18"/>
          <w:color w:val="auto"/>
        </w:rPr>
        <w:t>Conversion of the Total Loan Amount shall be deemed repayment in full of the Total Loan Amount.</w:t>
      </w:r>
    </w:p>
    <w:p>
      <w:pPr>
        <w:spacing w:after="0" w:line="225" w:lineRule="exact"/>
        <w:rPr>
          <w:sz w:val="20"/>
          <w:szCs w:val="20"/>
          <w:color w:val="auto"/>
        </w:rPr>
      </w:pPr>
    </w:p>
    <w:p>
      <w:pPr>
        <w:ind w:left="2180"/>
        <w:spacing w:after="0" w:line="277" w:lineRule="auto"/>
        <w:rPr>
          <w:sz w:val="20"/>
          <w:szCs w:val="20"/>
          <w:color w:val="auto"/>
        </w:rPr>
      </w:pPr>
      <w:r>
        <w:rPr>
          <w:rFonts w:ascii="Arial" w:cs="Arial" w:eastAsia="Arial" w:hAnsi="Arial"/>
          <w:sz w:val="18"/>
          <w:szCs w:val="18"/>
          <w:color w:val="auto"/>
        </w:rPr>
        <w:t>Until conversion of the Total Loan Amount, the Lender shall not have any rights as shareholder of the Company by virtue of the Total Loan Amount.</w:t>
      </w:r>
    </w:p>
    <w:p>
      <w:pPr>
        <w:spacing w:after="0" w:line="170" w:lineRule="exact"/>
        <w:rPr>
          <w:sz w:val="20"/>
          <w:szCs w:val="20"/>
          <w:color w:val="auto"/>
        </w:rPr>
      </w:pPr>
    </w:p>
    <w:p>
      <w:pPr>
        <w:jc w:val="both"/>
        <w:ind w:left="2180" w:hanging="2173"/>
        <w:spacing w:after="0" w:line="254" w:lineRule="auto"/>
        <w:tabs>
          <w:tab w:leader="none" w:pos="2160" w:val="left"/>
        </w:tabs>
        <w:rPr>
          <w:sz w:val="20"/>
          <w:szCs w:val="20"/>
          <w:color w:val="auto"/>
        </w:rPr>
      </w:pPr>
      <w:r>
        <w:rPr>
          <w:rFonts w:ascii="Arial" w:cs="Arial" w:eastAsia="Arial" w:hAnsi="Arial"/>
          <w:sz w:val="18"/>
          <w:szCs w:val="18"/>
          <w:i w:val="1"/>
          <w:iCs w:val="1"/>
          <w:color w:val="auto"/>
        </w:rPr>
        <w:t>Events of Default:</w:t>
      </w:r>
      <w:r>
        <w:rPr>
          <w:sz w:val="20"/>
          <w:szCs w:val="20"/>
          <w:color w:val="auto"/>
        </w:rPr>
        <w:tab/>
      </w:r>
      <w:r>
        <w:rPr>
          <w:rFonts w:ascii="Arial" w:cs="Arial" w:eastAsia="Arial" w:hAnsi="Arial"/>
          <w:sz w:val="18"/>
          <w:szCs w:val="18"/>
          <w:color w:val="auto"/>
        </w:rPr>
        <w:t>Notwithstanding the aforesaid, the Total Loan Amount will immediately become due and payable upon the occurrence of any of the following events prior to the conversion of the Total Loan Amount: (a) commencement by the Company of any liquidation proceedings or the adoption of a winding up resolution by the Company; (b) appointment of a receiver or trustee over the whole or any substantial part of the Company’s assets, which has not been terminated within 60 days thereafter; (c) calling by the Company of a meeting of creditors for the purpose of entering into a scheme or arrangement with them which would affect the Lender; or (d) commencement by third parties of any liquidation proceedings of the Company, which have not been terminated within 120 days thereafter. The Company shall notify the Lender within 3 business days of being notified of any Event of Default.</w:t>
      </w:r>
    </w:p>
    <w:p>
      <w:pPr>
        <w:spacing w:after="0" w:line="192" w:lineRule="exact"/>
        <w:rPr>
          <w:sz w:val="20"/>
          <w:szCs w:val="20"/>
          <w:color w:val="auto"/>
        </w:rPr>
      </w:pPr>
    </w:p>
    <w:p>
      <w:pPr>
        <w:jc w:val="both"/>
        <w:ind w:left="2180" w:hanging="2173"/>
        <w:spacing w:after="0" w:line="277" w:lineRule="auto"/>
        <w:tabs>
          <w:tab w:leader="none" w:pos="2160" w:val="left"/>
        </w:tabs>
        <w:rPr>
          <w:sz w:val="20"/>
          <w:szCs w:val="20"/>
          <w:color w:val="auto"/>
        </w:rPr>
      </w:pPr>
      <w:r>
        <w:rPr>
          <w:rFonts w:ascii="Arial" w:cs="Arial" w:eastAsia="Arial" w:hAnsi="Arial"/>
          <w:sz w:val="18"/>
          <w:szCs w:val="18"/>
          <w:i w:val="1"/>
          <w:iCs w:val="1"/>
          <w:color w:val="auto"/>
        </w:rPr>
        <w:t>Use of Proceeds:</w:t>
      </w:r>
      <w:r>
        <w:rPr>
          <w:sz w:val="20"/>
          <w:szCs w:val="20"/>
          <w:color w:val="auto"/>
        </w:rPr>
        <w:tab/>
      </w:r>
      <w:r>
        <w:rPr>
          <w:rFonts w:ascii="Arial" w:cs="Arial" w:eastAsia="Arial" w:hAnsi="Arial"/>
          <w:sz w:val="18"/>
          <w:szCs w:val="18"/>
          <w:color w:val="auto"/>
        </w:rPr>
        <w:t>The Company shall use the proceeds of the Loan Amount as the Company’s Board of Directors shall deem fit from time to time.</w:t>
      </w:r>
    </w:p>
    <w:p>
      <w:pPr>
        <w:spacing w:after="0" w:line="170" w:lineRule="exact"/>
        <w:rPr>
          <w:sz w:val="20"/>
          <w:szCs w:val="20"/>
          <w:color w:val="auto"/>
        </w:rPr>
      </w:pPr>
    </w:p>
    <w:p>
      <w:pPr>
        <w:jc w:val="both"/>
        <w:ind w:left="2180" w:hanging="2179"/>
        <w:spacing w:after="0" w:line="259" w:lineRule="auto"/>
        <w:tabs>
          <w:tab w:leader="none" w:pos="2160" w:val="left"/>
        </w:tabs>
        <w:rPr>
          <w:sz w:val="20"/>
          <w:szCs w:val="20"/>
          <w:color w:val="auto"/>
        </w:rPr>
      </w:pPr>
      <w:r>
        <w:rPr>
          <w:rFonts w:ascii="Arial" w:cs="Arial" w:eastAsia="Arial" w:hAnsi="Arial"/>
          <w:sz w:val="18"/>
          <w:szCs w:val="18"/>
          <w:i w:val="1"/>
          <w:iCs w:val="1"/>
          <w:color w:val="auto"/>
        </w:rPr>
        <w:t>Miscellaneous:</w:t>
      </w:r>
      <w:r>
        <w:rPr>
          <w:sz w:val="20"/>
          <w:szCs w:val="20"/>
          <w:color w:val="auto"/>
        </w:rPr>
        <w:tab/>
      </w:r>
      <w:r>
        <w:rPr>
          <w:rFonts w:ascii="Arial" w:cs="Arial" w:eastAsia="Arial" w:hAnsi="Arial"/>
          <w:sz w:val="18"/>
          <w:szCs w:val="18"/>
          <w:color w:val="auto"/>
        </w:rPr>
        <w:t>This Agreement constitutes the full and entire understanding and agreement among the parties with regard to the convertible loan hereunder, and supersedes all prior agreements among the parties hereof with regard to such subject matter. This Agreement shall be governed for all purposes by the laws of Israel, and the competent courts in Tel Aviv shall have exclusive jurisdiction over any and all disputes there under or in connection herewith.</w:t>
      </w:r>
    </w:p>
    <w:p>
      <w:pPr>
        <w:spacing w:after="0" w:line="187" w:lineRule="exact"/>
        <w:rPr>
          <w:sz w:val="20"/>
          <w:szCs w:val="20"/>
          <w:color w:val="auto"/>
        </w:rPr>
      </w:pPr>
    </w:p>
    <w:p>
      <w:pPr>
        <w:jc w:val="both"/>
        <w:ind w:left="2180" w:hanging="2179"/>
        <w:spacing w:after="0" w:line="342" w:lineRule="auto"/>
        <w:tabs>
          <w:tab w:leader="none" w:pos="2160" w:val="left"/>
        </w:tabs>
        <w:rPr>
          <w:sz w:val="20"/>
          <w:szCs w:val="20"/>
          <w:color w:val="auto"/>
        </w:rPr>
      </w:pPr>
      <w:r>
        <w:rPr>
          <w:rFonts w:ascii="Arial" w:cs="Arial" w:eastAsia="Arial" w:hAnsi="Arial"/>
          <w:sz w:val="16"/>
          <w:szCs w:val="16"/>
          <w:i w:val="1"/>
          <w:iCs w:val="1"/>
          <w:color w:val="auto"/>
        </w:rPr>
        <w:t>Counterparts:</w:t>
      </w:r>
      <w:r>
        <w:rPr>
          <w:sz w:val="20"/>
          <w:szCs w:val="20"/>
          <w:color w:val="auto"/>
        </w:rPr>
        <w:tab/>
      </w:r>
      <w:r>
        <w:rPr>
          <w:rFonts w:ascii="Arial" w:cs="Arial" w:eastAsia="Arial" w:hAnsi="Arial"/>
          <w:sz w:val="16"/>
          <w:szCs w:val="16"/>
          <w:color w:val="auto"/>
        </w:rPr>
        <w:t>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color w:val="auto"/>
        </w:rPr>
        <w:t>IN WITNESS WHEREOF, the parties have signed this Agreement as of the date first hereinabove set forth.</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30441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30441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2"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u w:val="single" w:color="auto"/>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as of </w:t>
      </w:r>
      <w:r>
        <w:rPr>
          <w:rFonts w:ascii="Arial" w:cs="Arial" w:eastAsia="Arial" w:hAnsi="Arial"/>
          <w:sz w:val="17"/>
          <w:szCs w:val="17"/>
          <w:color w:val="auto"/>
          <w:highlight w:val="yellow"/>
        </w:rPr>
        <w:t>___________</w:t>
      </w:r>
      <w:r>
        <w:rPr>
          <w:rFonts w:ascii="Arial" w:cs="Arial" w:eastAsia="Arial" w:hAnsi="Arial"/>
          <w:sz w:val="17"/>
          <w:szCs w:val="17"/>
          <w:color w:val="auto"/>
        </w:rPr>
        <w:t>, 2013, by and between Alcobra Ltd., a company organized and existing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under the laws of Israel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color w:val="auto"/>
          <w:highlight w:val="yellow"/>
        </w:rPr>
        <w:t>____________</w:t>
      </w:r>
      <w:r>
        <w:rPr>
          <w:rFonts w:ascii="Arial" w:cs="Arial" w:eastAsia="Arial" w:hAnsi="Arial"/>
          <w:sz w:val="18"/>
          <w:szCs w:val="18"/>
          <w:color w:val="auto"/>
        </w:rPr>
        <w:t xml:space="preserve"> I.D. No / Passport No </w:t>
      </w:r>
      <w:r>
        <w:rPr>
          <w:rFonts w:ascii="Arial" w:cs="Arial" w:eastAsia="Arial" w:hAnsi="Arial"/>
          <w:sz w:val="18"/>
          <w:szCs w:val="18"/>
          <w:color w:val="auto"/>
          <w:highlight w:val="yellow"/>
        </w:rPr>
        <w:t>____________</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WHEREAS, the Company desires to attract and retain qualified directors and officers and to provide them with protection against liability and expenses incurred while acting in that capacity;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Indemnitee is director or officer of the Company; and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in order to induce Indemnitee to serve as a director or officer of the Company, the Company agrees to indemnify Indemnitee upon certain occurrences, all under the terms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left="420" w:hanging="412"/>
        <w:spacing w:after="0"/>
        <w:tabs>
          <w:tab w:leader="none" w:pos="42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The Company hereby agrees, subject to the limitations set forth in this Agreement and to applicable law:</w:t>
      </w:r>
    </w:p>
    <w:p>
      <w:pPr>
        <w:spacing w:after="0" w:line="225" w:lineRule="exact"/>
        <w:rPr>
          <w:rFonts w:ascii="Arial" w:cs="Arial" w:eastAsia="Arial" w:hAnsi="Arial"/>
          <w:sz w:val="18"/>
          <w:szCs w:val="18"/>
          <w:color w:val="auto"/>
        </w:rPr>
      </w:pPr>
    </w:p>
    <w:p>
      <w:pPr>
        <w:ind w:left="420"/>
        <w:spacing w:after="0" w:line="277" w:lineRule="auto"/>
        <w:rPr>
          <w:rFonts w:ascii="Arial" w:cs="Arial" w:eastAsia="Arial" w:hAnsi="Arial"/>
          <w:sz w:val="18"/>
          <w:szCs w:val="18"/>
          <w:color w:val="auto"/>
        </w:rPr>
      </w:pPr>
      <w:r>
        <w:rPr>
          <w:rFonts w:ascii="Arial" w:cs="Arial" w:eastAsia="Arial" w:hAnsi="Arial"/>
          <w:sz w:val="18"/>
          <w:szCs w:val="18"/>
          <w:color w:val="auto"/>
        </w:rPr>
        <w:t>To indemnify Indemnitee to the greatest extent possible under applicable law against any liability or expense in respect of any acts or omissions of Indemnitee in his capacity as a director or officer of the Company, as follows:</w:t>
      </w:r>
    </w:p>
    <w:p>
      <w:pPr>
        <w:spacing w:after="0" w:line="170" w:lineRule="exact"/>
        <w:rPr>
          <w:rFonts w:ascii="Arial" w:cs="Arial" w:eastAsia="Arial" w:hAnsi="Arial"/>
          <w:sz w:val="18"/>
          <w:szCs w:val="18"/>
          <w:color w:val="auto"/>
        </w:rPr>
      </w:pPr>
    </w:p>
    <w:p>
      <w:pPr>
        <w:ind w:left="420" w:hanging="3"/>
        <w:spacing w:after="0" w:line="277" w:lineRule="auto"/>
        <w:tabs>
          <w:tab w:leader="none" w:pos="65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 financial obligation imposed on Indemnitee in favor of another person by a court judgment, including a compromise judgment or an arbitrator's award approved by court;</w:t>
      </w:r>
    </w:p>
    <w:p>
      <w:pPr>
        <w:spacing w:after="0" w:line="170" w:lineRule="exact"/>
        <w:rPr>
          <w:rFonts w:ascii="Arial" w:cs="Arial" w:eastAsia="Arial" w:hAnsi="Arial"/>
          <w:sz w:val="18"/>
          <w:szCs w:val="18"/>
          <w:color w:val="auto"/>
        </w:rPr>
      </w:pPr>
    </w:p>
    <w:p>
      <w:pPr>
        <w:jc w:val="both"/>
        <w:ind w:left="420" w:hanging="3"/>
        <w:spacing w:after="0" w:line="254" w:lineRule="auto"/>
        <w:tabs>
          <w:tab w:leader="none" w:pos="685" w:val="left"/>
        </w:tabs>
        <w:numPr>
          <w:ilvl w:val="1"/>
          <w:numId w:val="226"/>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expended by Indemnitee or charged to him by a court, in a proceeding instituted against him by the Company or on its behalf or by another person, or in a criminal charge from which he was acquitted or in any criminal proceeding of a crime which does not require proof of mens rea (criminal intent) in which the Indemnitee is convicted, or due to an investigation or a proceeding conducted against him by an authority authorized to conduct an investigation or a proceeding, pursuant to which no indictment was filed against him and no monetary liability was imposed on him as an alternative to a criminal proceeding, or due to an investigation or a proceeding conducted against him by an authority authorized to conduct an investigation or a proceeding, pursuant to which no indictment was filed against him but a monetary liability was imposed on him as an alternative to a criminal proceeding, for a crime which does not require a finding of mens rea (criminal intent) (collectively referred to hereinafter as a "</w:t>
      </w:r>
      <w:r>
        <w:rPr>
          <w:rFonts w:ascii="Arial" w:cs="Arial" w:eastAsia="Arial" w:hAnsi="Arial"/>
          <w:sz w:val="18"/>
          <w:szCs w:val="18"/>
          <w:b w:val="1"/>
          <w:bCs w:val="1"/>
          <w:color w:val="auto"/>
        </w:rPr>
        <w:t>Claim</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420" w:hanging="3"/>
        <w:spacing w:after="0" w:line="264" w:lineRule="auto"/>
        <w:tabs>
          <w:tab w:leader="none" w:pos="745"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 payment which Indemnitee is obligated to make to an injured party as set forth in Section 52(54)(a)(1)(a) of the Israeli Securities Law, 1968, as amended (the "</w:t>
      </w:r>
      <w:r>
        <w:rPr>
          <w:rFonts w:ascii="Arial" w:cs="Arial" w:eastAsia="Arial" w:hAnsi="Arial"/>
          <w:sz w:val="18"/>
          <w:szCs w:val="18"/>
          <w:b w:val="1"/>
          <w:bCs w:val="1"/>
          <w:color w:val="auto"/>
        </w:rPr>
        <w:t>Securities Law</w:t>
      </w:r>
      <w:r>
        <w:rPr>
          <w:rFonts w:ascii="Arial" w:cs="Arial" w:eastAsia="Arial" w:hAnsi="Arial"/>
          <w:sz w:val="18"/>
          <w:szCs w:val="18"/>
          <w:color w:val="auto"/>
        </w:rPr>
        <w:t>"), if applicable, and expenses that Indemnitee incurs in connection with a proceeding under Chapters H'3, H'4 or I'1 of the Securities Law, if applicable, including reasonable legal expenses, which term includes attorney fees; and</w:t>
      </w:r>
    </w:p>
    <w:p>
      <w:pPr>
        <w:spacing w:after="0" w:line="181" w:lineRule="exact"/>
        <w:rPr>
          <w:rFonts w:ascii="Arial" w:cs="Arial" w:eastAsia="Arial" w:hAnsi="Arial"/>
          <w:sz w:val="18"/>
          <w:szCs w:val="18"/>
          <w:color w:val="auto"/>
        </w:rPr>
      </w:pPr>
    </w:p>
    <w:p>
      <w:pPr>
        <w:ind w:left="420" w:hanging="3"/>
        <w:spacing w:after="0" w:line="277" w:lineRule="auto"/>
        <w:tabs>
          <w:tab w:leader="none" w:pos="74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other obligation or expense in respect of which it is permitted or will be permitted under the Companies Law, 5759-1999, to indemnify an officer or director, subject to and in accordance with all applicable law.</w:t>
      </w:r>
    </w:p>
    <w:p>
      <w:pPr>
        <w:spacing w:after="0" w:line="170"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 xml:space="preserve">The above indemnification will also apply to any action taken by the Indemnitee in his capacity as a director and/or officer of any other company controlled, directly or indirectly, by the Company (a </w:t>
      </w:r>
      <w:r>
        <w:rPr>
          <w:rFonts w:ascii="Arial" w:cs="Arial" w:eastAsia="Arial" w:hAnsi="Arial"/>
          <w:sz w:val="18"/>
          <w:szCs w:val="18"/>
          <w:b w:val="1"/>
          <w:bCs w:val="1"/>
          <w:color w:val="auto"/>
        </w:rPr>
        <w:t>“Subsidiary”</w:t>
      </w:r>
      <w:r>
        <w:rPr>
          <w:rFonts w:ascii="Arial" w:cs="Arial" w:eastAsia="Arial" w:hAnsi="Arial"/>
          <w:sz w:val="18"/>
          <w:szCs w:val="18"/>
          <w:color w:val="auto"/>
        </w:rPr>
        <w:t>) or in his capacity as a director, officer or observer at board of directors’ meetings, of a company not controlled by the Company but where his appointment as a director, officer or observer results from the Company’s holdings in such company (</w:t>
      </w:r>
      <w:r>
        <w:rPr>
          <w:rFonts w:ascii="Arial" w:cs="Arial" w:eastAsia="Arial" w:hAnsi="Arial"/>
          <w:sz w:val="18"/>
          <w:szCs w:val="18"/>
          <w:b w:val="1"/>
          <w:bCs w:val="1"/>
          <w:color w:val="auto"/>
        </w:rPr>
        <w:t>“Affiliate”</w:t>
      </w:r>
      <w:r>
        <w:rPr>
          <w:rFonts w:ascii="Arial" w:cs="Arial" w:eastAsia="Arial" w:hAnsi="Arial"/>
          <w:sz w:val="18"/>
          <w:szCs w:val="18"/>
          <w:color w:val="auto"/>
        </w:rPr>
        <w:t>).</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{Exhibit 10.4 -- Form of Indemnification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2"/>
          <w:szCs w:val="22"/>
          <w:color w:val="auto"/>
        </w:rPr>
        <w:t>- 2 -</w:t>
      </w:r>
    </w:p>
    <w:p>
      <w:pPr>
        <w:spacing w:after="0" w:line="389" w:lineRule="exact"/>
        <w:rPr>
          <w:sz w:val="20"/>
          <w:szCs w:val="20"/>
          <w:color w:val="auto"/>
        </w:rPr>
      </w:pPr>
    </w:p>
    <w:p>
      <w:pPr>
        <w:jc w:val="both"/>
        <w:ind w:left="460" w:hanging="398"/>
        <w:spacing w:after="0" w:line="302" w:lineRule="auto"/>
        <w:tabs>
          <w:tab w:leader="none" w:pos="46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General Limitations on Indemnity</w:t>
      </w:r>
      <w:r>
        <w:rPr>
          <w:rFonts w:ascii="Arial" w:cs="Arial" w:eastAsia="Arial" w:hAnsi="Arial"/>
          <w:sz w:val="16"/>
          <w:szCs w:val="16"/>
          <w:color w:val="auto"/>
        </w:rPr>
        <w:t>. If, when and to the extent that a final judicial determination is made, as to which all rights of appeal therefrom have been exhausted or lapsed, the Indemnitee would not be permitted to be so indemnified as provided under this Agreement, the Company shall be entitled to be reimbursed by Indemnitee (who hereby agrees to reimburse the Company) for all such amounts theretofore paid. Indemnitee’s obligation to reimburse the Company for any advance expenses or other sums paid hereunder shall be unsecured and no interest shall be charged thereon.</w:t>
      </w:r>
    </w:p>
    <w:p>
      <w:pPr>
        <w:spacing w:after="0" w:line="154" w:lineRule="exact"/>
        <w:rPr>
          <w:rFonts w:ascii="Arial" w:cs="Arial" w:eastAsia="Arial" w:hAnsi="Arial"/>
          <w:sz w:val="16"/>
          <w:szCs w:val="16"/>
          <w:color w:val="auto"/>
        </w:rPr>
      </w:pPr>
    </w:p>
    <w:p>
      <w:pPr>
        <w:ind w:left="720" w:hanging="415"/>
        <w:spacing w:after="0"/>
        <w:tabs>
          <w:tab w:leader="none" w:pos="720"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Limitations on Indemnity</w:t>
      </w:r>
      <w:r>
        <w:rPr>
          <w:rFonts w:ascii="Arial" w:cs="Arial" w:eastAsia="Arial" w:hAnsi="Arial"/>
          <w:sz w:val="18"/>
          <w:szCs w:val="18"/>
          <w:color w:val="auto"/>
        </w:rPr>
        <w:t>.</w:t>
      </w:r>
    </w:p>
    <w:p>
      <w:pPr>
        <w:spacing w:after="0" w:line="225" w:lineRule="exact"/>
        <w:rPr>
          <w:sz w:val="20"/>
          <w:szCs w:val="20"/>
          <w:color w:val="auto"/>
        </w:rPr>
      </w:pPr>
    </w:p>
    <w:p>
      <w:pPr>
        <w:jc w:val="both"/>
        <w:ind w:left="920" w:hanging="499"/>
        <w:spacing w:after="0" w:line="291"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Company undertakes to indemnify Indemnitee, with respect to Section 1(i) above, and in accordance with the terms of this Agreement up to a total amount of US$</w:t>
      </w:r>
      <w:r>
        <w:rPr>
          <w:rFonts w:ascii="Arial" w:cs="Arial" w:eastAsia="Arial" w:hAnsi="Arial"/>
          <w:sz w:val="16"/>
          <w:szCs w:val="16"/>
          <w:color w:val="auto"/>
          <w:highlight w:val="yellow"/>
        </w:rPr>
        <w:t>__________</w:t>
      </w:r>
      <w:r>
        <w:rPr>
          <w:rFonts w:ascii="Arial" w:cs="Arial" w:eastAsia="Arial" w:hAnsi="Arial"/>
          <w:sz w:val="16"/>
          <w:szCs w:val="16"/>
          <w:color w:val="auto"/>
        </w:rPr>
        <w:t xml:space="preserve"> (</w:t>
      </w:r>
      <w:r>
        <w:rPr>
          <w:rFonts w:ascii="Arial" w:cs="Arial" w:eastAsia="Arial" w:hAnsi="Arial"/>
          <w:sz w:val="16"/>
          <w:szCs w:val="16"/>
          <w:color w:val="auto"/>
          <w:highlight w:val="yellow"/>
        </w:rPr>
        <w:t>__________</w:t>
      </w:r>
      <w:r>
        <w:rPr>
          <w:rFonts w:ascii="Arial" w:cs="Arial" w:eastAsia="Arial" w:hAnsi="Arial"/>
          <w:sz w:val="16"/>
          <w:szCs w:val="16"/>
          <w:color w:val="auto"/>
        </w:rPr>
        <w:t xml:space="preserve"> United States Dollars) in the aggregate, under the circumstances of indemnification of</w:t>
      </w:r>
    </w:p>
    <w:p>
      <w:pPr>
        <w:ind w:left="920"/>
        <w:spacing w:after="0"/>
        <w:rPr>
          <w:sz w:val="20"/>
          <w:szCs w:val="20"/>
          <w:color w:val="auto"/>
        </w:rPr>
      </w:pPr>
      <w:r>
        <w:rPr>
          <w:rFonts w:ascii="Arial" w:cs="Arial" w:eastAsia="Arial" w:hAnsi="Arial"/>
          <w:sz w:val="18"/>
          <w:szCs w:val="18"/>
          <w:color w:val="auto"/>
        </w:rPr>
        <w:t>Indemnitee as set forth in this Agreement.</w:t>
      </w:r>
    </w:p>
    <w:p>
      <w:pPr>
        <w:spacing w:after="0" w:line="211" w:lineRule="exact"/>
        <w:rPr>
          <w:sz w:val="20"/>
          <w:szCs w:val="20"/>
          <w:color w:val="auto"/>
        </w:rPr>
      </w:pPr>
    </w:p>
    <w:p>
      <w:pPr>
        <w:jc w:val="both"/>
        <w:ind w:left="920" w:hanging="499"/>
        <w:spacing w:after="0" w:line="270"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Indemnitee shall not be entitled to indemnification under Section 1, for financial obligations imposed arising from any of the following: (i) a breach of the duty of fiduciary by Indemnitee, except, to the extent permitted by law, for a breach of the duty of fiduciary by the Indemnitee to the Company, a Subsidiary or an Affiliate while acting in good faith and having reasonable cause to assume that such act would not prejudice the interests of the Company, Subsidiary or Affiliate, as applicable; or (ii) a violation of the Indemnitee’s duty of care towards the Company, which was committed intentionally or recklessly, except if it was done in negligence only; or (iii) an act committed with the intention to realize a personal unlawful profit; or (iv) a fine or monetary penalty imposed on Indemnitee (excluding a fine or monetary penalty imposed pursuant to the conviction of a crime which requires proof of mens rea (criminal intent)); or (v) a counterclaim made by the Company or in its name in connection with a claim against the Company filed by Indemnitee, other than (a) by way of defense or by way of third party notice in connection with claim brought against the Indemnitee, or (b) in specific cases in which the Company’s Board of Directors has approved the initiation or bringing of such suit by Indemnitee, which approval shall not be unreasonably withheld.</w:t>
      </w:r>
    </w:p>
    <w:p>
      <w:pPr>
        <w:spacing w:after="0" w:line="178" w:lineRule="exact"/>
        <w:rPr>
          <w:sz w:val="20"/>
          <w:szCs w:val="20"/>
          <w:color w:val="auto"/>
        </w:rPr>
      </w:pPr>
    </w:p>
    <w:p>
      <w:pPr>
        <w:jc w:val="both"/>
        <w:ind w:left="920" w:hanging="499"/>
        <w:spacing w:after="0" w:line="264" w:lineRule="auto"/>
        <w:tabs>
          <w:tab w:leader="none" w:pos="900" w:val="left"/>
        </w:tabs>
        <w:rPr>
          <w:sz w:val="20"/>
          <w:szCs w:val="20"/>
          <w:color w:val="auto"/>
        </w:rPr>
      </w:pPr>
      <w:r>
        <w:rPr>
          <w:rFonts w:ascii="Arial" w:cs="Arial" w:eastAsia="Arial" w:hAnsi="Arial"/>
          <w:sz w:val="18"/>
          <w:szCs w:val="18"/>
          <w:color w:val="auto"/>
        </w:rPr>
        <w:t>3.3.</w:t>
        <w:tab/>
        <w:t>The indemnification amount actually paid shall be limited to those amounts not covered by the Company’s directors and officers insurance policy (the “</w:t>
      </w:r>
      <w:r>
        <w:rPr>
          <w:rFonts w:ascii="Arial" w:cs="Arial" w:eastAsia="Arial" w:hAnsi="Arial"/>
          <w:sz w:val="18"/>
          <w:szCs w:val="18"/>
          <w:b w:val="1"/>
          <w:bCs w:val="1"/>
          <w:color w:val="auto"/>
        </w:rPr>
        <w:t>D&amp;O Policy</w:t>
      </w:r>
      <w:r>
        <w:rPr>
          <w:rFonts w:ascii="Arial" w:cs="Arial" w:eastAsia="Arial" w:hAnsi="Arial"/>
          <w:sz w:val="18"/>
          <w:szCs w:val="18"/>
          <w:color w:val="auto"/>
        </w:rPr>
        <w:t>”), such that Indemnitee will not be entitled to payment from the Company for amounts which Indemnitee has actually obtained under the D&amp;O Policy.</w:t>
      </w:r>
    </w:p>
    <w:p>
      <w:pPr>
        <w:spacing w:after="0" w:line="181" w:lineRule="exact"/>
        <w:rPr>
          <w:sz w:val="20"/>
          <w:szCs w:val="20"/>
          <w:color w:val="auto"/>
        </w:rPr>
      </w:pPr>
    </w:p>
    <w:p>
      <w:pPr>
        <w:jc w:val="both"/>
        <w:ind w:left="920" w:hanging="499"/>
        <w:spacing w:after="0" w:line="277" w:lineRule="auto"/>
        <w:tabs>
          <w:tab w:leader="none" w:pos="900" w:val="left"/>
        </w:tabs>
        <w:rPr>
          <w:sz w:val="20"/>
          <w:szCs w:val="20"/>
          <w:color w:val="auto"/>
        </w:rPr>
      </w:pPr>
      <w:r>
        <w:rPr>
          <w:rFonts w:ascii="Arial" w:cs="Arial" w:eastAsia="Arial" w:hAnsi="Arial"/>
          <w:sz w:val="18"/>
          <w:szCs w:val="18"/>
          <w:color w:val="auto"/>
        </w:rPr>
        <w:t>3.4.</w:t>
        <w:tab/>
        <w:t>Subject to the provisions of this Section 3, the indemnification hereunder will, in each case, cover all sums of money that the Indemnitee will be obligated to pay, in those circumstances for which indemnification is permitted under the law.</w:t>
      </w:r>
    </w:p>
    <w:p>
      <w:pPr>
        <w:spacing w:after="0" w:line="17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The Company will be entitled to reimbursement of amounts collected from a third party in connection with liabilities indemnified hereunder.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reimbursement shall not exceed the amount the Company has paid to the Indemnitee.</w:t>
      </w:r>
    </w:p>
    <w:p>
      <w:pPr>
        <w:spacing w:after="0" w:line="211" w:lineRule="exact"/>
        <w:rPr>
          <w:sz w:val="20"/>
          <w:szCs w:val="20"/>
          <w:color w:val="auto"/>
        </w:rPr>
      </w:pPr>
    </w:p>
    <w:p>
      <w:pPr>
        <w:jc w:val="both"/>
        <w:ind w:left="420" w:hanging="412"/>
        <w:spacing w:after="0" w:line="264" w:lineRule="auto"/>
        <w:tabs>
          <w:tab w:leader="none" w:pos="42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Limitation of Categories of Claims</w:t>
      </w:r>
      <w:r>
        <w:rPr>
          <w:rFonts w:ascii="Arial" w:cs="Arial" w:eastAsia="Arial" w:hAnsi="Arial"/>
          <w:sz w:val="18"/>
          <w:szCs w:val="18"/>
          <w:color w:val="auto"/>
        </w:rPr>
        <w:t>. The indemnification pursuant to Section 1(i) above, shall only relate to liabilities arising in connection with acts or omissions of Indemnitee in respect of the following events and circumstances which are deemed by the Company's Board of Directors to be foreseeable at the date hereof:</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{Exhibit 10.4 -- Form of Indemnification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22"/>
          <w:szCs w:val="22"/>
          <w:color w:val="auto"/>
        </w:rPr>
        <w:t>- 3 -</w:t>
      </w:r>
    </w:p>
    <w:p>
      <w:pPr>
        <w:spacing w:after="0" w:line="200" w:lineRule="exact"/>
        <w:rPr>
          <w:sz w:val="20"/>
          <w:szCs w:val="20"/>
          <w:color w:val="auto"/>
        </w:rPr>
      </w:pPr>
    </w:p>
    <w:p>
      <w:pPr>
        <w:spacing w:after="0" w:line="216" w:lineRule="exact"/>
        <w:rPr>
          <w:sz w:val="20"/>
          <w:szCs w:val="20"/>
          <w:color w:val="auto"/>
        </w:rPr>
      </w:pPr>
    </w:p>
    <w:p>
      <w:pPr>
        <w:jc w:val="both"/>
        <w:ind w:left="920" w:hanging="499"/>
        <w:spacing w:after="0" w:line="264" w:lineRule="auto"/>
        <w:tabs>
          <w:tab w:leader="none" w:pos="900" w:val="left"/>
        </w:tabs>
        <w:rPr>
          <w:sz w:val="20"/>
          <w:szCs w:val="20"/>
          <w:color w:val="auto"/>
        </w:rPr>
      </w:pPr>
      <w:r>
        <w:rPr>
          <w:rFonts w:ascii="Arial" w:cs="Arial" w:eastAsia="Arial" w:hAnsi="Arial"/>
          <w:sz w:val="18"/>
          <w:szCs w:val="18"/>
          <w:color w:val="auto"/>
        </w:rPr>
        <w:t>4.1.</w:t>
        <w:tab/>
        <w:t>The offering of securities by the Company and/or by a shareholder thereof to the public and/or to private investors or the offer by the Company to purchase securities from the public and/or from private investors or other holders pursuant to a prospectus, agreements, notices, reports, tenders and/or other proceedings;</w:t>
      </w:r>
    </w:p>
    <w:p>
      <w:pPr>
        <w:spacing w:after="0" w:line="181" w:lineRule="exact"/>
        <w:rPr>
          <w:sz w:val="20"/>
          <w:szCs w:val="20"/>
          <w:color w:val="auto"/>
        </w:rPr>
      </w:pPr>
    </w:p>
    <w:p>
      <w:pPr>
        <w:jc w:val="both"/>
        <w:ind w:left="920" w:hanging="499"/>
        <w:spacing w:after="0" w:line="259" w:lineRule="auto"/>
        <w:tabs>
          <w:tab w:leader="none" w:pos="900" w:val="left"/>
        </w:tabs>
        <w:rPr>
          <w:sz w:val="20"/>
          <w:szCs w:val="20"/>
          <w:color w:val="auto"/>
        </w:rPr>
      </w:pPr>
      <w:r>
        <w:rPr>
          <w:rFonts w:ascii="Arial" w:cs="Arial" w:eastAsia="Arial" w:hAnsi="Arial"/>
          <w:sz w:val="18"/>
          <w:szCs w:val="18"/>
          <w:color w:val="auto"/>
        </w:rPr>
        <w:t>4.2.</w:t>
        <w:tab/>
        <w:t>Occurrences in connection with investments in or by the Company and/or Subsidiary and/or Affiliate in other corporations whether before and/or after the investment is made, entering into the transaction, the execution, development and monitoring thereof, including actions taken by the Indemnitee in the name of the Company and/or Subsidiary and/or Affiliate as a director, officer, employee and/or board observer of the corporation which is the subject of the transaction and the like;</w:t>
      </w:r>
    </w:p>
    <w:p>
      <w:pPr>
        <w:spacing w:after="0" w:line="187" w:lineRule="exact"/>
        <w:rPr>
          <w:sz w:val="20"/>
          <w:szCs w:val="20"/>
          <w:color w:val="auto"/>
        </w:rPr>
      </w:pPr>
    </w:p>
    <w:p>
      <w:pPr>
        <w:jc w:val="both"/>
        <w:ind w:left="920" w:hanging="499"/>
        <w:spacing w:after="0" w:line="277" w:lineRule="auto"/>
        <w:tabs>
          <w:tab w:leader="none" w:pos="900" w:val="left"/>
        </w:tabs>
        <w:rPr>
          <w:sz w:val="20"/>
          <w:szCs w:val="20"/>
          <w:color w:val="auto"/>
        </w:rPr>
      </w:pPr>
      <w:r>
        <w:rPr>
          <w:rFonts w:ascii="Arial" w:cs="Arial" w:eastAsia="Arial" w:hAnsi="Arial"/>
          <w:sz w:val="18"/>
          <w:szCs w:val="18"/>
          <w:color w:val="auto"/>
        </w:rPr>
        <w:t>4.3.</w:t>
        <w:tab/>
        <w:t>The sale, purchase and holding of negotiable securities or other investments for or in the name of the Company and/or Subsidiary and/or Affiliate;</w:t>
      </w:r>
    </w:p>
    <w:p>
      <w:pPr>
        <w:spacing w:after="0" w:line="17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Actions in connection with the merger of the Company and/or any Subsidiary and/or any Affiliate with or into another entity;</w:t>
      </w:r>
    </w:p>
    <w:p>
      <w:pPr>
        <w:spacing w:after="0" w:line="225"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Actions in connection with the sale of the operations, assets and/or business, or part thereof, of the Company and/or Subsidiary and/or Affiliate;</w:t>
      </w:r>
    </w:p>
    <w:p>
      <w:pPr>
        <w:spacing w:after="0" w:line="225" w:lineRule="exact"/>
        <w:rPr>
          <w:sz w:val="20"/>
          <w:szCs w:val="20"/>
          <w:color w:val="auto"/>
        </w:rPr>
      </w:pPr>
    </w:p>
    <w:p>
      <w:pPr>
        <w:jc w:val="both"/>
        <w:ind w:left="920" w:hanging="499"/>
        <w:spacing w:after="0" w:line="264" w:lineRule="auto"/>
        <w:tabs>
          <w:tab w:leader="none" w:pos="900" w:val="left"/>
        </w:tabs>
        <w:rPr>
          <w:sz w:val="20"/>
          <w:szCs w:val="20"/>
          <w:color w:val="auto"/>
        </w:rPr>
      </w:pPr>
      <w:r>
        <w:rPr>
          <w:rFonts w:ascii="Arial" w:cs="Arial" w:eastAsia="Arial" w:hAnsi="Arial"/>
          <w:sz w:val="18"/>
          <w:szCs w:val="18"/>
          <w:color w:val="auto"/>
        </w:rPr>
        <w:t>4.6.</w:t>
        <w:tab/>
        <w:t>Without derogating from the generality of the above, actions in connection with the purchase or sale of companies, legal entities or assets, licensing or acquisition of rights in products, assets or technologies of other persons or legal entities, and the sale, licensing or grant of license in the same to other persons or legal entities, and the division or consolidation thereof;</w:t>
      </w:r>
    </w:p>
    <w:p>
      <w:pPr>
        <w:spacing w:after="0" w:line="181" w:lineRule="exact"/>
        <w:rPr>
          <w:sz w:val="20"/>
          <w:szCs w:val="20"/>
          <w:color w:val="auto"/>
        </w:rPr>
      </w:pPr>
    </w:p>
    <w:p>
      <w:pPr>
        <w:jc w:val="both"/>
        <w:ind w:left="920" w:hanging="499"/>
        <w:spacing w:after="0" w:line="264" w:lineRule="auto"/>
        <w:tabs>
          <w:tab w:leader="none" w:pos="900" w:val="left"/>
        </w:tabs>
        <w:rPr>
          <w:sz w:val="20"/>
          <w:szCs w:val="20"/>
          <w:color w:val="auto"/>
        </w:rPr>
      </w:pPr>
      <w:r>
        <w:rPr>
          <w:rFonts w:ascii="Arial" w:cs="Arial" w:eastAsia="Arial" w:hAnsi="Arial"/>
          <w:sz w:val="18"/>
          <w:szCs w:val="18"/>
          <w:color w:val="auto"/>
        </w:rPr>
        <w:t>4.7.</w:t>
        <w:tab/>
        <w:t>Actions taken in connection with labor relations and/or employment matters (including employment-related benefits) in the Company and/or Subsidiary and/or Affiliate and trade relations of the Company and/or Subsidiary and/or Affiliate, including with employees, independent contractors, customers, suppliers and various service providers;</w:t>
      </w:r>
    </w:p>
    <w:p>
      <w:pPr>
        <w:spacing w:after="0" w:line="181" w:lineRule="exact"/>
        <w:rPr>
          <w:sz w:val="20"/>
          <w:szCs w:val="20"/>
          <w:color w:val="auto"/>
        </w:rPr>
      </w:pPr>
    </w:p>
    <w:p>
      <w:pPr>
        <w:jc w:val="both"/>
        <w:ind w:left="920" w:hanging="499"/>
        <w:spacing w:after="0" w:line="286" w:lineRule="auto"/>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Actions in connection with the developing, testing and manufacturing of products (including a third party’s products, solutions and technologies) by the Company and/or Subsidiary and/or Affiliate or in connection with the distribution, sale, license or use of such products, solutions or technologies, and management of projects whether of the Company and/or Subsidiary and/or affiliate and/or any third party;</w:t>
      </w:r>
    </w:p>
    <w:p>
      <w:pPr>
        <w:spacing w:after="0" w:line="166" w:lineRule="exact"/>
        <w:rPr>
          <w:sz w:val="20"/>
          <w:szCs w:val="20"/>
          <w:color w:val="auto"/>
        </w:rPr>
      </w:pPr>
    </w:p>
    <w:p>
      <w:pPr>
        <w:jc w:val="both"/>
        <w:ind w:left="920" w:right="20" w:hanging="499"/>
        <w:spacing w:after="0" w:line="277" w:lineRule="auto"/>
        <w:tabs>
          <w:tab w:leader="none" w:pos="900" w:val="left"/>
        </w:tabs>
        <w:rPr>
          <w:sz w:val="20"/>
          <w:szCs w:val="20"/>
          <w:color w:val="auto"/>
        </w:rPr>
      </w:pPr>
      <w:r>
        <w:rPr>
          <w:rFonts w:ascii="Arial" w:cs="Arial" w:eastAsia="Arial" w:hAnsi="Arial"/>
          <w:sz w:val="18"/>
          <w:szCs w:val="18"/>
          <w:color w:val="auto"/>
        </w:rPr>
        <w:t>4.9.</w:t>
        <w:tab/>
        <w:t>Actions relating to the promotion, offering and/or support of the products, solutions and technologies in the fields of operation of the Company, any of its Subsidiaries or Affiliates as shall exist from time to time.</w:t>
      </w:r>
    </w:p>
    <w:p>
      <w:pPr>
        <w:spacing w:after="0" w:line="170" w:lineRule="exact"/>
        <w:rPr>
          <w:sz w:val="20"/>
          <w:szCs w:val="20"/>
          <w:color w:val="auto"/>
        </w:rPr>
      </w:pPr>
    </w:p>
    <w:p>
      <w:pPr>
        <w:jc w:val="both"/>
        <w:ind w:left="920" w:hanging="499"/>
        <w:spacing w:after="0" w:line="257" w:lineRule="auto"/>
        <w:tabs>
          <w:tab w:leader="none" w:pos="900" w:val="left"/>
        </w:tabs>
        <w:rPr>
          <w:sz w:val="20"/>
          <w:szCs w:val="20"/>
          <w:color w:val="auto"/>
        </w:rPr>
      </w:pPr>
      <w:r>
        <w:rPr>
          <w:rFonts w:ascii="Arial" w:cs="Arial" w:eastAsia="Arial" w:hAnsi="Arial"/>
          <w:sz w:val="18"/>
          <w:szCs w:val="18"/>
          <w:color w:val="auto"/>
        </w:rPr>
        <w:t>4.10.</w:t>
        <w:tab/>
        <w:t>Actions taken in connection with the intellectual property of the Company and/or Subsidiary and/or Affiliate and its protection, including the registration or assertion of rights to intellectual property and the defense of claims related to intellectual property or any claim or demand made for actual or alleged infringement, misappropriation, or misuse of any third party's intellectual property rights by the Company, its Subsidiaries or Affiliates, including without limitation confidential information, patents, copyrights, design rights, service marks, trade secrets, copyrights, and misappropriation of ideas by the Company, its Subsidiaries or Affiliates;</w:t>
      </w:r>
    </w:p>
    <w:p>
      <w:pPr>
        <w:spacing w:after="0" w:line="188" w:lineRule="exact"/>
        <w:rPr>
          <w:sz w:val="20"/>
          <w:szCs w:val="20"/>
          <w:color w:val="auto"/>
        </w:rPr>
      </w:pPr>
    </w:p>
    <w:p>
      <w:pPr>
        <w:jc w:val="both"/>
        <w:ind w:left="920" w:hanging="499"/>
        <w:spacing w:after="0" w:line="264" w:lineRule="auto"/>
        <w:tabs>
          <w:tab w:leader="none" w:pos="900" w:val="left"/>
        </w:tabs>
        <w:rPr>
          <w:sz w:val="20"/>
          <w:szCs w:val="20"/>
          <w:color w:val="auto"/>
        </w:rPr>
      </w:pPr>
      <w:r>
        <w:rPr>
          <w:rFonts w:ascii="Arial" w:cs="Arial" w:eastAsia="Arial" w:hAnsi="Arial"/>
          <w:sz w:val="18"/>
          <w:szCs w:val="18"/>
          <w:color w:val="auto"/>
        </w:rPr>
        <w:t>4.11.</w:t>
        <w:tab/>
        <w:t>Actions taken pursuant to or in accordance with the policies and procedures of the Company and/or Subsidiary and/or Affiliate, that have been decided upon, whether such policies and procedures are published or not, and actions relating to the operations and management of the Company and/or of any Subsidiaries and/or Affiliates.</w:t>
      </w:r>
    </w:p>
    <w:p>
      <w:pPr>
        <w:spacing w:after="0" w:line="181" w:lineRule="exact"/>
        <w:rPr>
          <w:sz w:val="20"/>
          <w:szCs w:val="20"/>
          <w:color w:val="auto"/>
        </w:rPr>
      </w:pPr>
    </w:p>
    <w:p>
      <w:pPr>
        <w:jc w:val="both"/>
        <w:ind w:left="920" w:hanging="499"/>
        <w:spacing w:after="0" w:line="277" w:lineRule="auto"/>
        <w:tabs>
          <w:tab w:leader="none" w:pos="900" w:val="left"/>
        </w:tabs>
        <w:rPr>
          <w:sz w:val="20"/>
          <w:szCs w:val="20"/>
          <w:color w:val="auto"/>
        </w:rPr>
      </w:pPr>
      <w:r>
        <w:rPr>
          <w:rFonts w:ascii="Arial" w:cs="Arial" w:eastAsia="Arial" w:hAnsi="Arial"/>
          <w:sz w:val="18"/>
          <w:szCs w:val="18"/>
          <w:color w:val="auto"/>
        </w:rPr>
        <w:t>4.12.</w:t>
        <w:tab/>
        <w:t>Occurrences resulting from the Company’s and/or Subsidiary’s and/or Affiliate’s status as a public company, and/or from the fact that the Company’s securities were offered to the public and/or are traded on a stock exchange, whether in the U.S. or elsewhere;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{Exhibit 10.4 -- Form of Indemnification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22"/>
          <w:szCs w:val="22"/>
          <w:color w:val="auto"/>
        </w:rPr>
        <w:t>- 4 -</w:t>
      </w:r>
    </w:p>
    <w:p>
      <w:pPr>
        <w:spacing w:after="0" w:line="200" w:lineRule="exact"/>
        <w:rPr>
          <w:sz w:val="20"/>
          <w:szCs w:val="20"/>
          <w:color w:val="auto"/>
        </w:rPr>
      </w:pPr>
    </w:p>
    <w:p>
      <w:pPr>
        <w:spacing w:after="0" w:line="216" w:lineRule="exact"/>
        <w:rPr>
          <w:sz w:val="20"/>
          <w:szCs w:val="20"/>
          <w:color w:val="auto"/>
        </w:rPr>
      </w:pPr>
    </w:p>
    <w:p>
      <w:pPr>
        <w:jc w:val="both"/>
        <w:ind w:left="920" w:right="20" w:hanging="499"/>
        <w:spacing w:after="0" w:line="277" w:lineRule="auto"/>
        <w:tabs>
          <w:tab w:leader="none" w:pos="900" w:val="left"/>
        </w:tabs>
        <w:rPr>
          <w:sz w:val="20"/>
          <w:szCs w:val="20"/>
          <w:color w:val="auto"/>
        </w:rPr>
      </w:pPr>
      <w:r>
        <w:rPr>
          <w:rFonts w:ascii="Arial" w:cs="Arial" w:eastAsia="Arial" w:hAnsi="Arial"/>
          <w:sz w:val="18"/>
          <w:szCs w:val="18"/>
          <w:color w:val="auto"/>
        </w:rPr>
        <w:t>4.13.</w:t>
        <w:tab/>
        <w:t>Any claim or demand made by any lenders or other creditors or for monies borrowed by, or other indebtedness of, the Company and\or Subsidiary and/or any Affiliate.</w:t>
      </w:r>
    </w:p>
    <w:p>
      <w:pPr>
        <w:spacing w:after="0" w:line="170" w:lineRule="exact"/>
        <w:rPr>
          <w:sz w:val="20"/>
          <w:szCs w:val="20"/>
          <w:color w:val="auto"/>
        </w:rPr>
      </w:pPr>
    </w:p>
    <w:p>
      <w:pPr>
        <w:jc w:val="both"/>
        <w:ind w:left="920" w:hanging="499"/>
        <w:spacing w:after="0" w:line="264" w:lineRule="auto"/>
        <w:tabs>
          <w:tab w:leader="none" w:pos="900" w:val="left"/>
        </w:tabs>
        <w:rPr>
          <w:sz w:val="20"/>
          <w:szCs w:val="20"/>
          <w:color w:val="auto"/>
        </w:rPr>
      </w:pPr>
      <w:r>
        <w:rPr>
          <w:rFonts w:ascii="Arial" w:cs="Arial" w:eastAsia="Arial" w:hAnsi="Arial"/>
          <w:sz w:val="18"/>
          <w:szCs w:val="18"/>
          <w:color w:val="auto"/>
        </w:rPr>
        <w:t>4.14.</w:t>
        <w:tab/>
        <w:t>Any claim or demand made by any third party suffering any personal injury or damage to business or personal property through any act or omission attributed to the Company or its Subsidiaries or its Affiliates, or their respective employees, agents or other persons acting or allegedly acting on their behalf.</w:t>
      </w:r>
    </w:p>
    <w:p>
      <w:pPr>
        <w:spacing w:after="0" w:line="181" w:lineRule="exact"/>
        <w:rPr>
          <w:sz w:val="20"/>
          <w:szCs w:val="20"/>
          <w:color w:val="auto"/>
        </w:rPr>
      </w:pPr>
    </w:p>
    <w:p>
      <w:pPr>
        <w:jc w:val="both"/>
        <w:ind w:left="920" w:hanging="499"/>
        <w:spacing w:after="0" w:line="264" w:lineRule="auto"/>
        <w:tabs>
          <w:tab w:leader="none" w:pos="900" w:val="left"/>
        </w:tabs>
        <w:rPr>
          <w:sz w:val="20"/>
          <w:szCs w:val="20"/>
          <w:color w:val="auto"/>
        </w:rPr>
      </w:pPr>
      <w:r>
        <w:rPr>
          <w:rFonts w:ascii="Arial" w:cs="Arial" w:eastAsia="Arial" w:hAnsi="Arial"/>
          <w:sz w:val="18"/>
          <w:szCs w:val="18"/>
          <w:color w:val="auto"/>
        </w:rPr>
        <w:t>4.15.</w:t>
        <w:tab/>
        <w:t>Any claim or demand made by suppliers, contractors or other third parties transacting any form of business with the Company in the ordinary course of their respective businesses, relating to the negotiations or performance of such transactions, representations or inducements provided in connection thereto or otherwise.</w:t>
      </w:r>
    </w:p>
    <w:p>
      <w:pPr>
        <w:spacing w:after="0" w:line="181" w:lineRule="exact"/>
        <w:rPr>
          <w:sz w:val="20"/>
          <w:szCs w:val="20"/>
          <w:color w:val="auto"/>
        </w:rPr>
      </w:pPr>
    </w:p>
    <w:p>
      <w:pPr>
        <w:jc w:val="both"/>
        <w:ind w:left="920" w:right="20" w:hanging="499"/>
        <w:spacing w:after="0" w:line="308" w:lineRule="auto"/>
        <w:tabs>
          <w:tab w:leader="none" w:pos="9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7"/>
          <w:szCs w:val="17"/>
          <w:color w:val="auto"/>
        </w:rPr>
        <w:t>Any claim or demand made in connection with any transaction not in the ordinary course of business of either the Company or the party making such claim (including any transaction with directors or officers of the Company or any controlling shareholder of the Company).</w:t>
      </w:r>
    </w:p>
    <w:p>
      <w:pPr>
        <w:spacing w:after="0" w:line="147" w:lineRule="exact"/>
        <w:rPr>
          <w:sz w:val="20"/>
          <w:szCs w:val="20"/>
          <w:color w:val="auto"/>
        </w:rPr>
      </w:pPr>
    </w:p>
    <w:p>
      <w:pPr>
        <w:jc w:val="both"/>
        <w:ind w:left="920" w:hanging="499"/>
        <w:spacing w:after="0" w:line="297" w:lineRule="auto"/>
        <w:tabs>
          <w:tab w:leader="none" w:pos="9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Any claim or demand made directly or indirectly in connection with complete or partial failure, by the Company and\or Subsidiary and/or Affiliate, or their respective directors, officers and employees, to pay, report, keep applicable records or otherwise, any federal, state, municipal or foreign taxes or other mandatory payments of any nature whatsoever, including, without limitation, income, sales, use, transfer, excise, value added, registration, severance, stamp, occupation, customs, duties, real property, personal property, capital stock, social security, unemployment, disability, payroll or employee withholding or other withholding, including any interest, penalty or addition thereto, whether disputed or not.</w:t>
      </w:r>
    </w:p>
    <w:p>
      <w:pPr>
        <w:spacing w:after="0" w:line="158"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Any actions or decisions relating to insurance matters and/or risk management of the Company.</w:t>
      </w:r>
    </w:p>
    <w:p>
      <w:pPr>
        <w:spacing w:after="0" w:line="225" w:lineRule="exact"/>
        <w:rPr>
          <w:sz w:val="20"/>
          <w:szCs w:val="20"/>
          <w:color w:val="auto"/>
        </w:rPr>
      </w:pPr>
    </w:p>
    <w:p>
      <w:pPr>
        <w:jc w:val="both"/>
        <w:ind w:left="920" w:hanging="499"/>
        <w:spacing w:after="0" w:line="291" w:lineRule="auto"/>
        <w:tabs>
          <w:tab w:leader="none" w:pos="9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The filing of a report and/or announcement required by the Companies Law and/or any securities law which is applicable or may be applicable to the Company from time to time, including the U.S. Securities Laws, including the regulations pertaining to these laws, the Israeli Securities Law</w:t>
      </w:r>
    </w:p>
    <w:p>
      <w:pPr>
        <w:jc w:val="both"/>
        <w:ind w:left="920" w:hanging="7"/>
        <w:spacing w:after="0" w:line="255" w:lineRule="auto"/>
        <w:tabs>
          <w:tab w:leader="none" w:pos="103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1968, and/or according to rules and/or regulations adopted by the NASDAQ or any other stock exchange and/or securities market and/or any law of any other country pertaining to these issues and/or the failure to file such a report and/or announcement, and/or actions relating to tender offers of the Company, including actions relating to delivery of opinions in relation thereto.</w:t>
      </w:r>
    </w:p>
    <w:p>
      <w:pPr>
        <w:spacing w:after="0" w:line="190" w:lineRule="exact"/>
        <w:rPr>
          <w:sz w:val="20"/>
          <w:szCs w:val="20"/>
          <w:color w:val="auto"/>
        </w:rPr>
      </w:pPr>
    </w:p>
    <w:p>
      <w:pPr>
        <w:jc w:val="both"/>
        <w:ind w:left="920" w:right="20" w:hanging="499"/>
        <w:spacing w:after="0" w:line="277" w:lineRule="auto"/>
        <w:tabs>
          <w:tab w:leader="none" w:pos="900" w:val="left"/>
        </w:tabs>
        <w:rPr>
          <w:sz w:val="20"/>
          <w:szCs w:val="20"/>
          <w:color w:val="auto"/>
        </w:rPr>
      </w:pPr>
      <w:r>
        <w:rPr>
          <w:rFonts w:ascii="Arial" w:cs="Arial" w:eastAsia="Arial" w:hAnsi="Arial"/>
          <w:sz w:val="18"/>
          <w:szCs w:val="18"/>
          <w:color w:val="auto"/>
        </w:rPr>
        <w:t>4.20.</w:t>
        <w:tab/>
        <w:t>Any decision regarding a distribution, as defined in the Companies Law, including a distribution pursuant to a court order, and/or repurchase of shares or returns of capital or loans of the Company.</w:t>
      </w:r>
    </w:p>
    <w:p>
      <w:pPr>
        <w:spacing w:after="0" w:line="170" w:lineRule="exact"/>
        <w:rPr>
          <w:sz w:val="20"/>
          <w:szCs w:val="20"/>
          <w:color w:val="auto"/>
        </w:rPr>
      </w:pPr>
    </w:p>
    <w:p>
      <w:pPr>
        <w:jc w:val="both"/>
        <w:ind w:left="920" w:hanging="499"/>
        <w:spacing w:after="0" w:line="259" w:lineRule="auto"/>
        <w:tabs>
          <w:tab w:leader="none" w:pos="900" w:val="left"/>
        </w:tabs>
        <w:rPr>
          <w:sz w:val="20"/>
          <w:szCs w:val="20"/>
          <w:color w:val="auto"/>
        </w:rPr>
      </w:pPr>
      <w:r>
        <w:rPr>
          <w:rFonts w:ascii="Arial" w:cs="Arial" w:eastAsia="Arial" w:hAnsi="Arial"/>
          <w:sz w:val="18"/>
          <w:szCs w:val="18"/>
          <w:color w:val="auto"/>
        </w:rPr>
        <w:t>4.21.</w:t>
        <w:tab/>
        <w:t>Any actions in connection with the change in the Company's structure and/or a reorganization of the Company, including any arrangement between the Company and its shareholders and/or creditors according to the Companies Law, and/or any decision relating to these issues including, but not limited to, a change in the Company's capital, the establishment of subsidiaries and/or their liquidation or sale, and/or all allotments or distributions.</w:t>
      </w:r>
    </w:p>
    <w:p>
      <w:pPr>
        <w:spacing w:after="0" w:line="187"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Approval of corporate actions, including the approval of acts of the Company's management, its guidance and its supervision.</w:t>
      </w:r>
    </w:p>
    <w:p>
      <w:pPr>
        <w:spacing w:after="0" w:line="225" w:lineRule="exact"/>
        <w:rPr>
          <w:sz w:val="20"/>
          <w:szCs w:val="20"/>
          <w:color w:val="auto"/>
        </w:rPr>
      </w:pPr>
    </w:p>
    <w:p>
      <w:pPr>
        <w:jc w:val="both"/>
        <w:ind w:left="920" w:hanging="499"/>
        <w:spacing w:after="0" w:line="308" w:lineRule="auto"/>
        <w:tabs>
          <w:tab w:leader="none" w:pos="9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7"/>
          <w:szCs w:val="17"/>
          <w:color w:val="auto"/>
        </w:rPr>
        <w:t>Any claim or demand made in connection with any expression of opinion or saying made in good faith during the course of performance of duties and in connection with the performance of duties, including during meetings of the board of directors or committees of the Company;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{Exhibit 10.4 -- Form of Indemnification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2"/>
          <w:szCs w:val="22"/>
          <w:color w:val="auto"/>
        </w:rPr>
        <w:t>- 5 -</w:t>
      </w:r>
    </w:p>
    <w:p>
      <w:pPr>
        <w:spacing w:after="0" w:line="200" w:lineRule="exact"/>
        <w:rPr>
          <w:sz w:val="20"/>
          <w:szCs w:val="20"/>
          <w:color w:val="auto"/>
        </w:rPr>
      </w:pPr>
    </w:p>
    <w:p>
      <w:pPr>
        <w:spacing w:after="0" w:line="216" w:lineRule="exact"/>
        <w:rPr>
          <w:sz w:val="20"/>
          <w:szCs w:val="20"/>
          <w:color w:val="auto"/>
        </w:rPr>
      </w:pPr>
    </w:p>
    <w:p>
      <w:pPr>
        <w:jc w:val="both"/>
        <w:ind w:left="920" w:hanging="499"/>
        <w:spacing w:after="0" w:line="276" w:lineRule="auto"/>
        <w:tabs>
          <w:tab w:leader="none" w:pos="9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7"/>
          <w:szCs w:val="17"/>
          <w:color w:val="auto"/>
        </w:rPr>
        <w:t>Any administrative, regulatory or judicial actions, orders, decrees, suits, demands, demand letters, directives, claims, liens, investigations, proceedings or notices of noncompliance or violation by any governmental entity (in Israel or abroad), including the Office of the Chief Scientist or the Investment Center of the Israeli Ministry of Industry and Commerce, the Israeli Antitrust Authority or the Israel Securities Authority, or other person alleging the failure to comply with any statute, law, ordinance, rule, regulation, order or decree of any governmental entity applicable to the Company and/or Subsidiary, or any of their respective businesses or operations.</w:t>
      </w:r>
    </w:p>
    <w:p>
      <w:pPr>
        <w:spacing w:after="0" w:line="173" w:lineRule="exact"/>
        <w:rPr>
          <w:sz w:val="20"/>
          <w:szCs w:val="20"/>
          <w:color w:val="auto"/>
        </w:rPr>
      </w:pPr>
    </w:p>
    <w:p>
      <w:pPr>
        <w:jc w:val="both"/>
        <w:ind w:left="920" w:hanging="499"/>
        <w:spacing w:after="0" w:line="277" w:lineRule="auto"/>
        <w:tabs>
          <w:tab w:leader="none" w:pos="900" w:val="left"/>
        </w:tabs>
        <w:rPr>
          <w:sz w:val="20"/>
          <w:szCs w:val="20"/>
          <w:color w:val="auto"/>
        </w:rPr>
      </w:pPr>
      <w:r>
        <w:rPr>
          <w:rFonts w:ascii="Arial" w:cs="Arial" w:eastAsia="Arial" w:hAnsi="Arial"/>
          <w:sz w:val="18"/>
          <w:szCs w:val="18"/>
          <w:color w:val="auto"/>
        </w:rPr>
        <w:t>4.25.</w:t>
        <w:tab/>
        <w:t>Any claim or demand made by purchasers, holders, lessors or other users of products of the Company, for damages, losses or personal injuries related to such products.</w:t>
      </w:r>
    </w:p>
    <w:p>
      <w:pPr>
        <w:spacing w:after="0" w:line="170" w:lineRule="exact"/>
        <w:rPr>
          <w:sz w:val="20"/>
          <w:szCs w:val="20"/>
          <w:color w:val="auto"/>
        </w:rPr>
      </w:pPr>
    </w:p>
    <w:p>
      <w:pPr>
        <w:jc w:val="both"/>
        <w:ind w:left="920" w:hanging="499"/>
        <w:spacing w:after="0" w:line="277" w:lineRule="auto"/>
        <w:tabs>
          <w:tab w:leader="none" w:pos="900" w:val="left"/>
        </w:tabs>
        <w:rPr>
          <w:sz w:val="20"/>
          <w:szCs w:val="20"/>
          <w:color w:val="auto"/>
        </w:rPr>
      </w:pPr>
      <w:r>
        <w:rPr>
          <w:rFonts w:ascii="Arial" w:cs="Arial" w:eastAsia="Arial" w:hAnsi="Arial"/>
          <w:sz w:val="18"/>
          <w:szCs w:val="18"/>
          <w:color w:val="auto"/>
        </w:rPr>
        <w:t>4.26.</w:t>
        <w:tab/>
        <w:t>Any claim or demand made in connection with any preparation or formulation of work plans, including pricing, marketing, distribution, instructions to employees, customers and suppliers, and collaboration with competitors.</w:t>
      </w:r>
    </w:p>
    <w:p>
      <w:pPr>
        <w:spacing w:after="0" w:line="170" w:lineRule="exact"/>
        <w:rPr>
          <w:sz w:val="20"/>
          <w:szCs w:val="20"/>
          <w:color w:val="auto"/>
        </w:rPr>
      </w:pPr>
    </w:p>
    <w:p>
      <w:pPr>
        <w:jc w:val="both"/>
        <w:ind w:left="920" w:hanging="499"/>
        <w:spacing w:after="0" w:line="277" w:lineRule="auto"/>
        <w:tabs>
          <w:tab w:leader="none" w:pos="900" w:val="left"/>
        </w:tabs>
        <w:rPr>
          <w:sz w:val="20"/>
          <w:szCs w:val="20"/>
          <w:color w:val="auto"/>
        </w:rPr>
      </w:pPr>
      <w:r>
        <w:rPr>
          <w:rFonts w:ascii="Arial" w:cs="Arial" w:eastAsia="Arial" w:hAnsi="Arial"/>
          <w:sz w:val="18"/>
          <w:szCs w:val="18"/>
          <w:color w:val="auto"/>
        </w:rPr>
        <w:t>4.27.</w:t>
        <w:tab/>
        <w:t>Any acts in regard of invasion of privacy, participation and/or non-participation at Board meetings and/or voting and/or abstention from voting at Board meetings, approval of corporate actions, claims of failure to exercise business judgment.</w:t>
      </w:r>
    </w:p>
    <w:p>
      <w:pPr>
        <w:spacing w:after="0" w:line="17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Claims of failure to exercise business judgment and a reasonable level of proficiency, expertise and care in regard of the Company's business.</w:t>
      </w:r>
    </w:p>
    <w:p>
      <w:pPr>
        <w:spacing w:after="0" w:line="225"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6"/>
          <w:szCs w:val="16"/>
          <w:color w:val="auto"/>
        </w:rPr>
        <w:t>Violations of laws requiring the Company to obtain regulatory and governmental licenses, permits and authorizations in any jurisdiction.</w:t>
      </w:r>
    </w:p>
    <w:p>
      <w:pPr>
        <w:spacing w:after="0" w:line="225"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6"/>
          <w:szCs w:val="16"/>
          <w:color w:val="auto"/>
        </w:rPr>
        <w:t>Decisions and/or actions relating to environmental compliance, including pollution, contamination and hazardous materials.</w:t>
      </w:r>
    </w:p>
    <w:p>
      <w:pPr>
        <w:spacing w:after="0" w:line="225"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Granting of liens on Company assets and granting guarantees on behalf of the Company.</w:t>
      </w:r>
    </w:p>
    <w:p>
      <w:pPr>
        <w:spacing w:after="0" w:line="225" w:lineRule="exact"/>
        <w:rPr>
          <w:sz w:val="20"/>
          <w:szCs w:val="20"/>
          <w:color w:val="auto"/>
        </w:rPr>
      </w:pPr>
    </w:p>
    <w:p>
      <w:pPr>
        <w:jc w:val="both"/>
        <w:ind w:left="920" w:hanging="499"/>
        <w:spacing w:after="0" w:line="277" w:lineRule="auto"/>
        <w:tabs>
          <w:tab w:leader="none" w:pos="900" w:val="left"/>
        </w:tabs>
        <w:rPr>
          <w:sz w:val="20"/>
          <w:szCs w:val="20"/>
          <w:color w:val="auto"/>
        </w:rPr>
      </w:pPr>
      <w:r>
        <w:rPr>
          <w:rFonts w:ascii="Arial" w:cs="Arial" w:eastAsia="Arial" w:hAnsi="Arial"/>
          <w:sz w:val="18"/>
          <w:szCs w:val="18"/>
          <w:color w:val="auto"/>
        </w:rPr>
        <w:t>4.32.</w:t>
        <w:tab/>
        <w:t>Claims in connection with publishing or providing any information, including any filings with governmental authorities in the U.S., Israel and elsewhere, on behalf of the Company, in the circumstances required under applicable laws.</w:t>
      </w:r>
    </w:p>
    <w:p>
      <w:pPr>
        <w:spacing w:after="0" w:line="170" w:lineRule="exact"/>
        <w:rPr>
          <w:sz w:val="20"/>
          <w:szCs w:val="20"/>
          <w:color w:val="auto"/>
        </w:rPr>
      </w:pPr>
    </w:p>
    <w:p>
      <w:pPr>
        <w:jc w:val="both"/>
        <w:ind w:left="920" w:hanging="499"/>
        <w:spacing w:after="0" w:line="277" w:lineRule="auto"/>
        <w:tabs>
          <w:tab w:leader="none" w:pos="900" w:val="left"/>
        </w:tabs>
        <w:rPr>
          <w:sz w:val="20"/>
          <w:szCs w:val="20"/>
          <w:color w:val="auto"/>
        </w:rPr>
      </w:pPr>
      <w:r>
        <w:rPr>
          <w:rFonts w:ascii="Arial" w:cs="Arial" w:eastAsia="Arial" w:hAnsi="Arial"/>
          <w:sz w:val="18"/>
          <w:szCs w:val="18"/>
          <w:color w:val="auto"/>
        </w:rPr>
        <w:t>4.33.</w:t>
        <w:tab/>
        <w:t>Claims in connection with the preparation, approval or providing of any annual or quarterly financial statements, profit and loss statements, balance sheets and similar financial information or forecasts.</w:t>
      </w:r>
    </w:p>
    <w:p>
      <w:pPr>
        <w:spacing w:after="0" w:line="17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Any of the forgoing actions or decisions relating or otherwise applicable to any Subsidiary or Affiliate of the Company.</w:t>
      </w:r>
    </w:p>
    <w:p>
      <w:pPr>
        <w:spacing w:after="0" w:line="225" w:lineRule="exact"/>
        <w:rPr>
          <w:sz w:val="20"/>
          <w:szCs w:val="20"/>
          <w:color w:val="auto"/>
        </w:rPr>
      </w:pPr>
    </w:p>
    <w:p>
      <w:pPr>
        <w:jc w:val="both"/>
        <w:ind w:left="920" w:hanging="499"/>
        <w:spacing w:after="0" w:line="264" w:lineRule="auto"/>
        <w:tabs>
          <w:tab w:leader="none" w:pos="900" w:val="left"/>
        </w:tabs>
        <w:rPr>
          <w:sz w:val="20"/>
          <w:szCs w:val="20"/>
          <w:color w:val="auto"/>
        </w:rPr>
      </w:pPr>
      <w:r>
        <w:rPr>
          <w:rFonts w:ascii="Arial" w:cs="Arial" w:eastAsia="Arial" w:hAnsi="Arial"/>
          <w:sz w:val="18"/>
          <w:szCs w:val="18"/>
          <w:color w:val="auto"/>
        </w:rPr>
        <w:t>4.35.</w:t>
        <w:tab/>
        <w:t>Any claim or demand, not covered by any of the categories of events described above, which, pursuant to any applicable law, a director or officer of the Company may be held liable to any government or agency thereof, or any person or entity, in connection with actions taken by such director or officer in such capacity.</w:t>
      </w:r>
    </w:p>
    <w:p>
      <w:pPr>
        <w:spacing w:after="0" w:line="181" w:lineRule="exact"/>
        <w:rPr>
          <w:sz w:val="20"/>
          <w:szCs w:val="20"/>
          <w:color w:val="auto"/>
        </w:rPr>
      </w:pPr>
    </w:p>
    <w:p>
      <w:pPr>
        <w:jc w:val="both"/>
        <w:ind w:left="420" w:hanging="412"/>
        <w:spacing w:after="0" w:line="271" w:lineRule="auto"/>
        <w:tabs>
          <w:tab w:leader="none" w:pos="42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Expenses; Indemnification Procedure</w:t>
      </w:r>
      <w:r>
        <w:rPr>
          <w:rFonts w:ascii="Arial" w:cs="Arial" w:eastAsia="Arial" w:hAnsi="Arial"/>
          <w:sz w:val="17"/>
          <w:szCs w:val="17"/>
          <w:color w:val="auto"/>
        </w:rPr>
        <w:t>. The Company shall advance Indemnitee all expenses incurred by Indemnitee in connection with a Claim on the date on which such amounts are first payable (</w:t>
      </w:r>
      <w:r>
        <w:rPr>
          <w:rFonts w:ascii="Arial" w:cs="Arial" w:eastAsia="Arial" w:hAnsi="Arial"/>
          <w:sz w:val="17"/>
          <w:szCs w:val="17"/>
          <w:b w:val="1"/>
          <w:bCs w:val="1"/>
          <w:color w:val="auto"/>
        </w:rPr>
        <w:t>“Time of Indebtedness”</w:t>
      </w:r>
      <w:r>
        <w:rPr>
          <w:rFonts w:ascii="Arial" w:cs="Arial" w:eastAsia="Arial" w:hAnsi="Arial"/>
          <w:sz w:val="17"/>
          <w:szCs w:val="17"/>
          <w:color w:val="auto"/>
        </w:rPr>
        <w:t>), and with respect to items mentioned in Section 1(ii) above, even prior to a court decision, but has no duty to advance payments in less than twenty (20) days (but in any event not later than thirty (30) days) following delivery of a written request therefor by Indemnitee to the Company. Advances given to cover legal expenses in criminal proceedings will be repaid by Indemnitee to the Company, if such proceedings are concluded in such manner that would not have entitled the Indemnitee to indemnification under Section 1 above. Additionally, the Company shall make available to Indemnitee any securities and/or guarantees which Indemnitee will be required to provide in the framework of any action or proceeding and/or according to any interim decision, including arbitration proceedings, and including with respect to the exchange of any attachments imposed on Indemnitee's assets.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{Exhibit 10.4 -- Form of Indemnification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color w:val="auto"/>
        </w:rPr>
        <w:t>- 6 -</w:t>
      </w:r>
    </w:p>
    <w:p>
      <w:pPr>
        <w:spacing w:after="0" w:line="200" w:lineRule="exact"/>
        <w:rPr>
          <w:sz w:val="20"/>
          <w:szCs w:val="20"/>
          <w:color w:val="auto"/>
        </w:rPr>
      </w:pPr>
    </w:p>
    <w:p>
      <w:pPr>
        <w:spacing w:after="0" w:line="216" w:lineRule="exact"/>
        <w:rPr>
          <w:sz w:val="20"/>
          <w:szCs w:val="20"/>
          <w:color w:val="auto"/>
        </w:rPr>
      </w:pPr>
    </w:p>
    <w:p>
      <w:pPr>
        <w:ind w:left="460" w:hanging="398"/>
        <w:spacing w:after="0"/>
        <w:tabs>
          <w:tab w:leader="none" w:pos="460"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Notification and Defense of Claim</w:t>
      </w:r>
      <w:r>
        <w:rPr>
          <w:rFonts w:ascii="Arial" w:cs="Arial" w:eastAsia="Arial" w:hAnsi="Arial"/>
          <w:sz w:val="17"/>
          <w:szCs w:val="17"/>
          <w:color w:val="auto"/>
        </w:rPr>
        <w:t>. If any Claim is brought against Indemnitee in respect of which indemnity may be sought under this Agreement:</w:t>
      </w:r>
    </w:p>
    <w:p>
      <w:pPr>
        <w:spacing w:after="0" w:line="237" w:lineRule="exact"/>
        <w:rPr>
          <w:sz w:val="20"/>
          <w:szCs w:val="20"/>
          <w:color w:val="auto"/>
        </w:rPr>
      </w:pPr>
    </w:p>
    <w:p>
      <w:pPr>
        <w:jc w:val="both"/>
        <w:ind w:left="920" w:hanging="499"/>
        <w:spacing w:after="0" w:line="255" w:lineRule="auto"/>
        <w:tabs>
          <w:tab w:leader="none" w:pos="900" w:val="left"/>
        </w:tabs>
        <w:rPr>
          <w:sz w:val="20"/>
          <w:szCs w:val="20"/>
          <w:color w:val="auto"/>
        </w:rPr>
      </w:pPr>
      <w:r>
        <w:rPr>
          <w:rFonts w:ascii="Arial" w:cs="Arial" w:eastAsia="Arial" w:hAnsi="Arial"/>
          <w:sz w:val="18"/>
          <w:szCs w:val="18"/>
          <w:color w:val="auto"/>
        </w:rPr>
        <w:t>6.1.</w:t>
        <w:tab/>
        <w:t>The Indemnitee shall promptly notify the Company of any legal proceedings initiated and of all possible or threatened legal proceedings without delay following first becoming aware thereof, and the Indemnitee shall deliver to the Company, or to such person as it shall advise, without delay all documents received in connection with these proceedings. Similarly, the Indemnitee must advise the Company on an ongoing and current basis concerning all events which the Indemnitee suspects may give rise to the initiation of legal proceedings against the Indemnitee. Notice to the Company shall be directed to the Chief Executive Officer with a copy to the General Counsel and the Chief Financial Officer of the Company as per Section 19 hereof, or if the Indemnitee is then the Chief Executive Officer of the Company, such notice shall be directed to the Chairman of the Board and the other addressees.</w:t>
      </w:r>
    </w:p>
    <w:p>
      <w:pPr>
        <w:spacing w:after="0" w:line="189" w:lineRule="exact"/>
        <w:rPr>
          <w:sz w:val="20"/>
          <w:szCs w:val="20"/>
          <w:color w:val="auto"/>
        </w:rPr>
      </w:pPr>
    </w:p>
    <w:p>
      <w:pPr>
        <w:jc w:val="both"/>
        <w:ind w:left="920" w:hanging="499"/>
        <w:spacing w:after="0" w:line="285" w:lineRule="auto"/>
        <w:tabs>
          <w:tab w:leader="none" w:pos="9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Company will be entitled to participate therein at its own expense or to assume the defense thereof and to employ counsel reasonably satisfactory to Indemnitee. Indemnitee shall have the right to employ its own counsel in connection with any such Claim and to participate in the defense thereof, but the fees and expenses of such counsel shall be at the expense of Indemnitee unless: (i) the Company shall not have assumed the defense of the Claim, or (ii) the named parties to any such action (including any impleaded parties) include both Indemnitee and the Company, and Indemnitee shall have reasonably concluded that joint representation is inappropriate under applicable standards of professional conduct due to a conflict of interest between Indemnitee and the Company, in either of which events reasonable fees and expenses of such counsel to Indemnitee shall be borne by the Company. However, in no event will the Company be obligated to pay the fees or expenses of more than one firm of attorneys representing Indemnitee in connection with any one Claim or separate but substantially similar or related Claims in the same jurisdiction arising out of the same general allegations or circumstances. For the avoidance of doubt, in the case of criminal proceedings the Company and/or the attorneys as aforesaid will not have the right to plead guilty in Indemnitee’s name or to agree to a plea-bargain in his name without his prior written consent. Furthermore, in a civil proceeding (whether before a court or as a part of a compromise arrangement), the Company and/or its attorneys will not have the right to admit to any occurrences that are not indemnifiable pursuant to this Agreement and/or pursuant to law, without Indemnitee’s prior written consent. However, the aforesaid will not prevent the Company and/or its attorneys as aforesaid, with the approval of the Company, to come to a financial arrangement with a plaintiff in a civil proceeding without Indemnitee’s consent so long as such arrangement will not be an admittance of an occurrence not fully indemnifiable pursuant to this Agreement and/or pursuant to law and further provided that any such settlement or arrangement does not impose on Indemnitee any liability or limitation.</w:t>
      </w:r>
    </w:p>
    <w:p>
      <w:pPr>
        <w:spacing w:after="0" w:line="178" w:lineRule="exact"/>
        <w:rPr>
          <w:sz w:val="20"/>
          <w:szCs w:val="20"/>
          <w:color w:val="auto"/>
        </w:rPr>
      </w:pPr>
    </w:p>
    <w:p>
      <w:pPr>
        <w:jc w:val="both"/>
        <w:ind w:left="920" w:right="20" w:hanging="499"/>
        <w:spacing w:after="0" w:line="277" w:lineRule="auto"/>
        <w:tabs>
          <w:tab w:leader="none" w:pos="900" w:val="left"/>
        </w:tabs>
        <w:rPr>
          <w:sz w:val="20"/>
          <w:szCs w:val="20"/>
          <w:color w:val="auto"/>
        </w:rPr>
      </w:pPr>
      <w:r>
        <w:rPr>
          <w:rFonts w:ascii="Arial" w:cs="Arial" w:eastAsia="Arial" w:hAnsi="Arial"/>
          <w:sz w:val="18"/>
          <w:szCs w:val="18"/>
          <w:color w:val="auto"/>
        </w:rPr>
        <w:t>6.3.</w:t>
        <w:tab/>
        <w:t>The Company shall not be liable to indemnify Indemnitee for any amounts paid in settlement of any Claim effected without the Company's written consent. Indemnitee shall give the Company such information and cooperation as may be required.</w:t>
      </w:r>
    </w:p>
    <w:p>
      <w:pPr>
        <w:spacing w:after="0" w:line="170" w:lineRule="exact"/>
        <w:rPr>
          <w:sz w:val="20"/>
          <w:szCs w:val="20"/>
          <w:color w:val="auto"/>
        </w:rPr>
      </w:pPr>
    </w:p>
    <w:p>
      <w:pPr>
        <w:jc w:val="both"/>
        <w:ind w:left="920" w:hanging="499"/>
        <w:spacing w:after="0" w:line="259" w:lineRule="auto"/>
        <w:tabs>
          <w:tab w:leader="none" w:pos="900" w:val="left"/>
        </w:tabs>
        <w:rPr>
          <w:sz w:val="20"/>
          <w:szCs w:val="20"/>
          <w:color w:val="auto"/>
        </w:rPr>
      </w:pPr>
      <w:r>
        <w:rPr>
          <w:rFonts w:ascii="Arial" w:cs="Arial" w:eastAsia="Arial" w:hAnsi="Arial"/>
          <w:sz w:val="18"/>
          <w:szCs w:val="18"/>
          <w:color w:val="auto"/>
        </w:rPr>
        <w:t>6.4.</w:t>
        <w:tab/>
        <w:t>The Indemnitee will fully cooperate with the Company and/or any attorney as aforesaid in every reasonable way as may be required within the context of their conduct of such legal proceedings, including but not limited to the execution of power(s) of attorney and other documents, provided that the Company shall cover all costs incidental thereto such that the Indemnitee will not be required to pay the same or to finance the same himself.</w:t>
      </w:r>
    </w:p>
    <w:p>
      <w:pPr>
        <w:spacing w:after="0" w:line="187" w:lineRule="exact"/>
        <w:rPr>
          <w:sz w:val="20"/>
          <w:szCs w:val="20"/>
          <w:color w:val="auto"/>
        </w:rPr>
      </w:pPr>
    </w:p>
    <w:p>
      <w:pPr>
        <w:jc w:val="both"/>
        <w:ind w:left="420" w:hanging="412"/>
        <w:spacing w:after="0" w:line="259" w:lineRule="auto"/>
        <w:tabs>
          <w:tab w:leader="none" w:pos="42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from Company to Indemnitee, the Company shall be subrogated to the extent of such payment to all of the rights of recovery of Indemnitee, who shall execute all documents reasonably required and shall do everything that may be reasonably necessary to secure such rights, including the execution of such documents necessary to enable the Company effectively to bring suit to enforce such rights.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{Exhibit 10.4 -- Form of Indemnification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2"/>
          <w:szCs w:val="22"/>
          <w:color w:val="auto"/>
        </w:rPr>
        <w:t>- 7 -</w:t>
      </w:r>
    </w:p>
    <w:p>
      <w:pPr>
        <w:spacing w:after="0" w:line="200" w:lineRule="exact"/>
        <w:rPr>
          <w:sz w:val="20"/>
          <w:szCs w:val="20"/>
          <w:color w:val="auto"/>
        </w:rPr>
      </w:pPr>
    </w:p>
    <w:p>
      <w:pPr>
        <w:spacing w:after="0" w:line="216" w:lineRule="exact"/>
        <w:rPr>
          <w:sz w:val="20"/>
          <w:szCs w:val="20"/>
          <w:color w:val="auto"/>
        </w:rPr>
      </w:pPr>
    </w:p>
    <w:p>
      <w:pPr>
        <w:jc w:val="both"/>
        <w:ind w:left="460" w:hanging="398"/>
        <w:spacing w:after="0" w:line="268" w:lineRule="auto"/>
        <w:tabs>
          <w:tab w:leader="none" w:pos="460"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Primacy of Indemnification</w:t>
      </w:r>
      <w:r>
        <w:rPr>
          <w:rFonts w:ascii="Arial" w:cs="Arial" w:eastAsia="Arial" w:hAnsi="Arial"/>
          <w:sz w:val="17"/>
          <w:szCs w:val="17"/>
          <w:color w:val="auto"/>
        </w:rPr>
        <w:t>. The Company hereby acknowledges that Indemnitee has or may have certain rights to indemnification, advancement of expenses and/or insurance provided by the Indemnitee or by the party or parties who appointed the Indemnitee and certain of such party's affiliates (collectively, the “</w:t>
      </w:r>
      <w:r>
        <w:rPr>
          <w:rFonts w:ascii="Arial" w:cs="Arial" w:eastAsia="Arial" w:hAnsi="Arial"/>
          <w:sz w:val="17"/>
          <w:szCs w:val="17"/>
          <w:b w:val="1"/>
          <w:bCs w:val="1"/>
          <w:color w:val="auto"/>
        </w:rPr>
        <w:t>Appointing Party</w:t>
      </w:r>
      <w:r>
        <w:rPr>
          <w:rFonts w:ascii="Arial" w:cs="Arial" w:eastAsia="Arial" w:hAnsi="Arial"/>
          <w:sz w:val="17"/>
          <w:szCs w:val="17"/>
          <w:color w:val="auto"/>
        </w:rPr>
        <w:t>”). The Company hereby agrees, with respect to Indemnitee's right to indemnification pursuant hereto: (i) that the Company is the indemnitor of first resort (i.e., its obligations to Indemnitee are primary and any obligation of the Appointing Party or its (or the Indemnitee's) insurer to advance expenses or to provide indemnification for the same expenses or liabilities incurred by Indemnitee are secondary), (ii) that, subject to the provisions hereof, the Company shall be required to advance the full amount of expenses incurred by Indemnitee and indemnifiable hereunder and shall be liable for the full amount of all expenses, judgments, penalties, fines and amounts paid in settlement to the extent legally permitted and as required by the Company’s Articles Association (or any agreement between the Company and Indemnitee) all subject to the provisions hereof, without regard to any rights Indemnitee may have against the Appointing Party or its (or the Indemnitee's) insurer, and, (iii) that the Company irrevocably waives, relinquishes and releases the Appointing Party or its (or the Indemnitee's) insurer from any and all claims against the Appointing Party or its (or the Indemnitee's) insurer for contribution, subrogation or any other recovery of any kind in respect thereof. The Company further agrees that no advancement or payment by the Appointing Party or its (or the Indemnitee's) insurer on behalf of an Indemnitee with respect to any claim for which Indemnitee has sought indemnification from the Company shall affect the foregoing and the Appointing Party or its (or the Indemnitee's) insurer shall have a right of contribution and/or be subrogated to the extent of such advancement or payment to all of the rights of recovery of Indemnitee against the Company. The Company and the Indemnitee agree that the Appointing Party or its (or the Indemnitee's) insurer are express third party beneficiaries of the terms hereof.</w:t>
      </w:r>
    </w:p>
    <w:p>
      <w:pPr>
        <w:spacing w:after="0" w:line="180" w:lineRule="exact"/>
        <w:rPr>
          <w:rFonts w:ascii="Arial" w:cs="Arial" w:eastAsia="Arial" w:hAnsi="Arial"/>
          <w:sz w:val="17"/>
          <w:szCs w:val="17"/>
          <w:color w:val="auto"/>
        </w:rPr>
      </w:pPr>
    </w:p>
    <w:p>
      <w:pPr>
        <w:jc w:val="both"/>
        <w:ind w:left="460" w:hanging="398"/>
        <w:spacing w:after="0" w:line="264" w:lineRule="auto"/>
        <w:tabs>
          <w:tab w:leader="none" w:pos="46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the expenses actually or reasonably incurred by Indemnitee in connection with a Claim or Claims, but not, however, for the total amount thereof, the Company shall nevertheless indemnify Indemnitee for the portion of such expenses to which Indemnitee is entitled.</w:t>
      </w:r>
    </w:p>
    <w:p>
      <w:pPr>
        <w:spacing w:after="0" w:line="181" w:lineRule="exact"/>
        <w:rPr>
          <w:rFonts w:ascii="Arial" w:cs="Arial" w:eastAsia="Arial" w:hAnsi="Arial"/>
          <w:sz w:val="18"/>
          <w:szCs w:val="18"/>
          <w:color w:val="auto"/>
        </w:rPr>
      </w:pPr>
    </w:p>
    <w:p>
      <w:pPr>
        <w:jc w:val="both"/>
        <w:ind w:left="460" w:hanging="398"/>
        <w:spacing w:after="0" w:line="259" w:lineRule="auto"/>
        <w:tabs>
          <w:tab w:leader="none" w:pos="46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Except to the extent provided in Section 8 above, the Company will not indemnify Indemnitee for any liability with respect to which Indemnitee has received payment by virtue of an insurance policy or other indemnification agreement, other than for amounts, which are in excess of the amount paid to Indemnitee pursuant to such policy or agreement and other than a deductible payable by the Indemnitee under an insurance policy or indemnification agreement.</w:t>
      </w:r>
    </w:p>
    <w:p>
      <w:pPr>
        <w:spacing w:after="0" w:line="186" w:lineRule="exact"/>
        <w:rPr>
          <w:rFonts w:ascii="Arial" w:cs="Arial" w:eastAsia="Arial" w:hAnsi="Arial"/>
          <w:sz w:val="18"/>
          <w:szCs w:val="18"/>
          <w:color w:val="auto"/>
        </w:rPr>
      </w:pPr>
    </w:p>
    <w:p>
      <w:pPr>
        <w:ind w:left="460" w:hanging="398"/>
        <w:spacing w:after="0" w:line="277" w:lineRule="auto"/>
        <w:tabs>
          <w:tab w:leader="none" w:pos="46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Collection from a Third Party</w:t>
      </w:r>
      <w:r>
        <w:rPr>
          <w:rFonts w:ascii="Arial" w:cs="Arial" w:eastAsia="Arial" w:hAnsi="Arial"/>
          <w:sz w:val="18"/>
          <w:szCs w:val="18"/>
          <w:color w:val="auto"/>
        </w:rPr>
        <w:t>. The Company will be entitled to any amount collected from a third party in connection with a Claim or Claims actually indemnified hereunder by the Company.</w:t>
      </w:r>
    </w:p>
    <w:p>
      <w:pPr>
        <w:spacing w:after="0" w:line="170" w:lineRule="exact"/>
        <w:rPr>
          <w:rFonts w:ascii="Arial" w:cs="Arial" w:eastAsia="Arial" w:hAnsi="Arial"/>
          <w:sz w:val="18"/>
          <w:szCs w:val="18"/>
          <w:color w:val="auto"/>
        </w:rPr>
      </w:pPr>
    </w:p>
    <w:p>
      <w:pPr>
        <w:jc w:val="both"/>
        <w:ind w:left="460" w:hanging="398"/>
        <w:spacing w:after="0" w:line="259" w:lineRule="auto"/>
        <w:tabs>
          <w:tab w:leader="none" w:pos="46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The rights of the Indemnitee hereunder shall not be deemed exclusive of any other rights he may have under the Company’s Articles of Association or applicable law or otherwise, and to the extent that during the indemnification period hereunder the rights of the then existing directors and officers are more favorable to such directors or officers than the rights currently provided thereunder or under this Agreement to Indemnitee, Indemnitee shall be entitled to the full benefits of such more favorable rights.</w:t>
      </w:r>
    </w:p>
    <w:p>
      <w:pPr>
        <w:spacing w:after="0" w:line="186"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Exemption.</w:t>
      </w:r>
      <w:r>
        <w:rPr>
          <w:rFonts w:ascii="Arial" w:cs="Arial" w:eastAsia="Arial" w:hAnsi="Arial"/>
          <w:sz w:val="18"/>
          <w:szCs w:val="18"/>
          <w:color w:val="auto"/>
        </w:rPr>
        <w:t xml:space="preserve"> The Company hereby exempts Indemnitee, to the fullest extent permitted by law, from any liability, or any part of liability, for damages caused as a result of a breach of his duty of care to the Company, provided that in no event shall he be exempt with respect to any actions listed in Section 3.2 above.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{Exhibit 10.4 -- Form of Indemnification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2"/>
          <w:szCs w:val="22"/>
          <w:color w:val="auto"/>
        </w:rPr>
        <w:t>- 8 -</w:t>
      </w:r>
    </w:p>
    <w:p>
      <w:pPr>
        <w:spacing w:after="0" w:line="200" w:lineRule="exact"/>
        <w:rPr>
          <w:sz w:val="20"/>
          <w:szCs w:val="20"/>
          <w:color w:val="auto"/>
        </w:rPr>
      </w:pPr>
    </w:p>
    <w:p>
      <w:pPr>
        <w:spacing w:after="0" w:line="216" w:lineRule="exact"/>
        <w:rPr>
          <w:sz w:val="20"/>
          <w:szCs w:val="20"/>
          <w:color w:val="auto"/>
        </w:rPr>
      </w:pPr>
    </w:p>
    <w:p>
      <w:pPr>
        <w:ind w:left="460" w:hanging="398"/>
        <w:spacing w:after="0" w:line="277" w:lineRule="auto"/>
        <w:tabs>
          <w:tab w:leader="none" w:pos="460"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Post Factum Indemnification</w:t>
      </w:r>
      <w:r>
        <w:rPr>
          <w:rFonts w:ascii="Arial" w:cs="Arial" w:eastAsia="Arial" w:hAnsi="Arial"/>
          <w:sz w:val="18"/>
          <w:szCs w:val="18"/>
          <w:color w:val="auto"/>
        </w:rPr>
        <w:t>. It is hereby clarified that nothing in here shall limit the Company’s right to indemnify the Indemnitee post factum, for any and all amounts or events, without limitation.</w:t>
      </w:r>
    </w:p>
    <w:p>
      <w:pPr>
        <w:spacing w:after="0" w:line="170" w:lineRule="exact"/>
        <w:rPr>
          <w:rFonts w:ascii="Arial" w:cs="Arial" w:eastAsia="Arial" w:hAnsi="Arial"/>
          <w:sz w:val="18"/>
          <w:szCs w:val="18"/>
          <w:color w:val="auto"/>
        </w:rPr>
      </w:pPr>
    </w:p>
    <w:p>
      <w:pPr>
        <w:jc w:val="both"/>
        <w:ind w:left="460" w:hanging="398"/>
        <w:spacing w:after="0" w:line="276" w:lineRule="auto"/>
        <w:tabs>
          <w:tab w:leader="none" w:pos="460"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Each of the provisions of this Agreement is a separate and distinct agreement and independent of the others, so that if any provision hereof shall be held to be invalid or unenforceable for any reason, such invalidity or unenforceability shall not affect the validity or enforceability of the other provisions hereof. If such invalid or unenforceable undertaking may be modified or amended so as to be valid and enforceable as a matter of law, such undertaking will be deemed to have been modified or amended, and any competent court or arbitrator are hereby authorized to modify or amend such undertaking, so as to be valid and enforceable to the maximum extent permitted by law.</w:t>
      </w:r>
    </w:p>
    <w:p>
      <w:pPr>
        <w:spacing w:after="0" w:line="172" w:lineRule="exact"/>
        <w:rPr>
          <w:rFonts w:ascii="Arial" w:cs="Arial" w:eastAsia="Arial" w:hAnsi="Arial"/>
          <w:sz w:val="17"/>
          <w:szCs w:val="17"/>
          <w:color w:val="auto"/>
        </w:rPr>
      </w:pPr>
    </w:p>
    <w:p>
      <w:pPr>
        <w:jc w:val="both"/>
        <w:ind w:left="460" w:hanging="398"/>
        <w:spacing w:after="0" w:line="259" w:lineRule="auto"/>
        <w:tabs>
          <w:tab w:leader="none" w:pos="460"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Termination of Services.</w:t>
      </w:r>
      <w:r>
        <w:rPr>
          <w:rFonts w:ascii="Arial" w:cs="Arial" w:eastAsia="Arial" w:hAnsi="Arial"/>
          <w:sz w:val="18"/>
          <w:szCs w:val="18"/>
          <w:color w:val="auto"/>
        </w:rPr>
        <w:t xml:space="preserve"> For the avoidance of doubt, the Company will indemnify Indemnitee even if at the relevant Time of Indebtedness Indemnitee is no longer a director or officer of the Company or of a Subsidiary or a director, officer and/or board observer of an Affiliate, as applicable, provided, that the obligations are in respect of actions taken by the Indemnitee while serving as a director, officer and/or board observer, as aforesaid, and in such capacity.</w:t>
      </w:r>
    </w:p>
    <w:p>
      <w:pPr>
        <w:spacing w:after="0" w:line="186" w:lineRule="exact"/>
        <w:rPr>
          <w:rFonts w:ascii="Arial" w:cs="Arial" w:eastAsia="Arial" w:hAnsi="Arial"/>
          <w:sz w:val="18"/>
          <w:szCs w:val="18"/>
          <w:color w:val="auto"/>
        </w:rPr>
      </w:pPr>
    </w:p>
    <w:p>
      <w:pPr>
        <w:jc w:val="both"/>
        <w:ind w:left="460" w:hanging="398"/>
        <w:spacing w:after="0" w:line="264" w:lineRule="auto"/>
        <w:tabs>
          <w:tab w:leader="none" w:pos="460"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any litigation or other action or proceeding to enforce or interpret this Agreement, the prevailing party as determined by the court shall be entitled to an award of its reasonable attorneys' fees and other costs, in addition to such relief as may be awarded by a court or other tribunal.</w:t>
      </w:r>
    </w:p>
    <w:p>
      <w:pPr>
        <w:spacing w:after="0" w:line="181" w:lineRule="exact"/>
        <w:rPr>
          <w:rFonts w:ascii="Arial" w:cs="Arial" w:eastAsia="Arial" w:hAnsi="Arial"/>
          <w:sz w:val="18"/>
          <w:szCs w:val="18"/>
          <w:color w:val="auto"/>
        </w:rPr>
      </w:pPr>
    </w:p>
    <w:p>
      <w:pPr>
        <w:jc w:val="both"/>
        <w:ind w:left="460" w:hanging="398"/>
        <w:spacing w:after="0" w:line="302" w:lineRule="auto"/>
        <w:tabs>
          <w:tab w:leader="none" w:pos="460"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will do, execute and deliver, or will cause to be done, executed and delivered, all such further acts, documents and things as may be reasonably required for the purpose of giving effect to this Agreement and the transactions contemplated hereby. Notwithstanding anything to the contrary, if for the validation of any of the undertakings in this Agreement any act, resolution, approval or other procedure is required, the Company undertakes to cause them to be done or adopted in a manner which will enable the Company to fulfill all its undertakings as aforesaid.</w:t>
      </w:r>
    </w:p>
    <w:p>
      <w:pPr>
        <w:spacing w:after="0" w:line="154" w:lineRule="exact"/>
        <w:rPr>
          <w:rFonts w:ascii="Arial" w:cs="Arial" w:eastAsia="Arial" w:hAnsi="Arial"/>
          <w:sz w:val="16"/>
          <w:szCs w:val="16"/>
          <w:color w:val="auto"/>
        </w:rPr>
      </w:pPr>
    </w:p>
    <w:p>
      <w:pPr>
        <w:jc w:val="both"/>
        <w:ind w:left="460" w:hanging="398"/>
        <w:spacing w:after="0" w:line="264" w:lineRule="auto"/>
        <w:tabs>
          <w:tab w:leader="none" w:pos="460"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All notices, requests, demands and other communications under this Agreement shall be in writing and shall be deemed duly given (i) if delivered by hand or by fax or other means of electronic communication and receipted for by the party addressee, on the date of such receipt, or (ii) if mailed by certified or registered mail with postage prepaid, on the third business day after the date postmarked.</w:t>
      </w:r>
    </w:p>
    <w:p>
      <w:pPr>
        <w:spacing w:after="0" w:line="181" w:lineRule="exact"/>
        <w:rPr>
          <w:rFonts w:ascii="Arial" w:cs="Arial" w:eastAsia="Arial" w:hAnsi="Arial"/>
          <w:sz w:val="18"/>
          <w:szCs w:val="18"/>
          <w:color w:val="auto"/>
        </w:rPr>
      </w:pPr>
    </w:p>
    <w:p>
      <w:pPr>
        <w:jc w:val="both"/>
        <w:ind w:left="460" w:hanging="398"/>
        <w:spacing w:after="0" w:line="312" w:lineRule="auto"/>
        <w:tabs>
          <w:tab w:leader="none" w:pos="460"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constitutes the entire agreement between the parties with respect to its subject matter, and supersedes and cancels all prior agreements, proposals, representations and communications between the parties regarding the subject matter hereof. No amendment, modification, termination or cancellation of this Agreement shall be effective unless it is in writing and signed by the parties hereto.</w:t>
      </w:r>
    </w:p>
    <w:p>
      <w:pPr>
        <w:spacing w:after="0" w:line="146" w:lineRule="exact"/>
        <w:rPr>
          <w:rFonts w:ascii="Arial" w:cs="Arial" w:eastAsia="Arial" w:hAnsi="Arial"/>
          <w:sz w:val="16"/>
          <w:szCs w:val="16"/>
          <w:color w:val="auto"/>
        </w:rPr>
      </w:pPr>
    </w:p>
    <w:p>
      <w:pPr>
        <w:jc w:val="both"/>
        <w:ind w:left="460" w:hanging="398"/>
        <w:spacing w:after="0" w:line="312" w:lineRule="auto"/>
        <w:tabs>
          <w:tab w:leader="none" w:pos="460"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Binding Effect; No Assignment</w:t>
      </w:r>
      <w:r>
        <w:rPr>
          <w:rFonts w:ascii="Arial" w:cs="Arial" w:eastAsia="Arial" w:hAnsi="Arial"/>
          <w:sz w:val="16"/>
          <w:szCs w:val="16"/>
          <w:color w:val="auto"/>
        </w:rPr>
        <w:t>. This Agreement shall be binding upon Indemnitee and the Company, their successors and assignees, and shall inure to the benefit of Indemnitee, his heirs, personal representatives and assignees and to the benefit of the Company, its successors and assignees. Indemnitee shall not assign or otherwise transfer his rights under this Agreement and any attempt to assign or transfer such rights shall be deemed null and void.</w:t>
      </w:r>
    </w:p>
    <w:p>
      <w:pPr>
        <w:spacing w:after="0" w:line="146" w:lineRule="exact"/>
        <w:rPr>
          <w:rFonts w:ascii="Arial" w:cs="Arial" w:eastAsia="Arial" w:hAnsi="Arial"/>
          <w:sz w:val="16"/>
          <w:szCs w:val="16"/>
          <w:color w:val="auto"/>
        </w:rPr>
      </w:pPr>
    </w:p>
    <w:p>
      <w:pPr>
        <w:jc w:val="both"/>
        <w:ind w:left="420" w:hanging="412"/>
        <w:spacing w:after="0" w:line="264" w:lineRule="auto"/>
        <w:tabs>
          <w:tab w:leader="none" w:pos="42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interpreted and enforced in accordance with the laws of the State of Israel, without regard to their rules of conflict of laws, and any dispute arising from or in connection with this Agreement is hereby submitted to the sole and exclusive jurisdiction of the competent courts in Tel Aviv, Israel.</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{Exhibit 10.4 -- Form of Indemnification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2"/>
          <w:szCs w:val="22"/>
          <w:color w:val="auto"/>
        </w:rPr>
        <w:t>- 9 -</w:t>
      </w:r>
    </w:p>
    <w:p>
      <w:pPr>
        <w:spacing w:after="0" w:line="200" w:lineRule="exact"/>
        <w:rPr>
          <w:sz w:val="20"/>
          <w:szCs w:val="20"/>
          <w:color w:val="auto"/>
        </w:rPr>
      </w:pPr>
    </w:p>
    <w:p>
      <w:pPr>
        <w:spacing w:after="0" w:line="216" w:lineRule="exact"/>
        <w:rPr>
          <w:sz w:val="20"/>
          <w:szCs w:val="20"/>
          <w:color w:val="auto"/>
        </w:rPr>
      </w:pPr>
    </w:p>
    <w:p>
      <w:pPr>
        <w:jc w:val="both"/>
        <w:ind w:left="460" w:hanging="398"/>
        <w:spacing w:after="0" w:line="259" w:lineRule="auto"/>
        <w:tabs>
          <w:tab w:leader="none" w:pos="460"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undertakings of the parties pursuant to this Agreement shall be widely construed and in a manner designated to give them effect, to the fullest extent permissible under law. In the event of any contradiction between the provisions of this Agreement and any provision of law that is not dispositive or which cannot be amended, the provision of law shall prevail but the same shall not impair or derogate from the validity of the other provisions hereunder.</w:t>
      </w:r>
    </w:p>
    <w:p>
      <w:pPr>
        <w:spacing w:after="0" w:line="186" w:lineRule="exact"/>
        <w:rPr>
          <w:rFonts w:ascii="Arial" w:cs="Arial" w:eastAsia="Arial" w:hAnsi="Arial"/>
          <w:sz w:val="18"/>
          <w:szCs w:val="18"/>
          <w:color w:val="auto"/>
        </w:rPr>
      </w:pPr>
    </w:p>
    <w:p>
      <w:pPr>
        <w:jc w:val="both"/>
        <w:ind w:left="420" w:hanging="412"/>
        <w:spacing w:after="0" w:line="257" w:lineRule="auto"/>
        <w:tabs>
          <w:tab w:leader="none" w:pos="42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Counterpart Signatures</w:t>
      </w:r>
      <w:r>
        <w:rPr>
          <w:rFonts w:ascii="Arial" w:cs="Arial" w:eastAsia="Arial" w:hAnsi="Arial"/>
          <w:sz w:val="18"/>
          <w:szCs w:val="18"/>
          <w:color w:val="auto"/>
        </w:rPr>
        <w:t>. This Agreement may be executed in counterparts, both of which when taken together shall be considered one and the same agreement and shall become effective when counterparts have been signed by each party and delivered to the other party, it being understood that two parties need not sign the same counterpart. In the event that any signature is delivered by facsimile or PDF transmission, such signature shall create a valid and binding obligation of the party executing (or on whose behalf such signature is executed) the same with the same force and effect as if such facsimile or PDF signature page were an original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Alcobra Ltd.</w:t>
            </w:r>
          </w:p>
        </w:tc>
        <w:tc>
          <w:tcPr>
            <w:tcW w:w="3420" w:type="dxa"/>
            <w:vAlign w:val="bottom"/>
          </w:tcPr>
          <w:p>
            <w:pPr>
              <w:spacing w:after="0"/>
              <w:rPr>
                <w:sz w:val="18"/>
                <w:szCs w:val="18"/>
                <w:color w:val="auto"/>
              </w:rPr>
            </w:pPr>
          </w:p>
        </w:tc>
        <w:tc>
          <w:tcPr>
            <w:tcW w:w="4220" w:type="dxa"/>
            <w:vAlign w:val="bottom"/>
            <w:tcBorders>
              <w:top w:val="single" w:sz="8" w:color="auto"/>
            </w:tcBorders>
          </w:tcPr>
          <w:p>
            <w:pPr>
              <w:jc w:val="right"/>
              <w:ind w:right="2850"/>
              <w:spacing w:after="0"/>
              <w:rPr>
                <w:sz w:val="20"/>
                <w:szCs w:val="20"/>
                <w:color w:val="auto"/>
              </w:rPr>
            </w:pPr>
            <w:r>
              <w:rPr>
                <w:rFonts w:ascii="Arial" w:cs="Arial" w:eastAsia="Arial" w:hAnsi="Arial"/>
                <w:sz w:val="18"/>
                <w:szCs w:val="18"/>
                <w:b w:val="1"/>
                <w:bCs w:val="1"/>
                <w:color w:val="auto"/>
                <w:w w:val="96"/>
              </w:rPr>
              <w:t>_____________</w:t>
            </w:r>
          </w:p>
        </w:tc>
      </w:tr>
      <w:tr>
        <w:trPr>
          <w:trHeight w:val="216"/>
        </w:trPr>
        <w:tc>
          <w:tcPr>
            <w:tcW w:w="7200" w:type="dxa"/>
            <w:vAlign w:val="bottom"/>
            <w:gridSpan w:val="2"/>
          </w:tcPr>
          <w:p>
            <w:pPr>
              <w:ind w:left="100"/>
              <w:spacing w:after="0"/>
              <w:rPr>
                <w:sz w:val="20"/>
                <w:szCs w:val="20"/>
                <w:color w:val="auto"/>
              </w:rPr>
            </w:pPr>
            <w:r>
              <w:rPr>
                <w:rFonts w:ascii="Arial" w:cs="Arial" w:eastAsia="Arial" w:hAnsi="Arial"/>
                <w:sz w:val="18"/>
                <w:szCs w:val="18"/>
                <w:color w:val="auto"/>
              </w:rPr>
              <w:t>Name: ______________</w:t>
            </w:r>
          </w:p>
        </w:tc>
        <w:tc>
          <w:tcPr>
            <w:tcW w:w="4220" w:type="dxa"/>
            <w:vAlign w:val="bottom"/>
          </w:tcPr>
          <w:p>
            <w:pPr>
              <w:spacing w:after="0"/>
              <w:rPr>
                <w:sz w:val="18"/>
                <w:szCs w:val="18"/>
                <w:color w:val="auto"/>
              </w:rPr>
            </w:pPr>
          </w:p>
        </w:tc>
      </w:tr>
      <w:tr>
        <w:trPr>
          <w:trHeight w:val="230"/>
        </w:trPr>
        <w:tc>
          <w:tcPr>
            <w:tcW w:w="7200" w:type="dxa"/>
            <w:vAlign w:val="bottom"/>
            <w:gridSpan w:val="2"/>
          </w:tcPr>
          <w:p>
            <w:pPr>
              <w:ind w:left="100"/>
              <w:spacing w:after="0"/>
              <w:rPr>
                <w:sz w:val="20"/>
                <w:szCs w:val="20"/>
                <w:color w:val="auto"/>
              </w:rPr>
            </w:pPr>
            <w:r>
              <w:rPr>
                <w:rFonts w:ascii="Arial" w:cs="Arial" w:eastAsia="Arial" w:hAnsi="Arial"/>
                <w:sz w:val="18"/>
                <w:szCs w:val="18"/>
                <w:color w:val="auto"/>
              </w:rPr>
              <w:t>Title: ______________</w:t>
            </w:r>
          </w:p>
        </w:tc>
        <w:tc>
          <w:tcPr>
            <w:tcW w:w="4220" w:type="dxa"/>
            <w:vAlign w:val="bottom"/>
          </w:tcPr>
          <w:p>
            <w:pPr>
              <w:spacing w:after="0"/>
              <w:rPr>
                <w:sz w:val="20"/>
                <w:szCs w:val="20"/>
                <w:color w:val="auto"/>
              </w:rPr>
            </w:pPr>
          </w:p>
        </w:tc>
      </w:tr>
      <w:tr>
        <w:trPr>
          <w:trHeight w:val="596"/>
        </w:trPr>
        <w:tc>
          <w:tcPr>
            <w:tcW w:w="7200" w:type="dxa"/>
            <w:vAlign w:val="bottom"/>
            <w:gridSpan w:val="2"/>
          </w:tcPr>
          <w:p>
            <w:pPr>
              <w:spacing w:after="0"/>
              <w:rPr>
                <w:sz w:val="20"/>
                <w:szCs w:val="20"/>
                <w:color w:val="auto"/>
              </w:rPr>
            </w:pPr>
            <w:r>
              <w:rPr>
                <w:rFonts w:ascii="Arial" w:cs="Arial" w:eastAsia="Arial" w:hAnsi="Arial"/>
                <w:sz w:val="14"/>
                <w:szCs w:val="14"/>
                <w:color w:val="auto"/>
              </w:rPr>
              <w:t>{Exhibit 10.4 -- Form of Indemnification Agreement; 1}</w:t>
            </w:r>
          </w:p>
        </w:tc>
        <w:tc>
          <w:tcPr>
            <w:tcW w:w="4220" w:type="dxa"/>
            <w:vAlign w:val="bottom"/>
          </w:tcPr>
          <w:p>
            <w:pPr>
              <w:spacing w:after="0"/>
              <w:rPr>
                <w:sz w:val="24"/>
                <w:szCs w:val="24"/>
                <w:color w:val="auto"/>
              </w:rPr>
            </w:pPr>
          </w:p>
        </w:tc>
      </w:tr>
      <w:tr>
        <w:trPr>
          <w:trHeight w:val="647"/>
        </w:trPr>
        <w:tc>
          <w:tcPr>
            <w:tcW w:w="3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92" w:name="page193"/>
    <w:bookmarkEnd w:id="192"/>
    <w:p>
      <w:pPr>
        <w:ind w:left="10480"/>
        <w:spacing w:after="0"/>
        <w:rPr>
          <w:sz w:val="20"/>
          <w:szCs w:val="20"/>
          <w:color w:val="auto"/>
        </w:rPr>
      </w:pPr>
      <w:r>
        <w:rPr>
          <w:rFonts w:ascii="Arial" w:cs="Arial" w:eastAsia="Arial" w:hAnsi="Arial"/>
          <w:sz w:val="16"/>
          <w:szCs w:val="16"/>
          <w:b w:val="1"/>
          <w:bCs w:val="1"/>
          <w:u w:val="single" w:color="auto"/>
          <w:color w:val="auto"/>
        </w:rPr>
        <w:t>Exhibit 10.8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Translation from Hebrew]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Ministry of Trade and Industry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Industrial Research and Development Administration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of Chief Scientist</w:t>
      </w:r>
    </w:p>
    <w:p>
      <w:pPr>
        <w:spacing w:after="0" w:line="200" w:lineRule="exact"/>
        <w:rPr>
          <w:sz w:val="20"/>
          <w:szCs w:val="20"/>
          <w:color w:val="auto"/>
        </w:rPr>
      </w:pPr>
    </w:p>
    <w:p>
      <w:pPr>
        <w:spacing w:after="0" w:line="227"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Jerusalem, 07-12-2009</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Letter of Approval Number: </w:t>
      </w:r>
      <w:r>
        <w:rPr>
          <w:rFonts w:ascii="Arial" w:cs="Arial" w:eastAsia="Arial" w:hAnsi="Arial"/>
          <w:sz w:val="18"/>
          <w:szCs w:val="18"/>
          <w:b w:val="1"/>
          <w:bCs w:val="1"/>
          <w:color w:val="auto"/>
        </w:rPr>
        <w:t>42073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(Fiscal regulation: </w:t>
      </w:r>
      <w:r>
        <w:rPr>
          <w:rFonts w:ascii="Arial" w:cs="Arial" w:eastAsia="Arial" w:hAnsi="Arial"/>
          <w:sz w:val="18"/>
          <w:szCs w:val="18"/>
          <w:b w:val="1"/>
          <w:bCs w:val="1"/>
          <w:color w:val="auto"/>
        </w:rPr>
        <w:t>38020101</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Group: </w:t>
      </w:r>
      <w:r>
        <w:rPr>
          <w:rFonts w:ascii="Arial" w:cs="Arial" w:eastAsia="Arial" w:hAnsi="Arial"/>
          <w:sz w:val="18"/>
          <w:szCs w:val="18"/>
          <w:b w:val="1"/>
          <w:bCs w:val="1"/>
          <w:color w:val="auto"/>
        </w:rPr>
        <w:t>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POB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Givatayim 53454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Letter of Approval</w:t>
      </w:r>
    </w:p>
    <w:p>
      <w:pPr>
        <w:spacing w:after="0" w:line="211" w:lineRule="exact"/>
        <w:rPr>
          <w:sz w:val="20"/>
          <w:szCs w:val="20"/>
          <w:color w:val="auto"/>
        </w:rPr>
      </w:pPr>
    </w:p>
    <w:p>
      <w:pPr>
        <w:ind w:left="900" w:right="200" w:hanging="446"/>
        <w:spacing w:after="0" w:line="264"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We hereby inform you that the research committee, by virtue of its authority according to Article 17 of the Law for the Encouragement of Research and Development in the Industry, 5744-1984 (hereinafter: the “R&amp;D Law”), has resolved in its meeting on </w:t>
      </w:r>
      <w:r>
        <w:rPr>
          <w:rFonts w:ascii="Arial" w:cs="Arial" w:eastAsia="Arial" w:hAnsi="Arial"/>
          <w:sz w:val="18"/>
          <w:szCs w:val="18"/>
          <w:b w:val="1"/>
          <w:bCs w:val="1"/>
          <w:color w:val="auto"/>
        </w:rPr>
        <w:t>03/08/2009</w:t>
      </w:r>
      <w:r>
        <w:rPr>
          <w:rFonts w:ascii="Arial" w:cs="Arial" w:eastAsia="Arial" w:hAnsi="Arial"/>
          <w:sz w:val="18"/>
          <w:szCs w:val="18"/>
          <w:color w:val="auto"/>
        </w:rPr>
        <w:t xml:space="preserve"> to approve the program as submitted by you on </w:t>
      </w:r>
      <w:r>
        <w:rPr>
          <w:rFonts w:ascii="Arial" w:cs="Arial" w:eastAsia="Arial" w:hAnsi="Arial"/>
          <w:sz w:val="18"/>
          <w:szCs w:val="18"/>
          <w:b w:val="1"/>
          <w:bCs w:val="1"/>
          <w:color w:val="auto"/>
        </w:rPr>
        <w:t>24/05/2009</w:t>
      </w:r>
      <w:r>
        <w:rPr>
          <w:rFonts w:ascii="Arial" w:cs="Arial" w:eastAsia="Arial" w:hAnsi="Arial"/>
          <w:sz w:val="18"/>
          <w:szCs w:val="18"/>
          <w:color w:val="auto"/>
        </w:rPr>
        <w:t>, which subject matter is:</w:t>
      </w:r>
    </w:p>
    <w:p>
      <w:pPr>
        <w:spacing w:after="0" w:line="177" w:lineRule="exact"/>
        <w:rPr>
          <w:rFonts w:ascii="Arial" w:cs="Arial" w:eastAsia="Arial" w:hAnsi="Arial"/>
          <w:sz w:val="18"/>
          <w:szCs w:val="18"/>
          <w:color w:val="auto"/>
        </w:rPr>
      </w:pPr>
    </w:p>
    <w:p>
      <w:pPr>
        <w:ind w:left="1920" w:hanging="440"/>
        <w:spacing w:after="0"/>
        <w:tabs>
          <w:tab w:leader="none" w:pos="19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Subject of approved program: </w:t>
      </w:r>
      <w:r>
        <w:rPr>
          <w:rFonts w:ascii="Arial" w:cs="Arial" w:eastAsia="Arial" w:hAnsi="Arial"/>
          <w:sz w:val="18"/>
          <w:szCs w:val="18"/>
          <w:b w:val="1"/>
          <w:bCs w:val="1"/>
          <w:color w:val="auto"/>
        </w:rPr>
        <w:t>Development of Treatment for Attention Deficit Disorder and Memory Impairment</w:t>
      </w:r>
    </w:p>
    <w:p>
      <w:pPr>
        <w:spacing w:after="0" w:line="225" w:lineRule="exact"/>
        <w:rPr>
          <w:rFonts w:ascii="Arial" w:cs="Arial" w:eastAsia="Arial" w:hAnsi="Arial"/>
          <w:sz w:val="18"/>
          <w:szCs w:val="18"/>
          <w:color w:val="auto"/>
        </w:rPr>
      </w:pPr>
    </w:p>
    <w:p>
      <w:pPr>
        <w:ind w:left="1920" w:hanging="440"/>
        <w:spacing w:after="0"/>
        <w:tabs>
          <w:tab w:leader="none" w:pos="19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Performing the approved program: </w:t>
      </w:r>
      <w:r>
        <w:rPr>
          <w:rFonts w:ascii="Arial" w:cs="Arial" w:eastAsia="Arial" w:hAnsi="Arial"/>
          <w:sz w:val="18"/>
          <w:szCs w:val="18"/>
          <w:b w:val="1"/>
          <w:bCs w:val="1"/>
          <w:color w:val="auto"/>
        </w:rPr>
        <w:t>Alcobra Ltd.</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xml:space="preserve">Registration Number: </w:t>
      </w:r>
      <w:r>
        <w:rPr>
          <w:rFonts w:ascii="Arial" w:cs="Arial" w:eastAsia="Arial" w:hAnsi="Arial"/>
          <w:sz w:val="18"/>
          <w:szCs w:val="18"/>
          <w:b w:val="1"/>
          <w:bCs w:val="1"/>
          <w:color w:val="auto"/>
        </w:rPr>
        <w:t>514098995</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(hereinafter – the “Approved Program”)</w:t>
      </w:r>
    </w:p>
    <w:p>
      <w:pPr>
        <w:spacing w:after="0" w:line="207" w:lineRule="exact"/>
        <w:rPr>
          <w:sz w:val="20"/>
          <w:szCs w:val="20"/>
          <w:color w:val="auto"/>
        </w:rPr>
      </w:pPr>
    </w:p>
    <w:p>
      <w:pPr>
        <w:ind w:left="900" w:hanging="446"/>
        <w:spacing w:after="0"/>
        <w:tabs>
          <w:tab w:leader="none" w:pos="9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a. The research and development expenses approved for the performance of the approved program will be in an amount of up to: </w:t>
      </w:r>
      <w:r>
        <w:rPr>
          <w:rFonts w:ascii="Arial" w:cs="Arial" w:eastAsia="Arial" w:hAnsi="Arial"/>
          <w:sz w:val="16"/>
          <w:szCs w:val="16"/>
          <w:b w:val="1"/>
          <w:bCs w:val="1"/>
          <w:color w:val="auto"/>
        </w:rPr>
        <w:t>NIS 2,094,300</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 xml:space="preserve">In words: </w:t>
      </w:r>
      <w:r>
        <w:rPr>
          <w:rFonts w:ascii="Arial" w:cs="Arial" w:eastAsia="Arial" w:hAnsi="Arial"/>
          <w:sz w:val="18"/>
          <w:szCs w:val="18"/>
          <w:b w:val="1"/>
          <w:bCs w:val="1"/>
          <w:color w:val="auto"/>
        </w:rPr>
        <w:t>Two Million, Ninety Four Thousand and Three Hundred NIS</w:t>
      </w: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00" w:right="340" w:hanging="1"/>
        <w:spacing w:after="0" w:line="250" w:lineRule="auto"/>
        <w:tabs>
          <w:tab w:leader="none" w:pos="10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The rate of grant approved is </w:t>
      </w:r>
      <w:r>
        <w:rPr>
          <w:rFonts w:ascii="Arial" w:cs="Arial" w:eastAsia="Arial" w:hAnsi="Arial"/>
          <w:sz w:val="18"/>
          <w:szCs w:val="18"/>
          <w:b w:val="1"/>
          <w:bCs w:val="1"/>
          <w:color w:val="auto"/>
        </w:rPr>
        <w:t>30%</w:t>
      </w:r>
      <w:r>
        <w:rPr>
          <w:rFonts w:ascii="Arial" w:cs="Arial" w:eastAsia="Arial" w:hAnsi="Arial"/>
          <w:sz w:val="18"/>
          <w:szCs w:val="18"/>
          <w:color w:val="auto"/>
        </w:rPr>
        <w:t xml:space="preserve"> of the development expenses (addition with respect to a national priority zone A/ line of confrontation), which is up to an amount of </w:t>
      </w:r>
      <w:r>
        <w:rPr>
          <w:rFonts w:ascii="Arial" w:cs="Arial" w:eastAsia="Arial" w:hAnsi="Arial"/>
          <w:sz w:val="18"/>
          <w:szCs w:val="18"/>
          <w:b w:val="1"/>
          <w:bCs w:val="1"/>
          <w:color w:val="auto"/>
        </w:rPr>
        <w:t>NIS 628,290</w:t>
      </w:r>
      <w:r>
        <w:rPr>
          <w:rFonts w:ascii="Arial" w:cs="Arial" w:eastAsia="Arial" w:hAnsi="Arial"/>
          <w:sz w:val="18"/>
          <w:szCs w:val="18"/>
          <w:color w:val="auto"/>
        </w:rPr>
        <w:t>.</w:t>
      </w:r>
    </w:p>
    <w:p>
      <w:pPr>
        <w:ind w:left="900"/>
        <w:spacing w:after="0"/>
        <w:rPr>
          <w:rFonts w:ascii="Arial" w:cs="Arial" w:eastAsia="Arial" w:hAnsi="Arial"/>
          <w:sz w:val="18"/>
          <w:szCs w:val="18"/>
          <w:color w:val="auto"/>
        </w:rPr>
      </w:pPr>
      <w:r>
        <w:rPr>
          <w:rFonts w:ascii="Arial" w:cs="Arial" w:eastAsia="Arial" w:hAnsi="Arial"/>
          <w:sz w:val="18"/>
          <w:szCs w:val="18"/>
          <w:color w:val="auto"/>
        </w:rPr>
        <w:t xml:space="preserve">In words: </w:t>
      </w:r>
      <w:r>
        <w:rPr>
          <w:rFonts w:ascii="Arial" w:cs="Arial" w:eastAsia="Arial" w:hAnsi="Arial"/>
          <w:sz w:val="18"/>
          <w:szCs w:val="18"/>
          <w:b w:val="1"/>
          <w:bCs w:val="1"/>
          <w:color w:val="auto"/>
        </w:rPr>
        <w:t>Six Hundred and Twenty Eight Thousand, Two Hundred and Ninety NIS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approval is conditioned upon fulfillment of the provisions of the law, regulations, rules and procedures promulgated thereunder and subjesct to the following terms:</w:t>
      </w:r>
    </w:p>
    <w:p>
      <w:pPr>
        <w:spacing w:after="0" w:line="166" w:lineRule="exact"/>
        <w:rPr>
          <w:rFonts w:ascii="Arial" w:cs="Arial" w:eastAsia="Arial" w:hAnsi="Arial"/>
          <w:sz w:val="18"/>
          <w:szCs w:val="18"/>
          <w:color w:val="auto"/>
        </w:rPr>
      </w:pPr>
    </w:p>
    <w:p>
      <w:pPr>
        <w:ind w:left="1380" w:right="40" w:hanging="454"/>
        <w:spacing w:after="0" w:line="282" w:lineRule="auto"/>
        <w:tabs>
          <w:tab w:leader="none" w:pos="1380" w:val="left"/>
        </w:tabs>
        <w:numPr>
          <w:ilvl w:val="3"/>
          <w:numId w:val="240"/>
        </w:numPr>
        <w:rPr>
          <w:rFonts w:ascii="Arial" w:cs="Arial" w:eastAsia="Arial" w:hAnsi="Arial"/>
          <w:sz w:val="18"/>
          <w:szCs w:val="18"/>
          <w:color w:val="auto"/>
        </w:rPr>
      </w:pPr>
      <w:r>
        <w:rPr>
          <w:rFonts w:ascii="Arial" w:cs="Arial" w:eastAsia="Arial" w:hAnsi="Arial"/>
          <w:sz w:val="18"/>
          <w:szCs w:val="18"/>
          <w:color w:val="auto"/>
        </w:rPr>
        <w:t xml:space="preserve">The approved program will be performed as detailed in your request within a period of 12 months – from </w:t>
      </w:r>
      <w:r>
        <w:rPr>
          <w:rFonts w:ascii="Arial" w:cs="Arial" w:eastAsia="Arial" w:hAnsi="Arial"/>
          <w:sz w:val="18"/>
          <w:szCs w:val="18"/>
          <w:b w:val="1"/>
          <w:bCs w:val="1"/>
          <w:color w:val="auto"/>
        </w:rPr>
        <w:t>01/05/2009</w:t>
      </w:r>
      <w:r>
        <w:rPr>
          <w:rFonts w:ascii="Arial" w:cs="Arial" w:eastAsia="Arial" w:hAnsi="Arial"/>
          <w:sz w:val="18"/>
          <w:szCs w:val="18"/>
          <w:color w:val="auto"/>
        </w:rPr>
        <w:t xml:space="preserve"> and until </w:t>
      </w:r>
      <w:r>
        <w:rPr>
          <w:rFonts w:ascii="Arial" w:cs="Arial" w:eastAsia="Arial" w:hAnsi="Arial"/>
          <w:sz w:val="18"/>
          <w:szCs w:val="18"/>
          <w:b w:val="1"/>
          <w:bCs w:val="1"/>
          <w:color w:val="auto"/>
        </w:rPr>
        <w:t>30/04/2010</w:t>
      </w:r>
      <w:r>
        <w:rPr>
          <w:rFonts w:ascii="Arial" w:cs="Arial" w:eastAsia="Arial" w:hAnsi="Arial"/>
          <w:sz w:val="18"/>
          <w:szCs w:val="18"/>
          <w:color w:val="auto"/>
        </w:rPr>
        <w:t xml:space="preserve"> (hereinafter: the “Performance Period”).</w:t>
      </w:r>
    </w:p>
    <w:p>
      <w:pPr>
        <w:spacing w:after="0" w:line="165" w:lineRule="exact"/>
        <w:rPr>
          <w:rFonts w:ascii="Arial" w:cs="Arial" w:eastAsia="Arial" w:hAnsi="Arial"/>
          <w:sz w:val="18"/>
          <w:szCs w:val="18"/>
          <w:color w:val="auto"/>
        </w:rPr>
      </w:pPr>
    </w:p>
    <w:p>
      <w:pPr>
        <w:ind w:left="1480" w:right="200" w:hanging="567"/>
        <w:spacing w:after="0" w:line="256" w:lineRule="auto"/>
        <w:tabs>
          <w:tab w:leader="none" w:pos="1480" w:val="left"/>
        </w:tabs>
        <w:numPr>
          <w:ilvl w:val="3"/>
          <w:numId w:val="240"/>
        </w:numPr>
        <w:rPr>
          <w:rFonts w:ascii="Arial" w:cs="Arial" w:eastAsia="Arial" w:hAnsi="Arial"/>
          <w:sz w:val="18"/>
          <w:szCs w:val="18"/>
          <w:color w:val="auto"/>
        </w:rPr>
      </w:pPr>
      <w:r>
        <w:rPr>
          <w:rFonts w:ascii="Arial" w:cs="Arial" w:eastAsia="Arial" w:hAnsi="Arial"/>
          <w:sz w:val="18"/>
          <w:szCs w:val="18"/>
          <w:color w:val="auto"/>
        </w:rPr>
        <w:t>(1) You must inform the Office of the Chief Scientist about every change in the control of the recipient of the grant in the company’s shares and/or in one of the following controlling means: (a) the right to vote in the company’s general meetings; (b) the right to appoint directors in the company; (c) the right to participate in the company’s profits.</w:t>
      </w:r>
    </w:p>
    <w:p>
      <w:pPr>
        <w:ind w:left="1480" w:right="120"/>
        <w:spacing w:after="0" w:line="281" w:lineRule="auto"/>
        <w:rPr>
          <w:rFonts w:ascii="Arial" w:cs="Arial" w:eastAsia="Arial" w:hAnsi="Arial"/>
          <w:sz w:val="18"/>
          <w:szCs w:val="18"/>
          <w:color w:val="auto"/>
        </w:rPr>
      </w:pPr>
      <w:r>
        <w:rPr>
          <w:rFonts w:ascii="Arial" w:cs="Arial" w:eastAsia="Arial" w:hAnsi="Arial"/>
          <w:sz w:val="16"/>
          <w:szCs w:val="16"/>
          <w:color w:val="auto"/>
        </w:rPr>
        <w:t>(2) Transferring any percentage of the controlling means stated in subsection (1) to a non-Israeli resident or to a foreign company, which make the non-Israeli resident or foreign company an interested party as defined in the Securities Law, 1968, requires notification to Office of the Chief Scientist and a written undertaking of the non-Israeli resident or the foreign company to the R&amp;D Law.</w:t>
      </w:r>
    </w:p>
    <w:p>
      <w:pPr>
        <w:spacing w:after="0" w:line="2" w:lineRule="exact"/>
        <w:rPr>
          <w:rFonts w:ascii="Arial" w:cs="Arial" w:eastAsia="Arial" w:hAnsi="Arial"/>
          <w:sz w:val="18"/>
          <w:szCs w:val="18"/>
          <w:color w:val="auto"/>
        </w:rPr>
      </w:pPr>
    </w:p>
    <w:p>
      <w:pPr>
        <w:ind w:left="1480" w:right="660"/>
        <w:spacing w:after="0" w:line="261" w:lineRule="auto"/>
        <w:rPr>
          <w:rFonts w:ascii="Arial" w:cs="Arial" w:eastAsia="Arial" w:hAnsi="Arial"/>
          <w:sz w:val="18"/>
          <w:szCs w:val="18"/>
          <w:color w:val="auto"/>
        </w:rPr>
      </w:pPr>
      <w:r>
        <w:rPr>
          <w:rFonts w:ascii="Arial" w:cs="Arial" w:eastAsia="Arial" w:hAnsi="Arial"/>
          <w:sz w:val="18"/>
          <w:szCs w:val="18"/>
          <w:color w:val="auto"/>
        </w:rPr>
        <w:t>The letter of approval shall be signed in the form existing in the office of the Chief Scientist and in the website of the Ministry of Industry, Trade and Employment.</w:t>
      </w:r>
    </w:p>
    <w:p>
      <w:pPr>
        <w:spacing w:after="0" w:line="183" w:lineRule="exact"/>
        <w:rPr>
          <w:rFonts w:ascii="Arial" w:cs="Arial" w:eastAsia="Arial" w:hAnsi="Arial"/>
          <w:sz w:val="18"/>
          <w:szCs w:val="18"/>
          <w:color w:val="auto"/>
        </w:rPr>
      </w:pPr>
    </w:p>
    <w:p>
      <w:pPr>
        <w:ind w:left="1480" w:hanging="567"/>
        <w:spacing w:after="0"/>
        <w:tabs>
          <w:tab w:leader="none" w:pos="148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Additional terms:</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Payment per performance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Royalties shall be paid on income from Metadoxin Extended (Controlled) Release Tablets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480" w:hanging="567"/>
        <w:spacing w:after="0"/>
        <w:tabs>
          <w:tab w:leader="none" w:pos="148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See the appendix in the matter of intellectual property.</w:t>
      </w:r>
    </w:p>
    <w:p>
      <w:pPr>
        <w:spacing w:after="0" w:line="225" w:lineRule="exact"/>
        <w:rPr>
          <w:rFonts w:ascii="Arial" w:cs="Arial" w:eastAsia="Arial" w:hAnsi="Arial"/>
          <w:sz w:val="18"/>
          <w:szCs w:val="18"/>
          <w:color w:val="auto"/>
        </w:rPr>
      </w:pPr>
    </w:p>
    <w:p>
      <w:pPr>
        <w:ind w:left="1480" w:right="180" w:hanging="567"/>
        <w:spacing w:after="0" w:line="277" w:lineRule="auto"/>
        <w:tabs>
          <w:tab w:leader="none" w:pos="148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In the event of pledging the company’s assets to an Israeli bank against credit, the company must ensure that the pledge shall be subject to the R&amp;D Law.</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10.8 -- Letter of Approval from the Office of Chief Scientist;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3" w:name="page194"/>
    <w:bookmarkEnd w:id="193"/>
    <w:p>
      <w:pPr>
        <w:ind w:left="1480" w:right="60" w:hanging="567"/>
        <w:spacing w:after="0" w:line="277" w:lineRule="auto"/>
        <w:tabs>
          <w:tab w:leader="none" w:pos="1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the plan is connected to an agreement with an academic institution or an academic implementation company, the company must ensure that the agreement is subject to the provisions of the R&amp;D Law.</w:t>
      </w:r>
    </w:p>
    <w:p>
      <w:pPr>
        <w:spacing w:after="0" w:line="38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 Eli Ofer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Chief Scientist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25" w:lineRule="exact"/>
        <w:rPr>
          <w:sz w:val="20"/>
          <w:szCs w:val="20"/>
          <w:color w:val="auto"/>
        </w:rPr>
      </w:pPr>
    </w:p>
    <w:p>
      <w:pPr>
        <w:ind w:left="1480" w:hanging="567"/>
        <w:spacing w:after="0"/>
        <w:tabs>
          <w:tab w:leader="none" w:pos="14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Budget breakdown appended to the letter of approval.</w:t>
      </w:r>
    </w:p>
    <w:p>
      <w:pPr>
        <w:spacing w:after="0" w:line="23" w:lineRule="exact"/>
        <w:rPr>
          <w:rFonts w:ascii="Arial" w:cs="Arial" w:eastAsia="Arial" w:hAnsi="Arial"/>
          <w:sz w:val="18"/>
          <w:szCs w:val="18"/>
          <w:color w:val="auto"/>
        </w:rPr>
      </w:pPr>
    </w:p>
    <w:p>
      <w:pPr>
        <w:ind w:left="1480" w:hanging="567"/>
        <w:spacing w:after="0"/>
        <w:tabs>
          <w:tab w:leader="none" w:pos="14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Letter of commitment.</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Rules determined by the research committee for the performance of the provisions of the Law.</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Letter of approval intellectual property appendix.</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10.8 -- Letter of Approval from the Office of Chief Scientist;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[Free Translation from Hebrew]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Ministry of Trade and Industry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Industrial Research and Development Administration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of Chief Scientist / Office Controller</w:t>
      </w:r>
    </w:p>
    <w:p>
      <w:pPr>
        <w:spacing w:after="0" w:line="211" w:lineRule="exact"/>
        <w:rPr>
          <w:sz w:val="20"/>
          <w:szCs w:val="20"/>
          <w:color w:val="auto"/>
        </w:rPr>
      </w:pPr>
    </w:p>
    <w:p>
      <w:pPr>
        <w:ind w:left="10580"/>
        <w:spacing w:after="0"/>
        <w:rPr>
          <w:sz w:val="20"/>
          <w:szCs w:val="20"/>
          <w:color w:val="auto"/>
        </w:rPr>
      </w:pPr>
      <w:r>
        <w:rPr>
          <w:rFonts w:ascii="Arial" w:cs="Arial" w:eastAsia="Arial" w:hAnsi="Arial"/>
          <w:sz w:val="16"/>
          <w:szCs w:val="16"/>
          <w:color w:val="auto"/>
        </w:rPr>
        <w:t>07-12-2009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POB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Givatayim 53454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Budget Appendix with respect to Research and Development File Number 42073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to Letter of Approval</w:t>
      </w:r>
    </w:p>
    <w:p>
      <w:pPr>
        <w:spacing w:after="0" w:line="20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Subject to the letter of approval signed by the Chief Scientist from </w:t>
      </w:r>
      <w:r>
        <w:rPr>
          <w:rFonts w:ascii="Arial" w:cs="Arial" w:eastAsia="Arial" w:hAnsi="Arial"/>
          <w:sz w:val="18"/>
          <w:szCs w:val="18"/>
          <w:b w:val="1"/>
          <w:bCs w:val="1"/>
          <w:color w:val="auto"/>
        </w:rPr>
        <w:t>07/12/2009</w:t>
      </w:r>
      <w:r>
        <w:rPr>
          <w:rFonts w:ascii="Arial" w:cs="Arial" w:eastAsia="Arial" w:hAnsi="Arial"/>
          <w:sz w:val="18"/>
          <w:szCs w:val="18"/>
          <w:color w:val="auto"/>
        </w:rPr>
        <w:t xml:space="preserve"> and following the decision of the research committee pursuant to Article 17(c) from </w:t>
      </w:r>
      <w:r>
        <w:rPr>
          <w:rFonts w:ascii="Arial" w:cs="Arial" w:eastAsia="Arial" w:hAnsi="Arial"/>
          <w:sz w:val="18"/>
          <w:szCs w:val="18"/>
          <w:b w:val="1"/>
          <w:bCs w:val="1"/>
          <w:color w:val="auto"/>
        </w:rPr>
        <w:t>03/08/2009</w:t>
      </w:r>
      <w:r>
        <w:rPr>
          <w:rFonts w:ascii="Arial" w:cs="Arial" w:eastAsia="Arial" w:hAnsi="Arial"/>
          <w:sz w:val="18"/>
          <w:szCs w:val="18"/>
          <w:color w:val="auto"/>
        </w:rPr>
        <w:t xml:space="preserve"> with respect to research and development file which number is </w:t>
      </w:r>
      <w:r>
        <w:rPr>
          <w:rFonts w:ascii="Arial" w:cs="Arial" w:eastAsia="Arial" w:hAnsi="Arial"/>
          <w:sz w:val="18"/>
          <w:szCs w:val="18"/>
          <w:b w:val="1"/>
          <w:bCs w:val="1"/>
          <w:color w:val="auto"/>
        </w:rPr>
        <w:t>42073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of approved program: </w:t>
      </w:r>
      <w:r>
        <w:rPr>
          <w:rFonts w:ascii="Arial" w:cs="Arial" w:eastAsia="Arial" w:hAnsi="Arial"/>
          <w:sz w:val="18"/>
          <w:szCs w:val="18"/>
          <w:b w:val="1"/>
          <w:bCs w:val="1"/>
          <w:color w:val="auto"/>
        </w:rPr>
        <w:t>Development of Treatment for Attention Deficit Disorder and Memory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performed by </w:t>
      </w:r>
      <w:r>
        <w:rPr>
          <w:rFonts w:ascii="Arial" w:cs="Arial" w:eastAsia="Arial" w:hAnsi="Arial"/>
          <w:sz w:val="18"/>
          <w:szCs w:val="18"/>
          <w:b w:val="1"/>
          <w:bCs w:val="1"/>
          <w:color w:val="auto"/>
        </w:rPr>
        <w:t>Alcobra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Period of research: from </w:t>
      </w:r>
      <w:r>
        <w:rPr>
          <w:rFonts w:ascii="Arial" w:cs="Arial" w:eastAsia="Arial" w:hAnsi="Arial"/>
          <w:sz w:val="18"/>
          <w:szCs w:val="18"/>
          <w:b w:val="1"/>
          <w:bCs w:val="1"/>
          <w:color w:val="auto"/>
        </w:rPr>
        <w:t>01/05/2009</w:t>
      </w:r>
      <w:r>
        <w:rPr>
          <w:rFonts w:ascii="Arial" w:cs="Arial" w:eastAsia="Arial" w:hAnsi="Arial"/>
          <w:sz w:val="18"/>
          <w:szCs w:val="18"/>
          <w:color w:val="auto"/>
        </w:rPr>
        <w:t xml:space="preserve"> until </w:t>
      </w:r>
      <w:r>
        <w:rPr>
          <w:rFonts w:ascii="Arial" w:cs="Arial" w:eastAsia="Arial" w:hAnsi="Arial"/>
          <w:sz w:val="18"/>
          <w:szCs w:val="18"/>
          <w:b w:val="1"/>
          <w:bCs w:val="1"/>
          <w:color w:val="auto"/>
        </w:rPr>
        <w:t>30/04/2010</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The office’s budget commitment in an amount of up to </w:t>
      </w:r>
      <w:r>
        <w:rPr>
          <w:rFonts w:ascii="Arial" w:cs="Arial" w:eastAsia="Arial" w:hAnsi="Arial"/>
          <w:sz w:val="18"/>
          <w:szCs w:val="18"/>
          <w:b w:val="1"/>
          <w:bCs w:val="1"/>
          <w:color w:val="auto"/>
        </w:rPr>
        <w:t>NIS 628,290</w:t>
      </w:r>
      <w:r>
        <w:rPr>
          <w:rFonts w:ascii="Arial" w:cs="Arial" w:eastAsia="Arial" w:hAnsi="Arial"/>
          <w:sz w:val="18"/>
          <w:szCs w:val="18"/>
          <w:color w:val="auto"/>
        </w:rPr>
        <w:t xml:space="preserve"> is hereby approved for the performance of research and development expenses for the approved program.</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24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r>
      <w:tr>
        <w:trPr>
          <w:trHeight w:val="195"/>
        </w:trPr>
        <w:tc>
          <w:tcPr>
            <w:tcW w:w="5040" w:type="dxa"/>
            <w:vAlign w:val="bottom"/>
          </w:tcPr>
          <w:p>
            <w:pPr>
              <w:spacing w:after="0" w:line="195" w:lineRule="exact"/>
              <w:rPr>
                <w:sz w:val="20"/>
                <w:szCs w:val="20"/>
                <w:color w:val="auto"/>
              </w:rPr>
            </w:pPr>
            <w:r>
              <w:rPr>
                <w:rFonts w:ascii="Arial" w:cs="Arial" w:eastAsia="Arial" w:hAnsi="Arial"/>
                <w:sz w:val="18"/>
                <w:szCs w:val="18"/>
                <w:color w:val="auto"/>
              </w:rPr>
              <w:t>Vice Chief Scientist</w:t>
            </w:r>
          </w:p>
        </w:tc>
        <w:tc>
          <w:tcPr>
            <w:tcW w:w="12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Office controller, the Ministry of</w:t>
            </w:r>
          </w:p>
        </w:tc>
      </w:tr>
      <w:tr>
        <w:trPr>
          <w:trHeight w:val="230"/>
        </w:trPr>
        <w:tc>
          <w:tcPr>
            <w:tcW w:w="5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Industry, Trade and Employment</w:t>
            </w: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10.8 -- Letter of Approval from the Office of Chief Scientist;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[Summary Translation from Hebrew]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page forms an integral part of the letter of approval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Details of the budget for research and development in the matter of: </w:t>
      </w:r>
      <w:r>
        <w:rPr>
          <w:rFonts w:ascii="Arial" w:cs="Arial" w:eastAsia="Arial" w:hAnsi="Arial"/>
          <w:sz w:val="16"/>
          <w:szCs w:val="16"/>
          <w:b w:val="1"/>
          <w:bCs w:val="1"/>
          <w:color w:val="auto"/>
        </w:rPr>
        <w:t>Development of Treatment for Attention Deficit Disorder and Memory Impairment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Performance period from </w:t>
      </w:r>
      <w:r>
        <w:rPr>
          <w:rFonts w:ascii="Arial" w:cs="Arial" w:eastAsia="Arial" w:hAnsi="Arial"/>
          <w:sz w:val="18"/>
          <w:szCs w:val="18"/>
          <w:b w:val="1"/>
          <w:bCs w:val="1"/>
          <w:color w:val="auto"/>
        </w:rPr>
        <w:t>01/05/2009</w:t>
      </w:r>
      <w:r>
        <w:rPr>
          <w:rFonts w:ascii="Arial" w:cs="Arial" w:eastAsia="Arial" w:hAnsi="Arial"/>
          <w:sz w:val="18"/>
          <w:szCs w:val="18"/>
          <w:color w:val="auto"/>
        </w:rPr>
        <w:t xml:space="preserve"> until </w:t>
      </w:r>
      <w:r>
        <w:rPr>
          <w:rFonts w:ascii="Arial" w:cs="Arial" w:eastAsia="Arial" w:hAnsi="Arial"/>
          <w:sz w:val="18"/>
          <w:szCs w:val="18"/>
          <w:b w:val="1"/>
          <w:bCs w:val="1"/>
          <w:color w:val="auto"/>
        </w:rPr>
        <w:t>30/04/2010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Budget page version </w:t>
      </w:r>
      <w:r>
        <w:rPr>
          <w:rFonts w:ascii="Arial" w:cs="Arial" w:eastAsia="Arial" w:hAnsi="Arial"/>
          <w:sz w:val="18"/>
          <w:szCs w:val="18"/>
          <w:b w:val="1"/>
          <w:bCs w:val="1"/>
          <w:color w:val="auto"/>
        </w:rPr>
        <w:t>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Request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latest update </w:t>
      </w:r>
      <w:r>
        <w:rPr>
          <w:rFonts w:ascii="Arial" w:cs="Arial" w:eastAsia="Arial" w:hAnsi="Arial"/>
          <w:sz w:val="18"/>
          <w:szCs w:val="18"/>
          <w:b w:val="1"/>
          <w:bCs w:val="1"/>
          <w:color w:val="auto"/>
        </w:rPr>
        <w:t>29/11/2009</w:t>
      </w:r>
    </w:p>
    <w:p>
      <w:pPr>
        <w:spacing w:after="0" w:line="200" w:lineRule="exact"/>
        <w:rPr>
          <w:sz w:val="20"/>
          <w:szCs w:val="20"/>
          <w:color w:val="auto"/>
        </w:rPr>
      </w:pPr>
    </w:p>
    <w:p>
      <w:pPr>
        <w:spacing w:after="0" w:line="228" w:lineRule="exact"/>
        <w:rPr>
          <w:sz w:val="20"/>
          <w:szCs w:val="20"/>
          <w:color w:val="auto"/>
        </w:rPr>
      </w:pPr>
    </w:p>
    <w:tbl>
      <w:tblPr>
        <w:tblLayout w:type="fixed"/>
        <w:tblInd w:w="7300" w:type="dxa"/>
        <w:tblCellMar>
          <w:top w:w="0" w:type="dxa"/>
          <w:left w:w="0" w:type="dxa"/>
          <w:bottom w:w="0" w:type="dxa"/>
          <w:right w:w="0" w:type="dxa"/>
        </w:tblCellMar>
      </w:tblPr>
      <w:tr>
        <w:trPr>
          <w:trHeight w:val="207"/>
        </w:trPr>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File number:</w:t>
            </w:r>
          </w:p>
        </w:tc>
        <w:tc>
          <w:tcPr>
            <w:tcW w:w="2560" w:type="dxa"/>
            <w:vAlign w:val="bottom"/>
          </w:tcPr>
          <w:p>
            <w:pPr>
              <w:ind w:left="1740"/>
              <w:spacing w:after="0"/>
              <w:rPr>
                <w:sz w:val="20"/>
                <w:szCs w:val="20"/>
                <w:color w:val="auto"/>
              </w:rPr>
            </w:pPr>
            <w:r>
              <w:rPr>
                <w:rFonts w:ascii="Arial" w:cs="Arial" w:eastAsia="Arial" w:hAnsi="Arial"/>
                <w:sz w:val="18"/>
                <w:szCs w:val="18"/>
                <w:b w:val="1"/>
                <w:bCs w:val="1"/>
                <w:color w:val="auto"/>
              </w:rPr>
              <w:t>42073</w:t>
            </w:r>
          </w:p>
        </w:tc>
      </w:tr>
      <w:tr>
        <w:trPr>
          <w:trHeight w:val="20"/>
        </w:trPr>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14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1"/>
              </w:rPr>
              <w:t>Preparation Date:</w:t>
            </w:r>
          </w:p>
        </w:tc>
        <w:tc>
          <w:tcPr>
            <w:tcW w:w="40" w:type="dxa"/>
            <w:vAlign w:val="bottom"/>
          </w:tcPr>
          <w:p>
            <w:pPr>
              <w:spacing w:after="0"/>
              <w:rPr>
                <w:sz w:val="17"/>
                <w:szCs w:val="17"/>
                <w:color w:val="auto"/>
              </w:rPr>
            </w:pPr>
          </w:p>
        </w:tc>
        <w:tc>
          <w:tcPr>
            <w:tcW w:w="2560" w:type="dxa"/>
            <w:vAlign w:val="bottom"/>
          </w:tcPr>
          <w:p>
            <w:pPr>
              <w:ind w:left="1740"/>
              <w:spacing w:after="0" w:line="196" w:lineRule="exact"/>
              <w:rPr>
                <w:sz w:val="20"/>
                <w:szCs w:val="20"/>
                <w:color w:val="auto"/>
              </w:rPr>
            </w:pPr>
            <w:r>
              <w:rPr>
                <w:rFonts w:ascii="Arial" w:cs="Arial" w:eastAsia="Arial" w:hAnsi="Arial"/>
                <w:sz w:val="18"/>
                <w:szCs w:val="18"/>
                <w:b w:val="1"/>
                <w:bCs w:val="1"/>
                <w:color w:val="auto"/>
                <w:w w:val="88"/>
              </w:rPr>
              <w:t>29/11/2009</w:t>
            </w:r>
          </w:p>
        </w:tc>
      </w:tr>
      <w:tr>
        <w:trPr>
          <w:trHeight w:val="196"/>
        </w:trPr>
        <w:tc>
          <w:tcPr>
            <w:tcW w:w="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0"/>
              </w:rPr>
              <w:t>Company</w:t>
            </w:r>
          </w:p>
        </w:tc>
        <w:tc>
          <w:tcPr>
            <w:tcW w:w="680" w:type="dxa"/>
            <w:vAlign w:val="bottom"/>
            <w:gridSpan w:val="3"/>
          </w:tcPr>
          <w:p>
            <w:pPr>
              <w:spacing w:after="0"/>
              <w:rPr>
                <w:sz w:val="17"/>
                <w:szCs w:val="17"/>
                <w:color w:val="auto"/>
              </w:rPr>
            </w:pPr>
          </w:p>
        </w:tc>
        <w:tc>
          <w:tcPr>
            <w:tcW w:w="2560" w:type="dxa"/>
            <w:vAlign w:val="bottom"/>
          </w:tcPr>
          <w:p>
            <w:pPr>
              <w:ind w:left="1740"/>
              <w:spacing w:after="0" w:line="196" w:lineRule="exact"/>
              <w:rPr>
                <w:sz w:val="20"/>
                <w:szCs w:val="20"/>
                <w:color w:val="auto"/>
              </w:rPr>
            </w:pPr>
            <w:r>
              <w:rPr>
                <w:rFonts w:ascii="Arial" w:cs="Arial" w:eastAsia="Arial" w:hAnsi="Arial"/>
                <w:sz w:val="18"/>
                <w:szCs w:val="18"/>
                <w:b w:val="1"/>
                <w:bCs w:val="1"/>
                <w:color w:val="auto"/>
              </w:rPr>
              <w:t>Alcobra</w:t>
            </w:r>
          </w:p>
        </w:tc>
      </w:tr>
      <w:tr>
        <w:trPr>
          <w:trHeight w:val="196"/>
        </w:trPr>
        <w:tc>
          <w:tcPr>
            <w:tcW w:w="14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91"/>
              </w:rPr>
              <w:t>Company Number</w:t>
            </w:r>
          </w:p>
        </w:tc>
        <w:tc>
          <w:tcPr>
            <w:tcW w:w="2560" w:type="dxa"/>
            <w:vAlign w:val="bottom"/>
          </w:tcPr>
          <w:p>
            <w:pPr>
              <w:ind w:left="1740"/>
              <w:spacing w:after="0" w:line="196" w:lineRule="exact"/>
              <w:rPr>
                <w:sz w:val="20"/>
                <w:szCs w:val="20"/>
                <w:color w:val="auto"/>
              </w:rPr>
            </w:pPr>
            <w:r>
              <w:rPr>
                <w:rFonts w:ascii="Arial" w:cs="Arial" w:eastAsia="Arial" w:hAnsi="Arial"/>
                <w:sz w:val="18"/>
                <w:szCs w:val="18"/>
                <w:b w:val="1"/>
                <w:bCs w:val="1"/>
                <w:color w:val="auto"/>
              </w:rPr>
              <w:t>6336</w:t>
            </w: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gridSpan w:val="5"/>
            <w:shd w:val="clear" w:color="auto" w:fill="CCFFCC"/>
          </w:tcPr>
          <w:p>
            <w:pPr>
              <w:spacing w:after="0"/>
              <w:rPr>
                <w:sz w:val="20"/>
                <w:szCs w:val="20"/>
                <w:color w:val="auto"/>
              </w:rPr>
            </w:pPr>
            <w:r>
              <w:rPr>
                <w:rFonts w:ascii="Arial" w:cs="Arial" w:eastAsia="Arial" w:hAnsi="Arial"/>
                <w:sz w:val="18"/>
                <w:szCs w:val="18"/>
                <w:b w:val="1"/>
                <w:bCs w:val="1"/>
                <w:color w:val="auto"/>
              </w:rPr>
              <w:t>A. Human Resources</w:t>
            </w:r>
          </w:p>
        </w:tc>
        <w:tc>
          <w:tcPr>
            <w:tcW w:w="7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79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Total Human Resources</w:t>
            </w:r>
          </w:p>
        </w:tc>
        <w:tc>
          <w:tcPr>
            <w:tcW w:w="7980" w:type="dxa"/>
            <w:vAlign w:val="bottom"/>
          </w:tcPr>
          <w:p>
            <w:pPr>
              <w:ind w:left="800"/>
              <w:spacing w:after="0"/>
              <w:rPr>
                <w:sz w:val="20"/>
                <w:szCs w:val="20"/>
                <w:color w:val="auto"/>
              </w:rPr>
            </w:pPr>
            <w:r>
              <w:rPr>
                <w:rFonts w:ascii="Arial" w:cs="Arial" w:eastAsia="Arial" w:hAnsi="Arial"/>
                <w:sz w:val="18"/>
                <w:szCs w:val="18"/>
                <w:color w:val="auto"/>
              </w:rPr>
              <w:t>612,000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B. Materials and consumable tools</w:t>
            </w:r>
          </w:p>
        </w:tc>
        <w:tc>
          <w:tcPr>
            <w:tcW w:w="7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Total Materials</w:t>
            </w:r>
          </w:p>
        </w:tc>
        <w:tc>
          <w:tcPr>
            <w:tcW w:w="7980" w:type="dxa"/>
            <w:vAlign w:val="bottom"/>
            <w:shd w:val="clear" w:color="auto" w:fill="CCFFCC"/>
          </w:tcPr>
          <w:p>
            <w:pPr>
              <w:ind w:left="8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20" w:type="dxa"/>
            <w:vAlign w:val="bottom"/>
            <w:gridSpan w:val="5"/>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C. Subcontractors</w:t>
            </w:r>
          </w:p>
        </w:tc>
        <w:tc>
          <w:tcPr>
            <w:tcW w:w="79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79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Total Subcontractors</w:t>
            </w:r>
          </w:p>
        </w:tc>
        <w:tc>
          <w:tcPr>
            <w:tcW w:w="7980" w:type="dxa"/>
            <w:vAlign w:val="bottom"/>
          </w:tcPr>
          <w:p>
            <w:pPr>
              <w:ind w:left="800"/>
              <w:spacing w:after="0"/>
              <w:rPr>
                <w:sz w:val="20"/>
                <w:szCs w:val="20"/>
                <w:color w:val="auto"/>
              </w:rPr>
            </w:pPr>
            <w:r>
              <w:rPr>
                <w:rFonts w:ascii="Arial" w:cs="Arial" w:eastAsia="Arial" w:hAnsi="Arial"/>
                <w:sz w:val="18"/>
                <w:szCs w:val="18"/>
                <w:color w:val="auto"/>
              </w:rPr>
              <w:t>1,282,300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 Miscellaneous</w:t>
            </w:r>
          </w:p>
        </w:tc>
        <w:tc>
          <w:tcPr>
            <w:tcW w:w="7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Total</w:t>
            </w:r>
          </w:p>
        </w:tc>
        <w:tc>
          <w:tcPr>
            <w:tcW w:w="7980" w:type="dxa"/>
            <w:vAlign w:val="bottom"/>
            <w:shd w:val="clear" w:color="auto" w:fill="CCFFCC"/>
          </w:tcPr>
          <w:p>
            <w:pPr>
              <w:ind w:left="8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Total in NIS 2,094,300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Grant 30% 628,290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A. The person performing the research shall be entitled to payments only with respect to expenses made and registered in a special account (including registration of work hours of the researchers working in this research), and in accordance with the budget instructions of the Office of the Chief Scientist at the Ministry of Trade and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This budget page is in effect only after signing the letter of 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37" w:lineRule="exact"/>
        <w:rPr>
          <w:sz w:val="20"/>
          <w:szCs w:val="20"/>
          <w:color w:val="auto"/>
        </w:rPr>
      </w:pPr>
    </w:p>
    <w:tbl>
      <w:tblPr>
        <w:tblLayout w:type="fixed"/>
        <w:tblInd w:w="1160" w:type="dxa"/>
        <w:tblCellMar>
          <w:top w:w="0" w:type="dxa"/>
          <w:left w:w="0" w:type="dxa"/>
          <w:bottom w:w="0" w:type="dxa"/>
          <w:right w:w="0" w:type="dxa"/>
        </w:tblCellMar>
      </w:tblPr>
      <w:tr>
        <w:trPr>
          <w:trHeight w:val="254"/>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/s/</w:t>
            </w:r>
          </w:p>
        </w:tc>
        <w:tc>
          <w:tcPr>
            <w:tcW w:w="600" w:type="dxa"/>
            <w:vAlign w:val="bottom"/>
          </w:tcPr>
          <w:p>
            <w:pPr>
              <w:spacing w:after="0"/>
              <w:rPr>
                <w:sz w:val="22"/>
                <w:szCs w:val="22"/>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Alcobra Ltd.</w:t>
            </w:r>
          </w:p>
        </w:tc>
        <w:tc>
          <w:tcPr>
            <w:tcW w:w="560" w:type="dxa"/>
            <w:vAlign w:val="bottom"/>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r>
      <w:tr>
        <w:trPr>
          <w:trHeight w:val="217"/>
        </w:trPr>
        <w:tc>
          <w:tcPr>
            <w:tcW w:w="2520" w:type="dxa"/>
            <w:vAlign w:val="bottom"/>
          </w:tcPr>
          <w:p>
            <w:pPr>
              <w:jc w:val="center"/>
              <w:spacing w:after="0"/>
              <w:rPr>
                <w:sz w:val="20"/>
                <w:szCs w:val="20"/>
                <w:color w:val="auto"/>
              </w:rPr>
            </w:pPr>
            <w:r>
              <w:rPr>
                <w:rFonts w:ascii="Arial" w:cs="Arial" w:eastAsia="Arial" w:hAnsi="Arial"/>
                <w:sz w:val="18"/>
                <w:szCs w:val="18"/>
                <w:color w:val="auto"/>
                <w:w w:val="97"/>
              </w:rPr>
              <w:t>Office</w:t>
            </w:r>
          </w:p>
        </w:tc>
        <w:tc>
          <w:tcPr>
            <w:tcW w:w="6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560" w:type="dxa"/>
            <w:vAlign w:val="bottom"/>
          </w:tcPr>
          <w:p>
            <w:pPr>
              <w:spacing w:after="0"/>
              <w:rPr>
                <w:sz w:val="18"/>
                <w:szCs w:val="18"/>
                <w:color w:val="auto"/>
              </w:rPr>
            </w:pPr>
          </w:p>
        </w:tc>
        <w:tc>
          <w:tcPr>
            <w:tcW w:w="2720" w:type="dxa"/>
            <w:vAlign w:val="bottom"/>
          </w:tcPr>
          <w:p>
            <w:pPr>
              <w:ind w:left="1200"/>
              <w:spacing w:after="0"/>
              <w:rPr>
                <w:sz w:val="20"/>
                <w:szCs w:val="20"/>
                <w:color w:val="auto"/>
              </w:rPr>
            </w:pPr>
            <w:r>
              <w:rPr>
                <w:rFonts w:ascii="Arial" w:cs="Arial" w:eastAsia="Arial" w:hAnsi="Arial"/>
                <w:sz w:val="18"/>
                <w:szCs w:val="18"/>
                <w:color w:val="auto"/>
              </w:rPr>
              <w:t>Date</w:t>
            </w:r>
          </w:p>
        </w:tc>
      </w:tr>
    </w:tbl>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10.8 -- Letter of Approval from the Office of Chief Scientist;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[Free Translation from Hebrew]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number at the registrar of companies: 514098995</w:t>
      </w:r>
    </w:p>
    <w:p>
      <w:pPr>
        <w:sectPr>
          <w:pgSz w:w="11900" w:h="16838" w:orient="portrait"/>
          <w:cols w:equalWidth="0" w:num="1">
            <w:col w:w="11420"/>
          </w:cols>
          <w:pgMar w:left="240" w:top="864"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Industrial Research and Development Administration, Office of Chief Scientist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Ministry of Industry, Trade and Employment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Bank Israel, PO Box 3166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3.12.09</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Company: </w:t>
      </w:r>
      <w:r>
        <w:rPr>
          <w:rFonts w:ascii="Arial" w:cs="Arial" w:eastAsia="Arial" w:hAnsi="Arial"/>
          <w:sz w:val="16"/>
          <w:szCs w:val="16"/>
          <w:b w:val="1"/>
          <w:bCs w:val="1"/>
          <w:color w:val="auto"/>
        </w:rPr>
        <w:t>6336</w:t>
      </w:r>
    </w:p>
    <w:p>
      <w:pPr>
        <w:spacing w:after="0" w:line="655" w:lineRule="exact"/>
        <w:rPr>
          <w:sz w:val="20"/>
          <w:szCs w:val="20"/>
          <w:color w:val="auto"/>
        </w:rPr>
      </w:pPr>
    </w:p>
    <w:p>
      <w:pPr>
        <w:sectPr>
          <w:pgSz w:w="11900" w:h="16838" w:orient="portrait"/>
          <w:cols w:equalWidth="0" w:num="2">
            <w:col w:w="8860" w:space="720"/>
            <w:col w:w="1840"/>
          </w:cols>
          <w:pgMar w:left="240" w:top="86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Undertaking Letter and Notice re Commencement of Performance of Approved R&amp;D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w:t>
      </w:r>
      <w:r>
        <w:rPr>
          <w:rFonts w:ascii="Arial" w:cs="Arial" w:eastAsia="Arial" w:hAnsi="Arial"/>
          <w:sz w:val="18"/>
          <w:szCs w:val="18"/>
          <w:b w:val="1"/>
          <w:bCs w:val="1"/>
          <w:color w:val="auto"/>
        </w:rPr>
        <w:t>Development of Treatment for Attention Deficit Disorder and Memory Impairment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 Number: </w:t>
      </w:r>
      <w:r>
        <w:rPr>
          <w:rFonts w:ascii="Arial" w:cs="Arial" w:eastAsia="Arial" w:hAnsi="Arial"/>
          <w:sz w:val="18"/>
          <w:szCs w:val="18"/>
          <w:b w:val="1"/>
          <w:bCs w:val="1"/>
          <w:color w:val="auto"/>
        </w:rPr>
        <w:t>42073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hereby inform you that we commenced performing the approved plan, according to the referenced approval letter on </w:t>
      </w:r>
      <w:r>
        <w:rPr>
          <w:rFonts w:ascii="Arial" w:cs="Arial" w:eastAsia="Arial" w:hAnsi="Arial"/>
          <w:sz w:val="16"/>
          <w:szCs w:val="16"/>
          <w:b w:val="1"/>
          <w:bCs w:val="1"/>
          <w:color w:val="auto"/>
        </w:rPr>
        <w:t>01.05.09</w:t>
      </w:r>
      <w:r>
        <w:rPr>
          <w:rFonts w:ascii="Arial" w:cs="Arial" w:eastAsia="Arial" w:hAnsi="Arial"/>
          <w:sz w:val="16"/>
          <w:szCs w:val="16"/>
          <w:color w:val="auto"/>
        </w:rPr>
        <w:t>.</w:t>
      </w:r>
    </w:p>
    <w:p>
      <w:pPr>
        <w:sectPr>
          <w:pgSz w:w="11900" w:h="16838" w:orient="portrait"/>
          <w:cols w:equalWidth="0" w:num="1">
            <w:col w:w="11420"/>
          </w:cols>
          <w:pgMar w:left="240" w:top="864" w:right="239" w:bottom="1440" w:gutter="0" w:footer="0" w:header="0"/>
          <w:type w:val="continuous"/>
        </w:sectPr>
      </w:pPr>
    </w:p>
    <w:p>
      <w:pPr>
        <w:spacing w:after="0" w:line="252" w:lineRule="exact"/>
        <w:rPr>
          <w:sz w:val="20"/>
          <w:szCs w:val="20"/>
          <w:color w:val="auto"/>
        </w:rPr>
      </w:pPr>
    </w:p>
    <w:p>
      <w:pPr>
        <w:ind w:left="900" w:hanging="446"/>
        <w:spacing w:after="0"/>
        <w:tabs>
          <w:tab w:leader="none" w:pos="90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We declare and undertake to comply with all the provisions of the Law for the Encouragement of Research and Development in Industry 5744-</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1984 (hereinafter the “Law”), and including:</w:t>
      </w:r>
    </w:p>
    <w:p>
      <w:pPr>
        <w:spacing w:after="0" w:line="210" w:lineRule="exact"/>
        <w:rPr>
          <w:rFonts w:ascii="Arial" w:cs="Arial" w:eastAsia="Arial" w:hAnsi="Arial"/>
          <w:sz w:val="16"/>
          <w:szCs w:val="16"/>
          <w:color w:val="auto"/>
        </w:rPr>
      </w:pPr>
    </w:p>
    <w:p>
      <w:pPr>
        <w:ind w:left="1480" w:right="500" w:hanging="567"/>
        <w:spacing w:after="0" w:line="277" w:lineRule="auto"/>
        <w:tabs>
          <w:tab w:leader="none" w:pos="14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obligation not to transfer to another the knowledge, the rights on the knowledge and the manufacturing rights deriving from the research and development without the approval of the research committee.</w:t>
      </w:r>
    </w:p>
    <w:p>
      <w:pPr>
        <w:spacing w:after="0" w:line="170" w:lineRule="exact"/>
        <w:rPr>
          <w:rFonts w:ascii="Arial" w:cs="Arial" w:eastAsia="Arial" w:hAnsi="Arial"/>
          <w:sz w:val="18"/>
          <w:szCs w:val="18"/>
          <w:color w:val="auto"/>
        </w:rPr>
      </w:pPr>
    </w:p>
    <w:p>
      <w:pPr>
        <w:ind w:left="1480" w:right="180" w:hanging="567"/>
        <w:spacing w:after="0" w:line="286" w:lineRule="auto"/>
        <w:tabs>
          <w:tab w:leader="none" w:pos="148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to pay royalties and file all reports according to the Law and the Regulations for the Encouragement of Research and Development in Industry (Rate of Royalties and Rules for their Application), 5756-1996 (hereinafter the “Royalties Regulations”) and the procedures of the Industrial Research and Development Administration (hereinafter the “Administration”).</w:t>
      </w:r>
    </w:p>
    <w:p>
      <w:pPr>
        <w:spacing w:after="0" w:line="165" w:lineRule="exact"/>
        <w:rPr>
          <w:rFonts w:ascii="Arial" w:cs="Arial" w:eastAsia="Arial" w:hAnsi="Arial"/>
          <w:sz w:val="17"/>
          <w:szCs w:val="17"/>
          <w:color w:val="auto"/>
        </w:rPr>
      </w:pPr>
    </w:p>
    <w:p>
      <w:pPr>
        <w:ind w:left="900" w:right="140" w:hanging="446"/>
        <w:spacing w:after="0" w:line="277" w:lineRule="auto"/>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We declare that we have read all instructions and procedures for financial reporting for R&amp;D purposes and we will comply with them, including in connection with the computerized system for the reporting on hours in assignment to tasks.</w:t>
      </w:r>
    </w:p>
    <w:p>
      <w:pPr>
        <w:spacing w:after="0" w:line="166"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We consent to the attribution of this file numbered: </w:t>
      </w:r>
      <w:r>
        <w:rPr>
          <w:rFonts w:ascii="Arial" w:cs="Arial" w:eastAsia="Arial" w:hAnsi="Arial"/>
          <w:sz w:val="18"/>
          <w:szCs w:val="18"/>
          <w:b w:val="1"/>
          <w:bCs w:val="1"/>
          <w:color w:val="auto"/>
        </w:rPr>
        <w:t>42073</w:t>
      </w:r>
      <w:r>
        <w:rPr>
          <w:rFonts w:ascii="Arial" w:cs="Arial" w:eastAsia="Arial" w:hAnsi="Arial"/>
          <w:sz w:val="18"/>
          <w:szCs w:val="18"/>
          <w:color w:val="auto"/>
        </w:rPr>
        <w:t xml:space="preserve"> to plan </w:t>
      </w:r>
      <w:r>
        <w:rPr>
          <w:rFonts w:ascii="Arial" w:cs="Arial" w:eastAsia="Arial" w:hAnsi="Arial"/>
          <w:sz w:val="18"/>
          <w:szCs w:val="18"/>
          <w:b w:val="1"/>
          <w:bCs w:val="1"/>
          <w:color w:val="auto"/>
        </w:rPr>
        <w:t>42073</w:t>
      </w:r>
    </w:p>
    <w:p>
      <w:pPr>
        <w:spacing w:after="0" w:line="2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 xml:space="preserve">subject: </w:t>
      </w:r>
      <w:r>
        <w:rPr>
          <w:rFonts w:ascii="Arial" w:cs="Arial" w:eastAsia="Arial" w:hAnsi="Arial"/>
          <w:sz w:val="18"/>
          <w:szCs w:val="18"/>
          <w:b w:val="1"/>
          <w:bCs w:val="1"/>
          <w:color w:val="auto"/>
        </w:rPr>
        <w:t>Development of Treatment for Attention Deficit Disorder and Memory Impairment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Additional undertakings: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Royalties shall be paid on income from Metadoxin Extended (Controlled) Release Tablets.</w:t>
      </w:r>
    </w:p>
    <w:p>
      <w:pPr>
        <w:spacing w:after="0" w:line="200" w:lineRule="exact"/>
        <w:rPr>
          <w:sz w:val="20"/>
          <w:szCs w:val="20"/>
          <w:color w:val="auto"/>
        </w:rPr>
      </w:pPr>
    </w:p>
    <w:p>
      <w:pPr>
        <w:spacing w:after="0" w:line="245" w:lineRule="exact"/>
        <w:rPr>
          <w:sz w:val="20"/>
          <w:szCs w:val="20"/>
          <w:color w:val="auto"/>
        </w:rPr>
      </w:pPr>
    </w:p>
    <w:p>
      <w:pPr>
        <w:ind w:left="900" w:right="200" w:hanging="446"/>
        <w:spacing w:after="0" w:line="342" w:lineRule="auto"/>
        <w:tabs>
          <w:tab w:leader="none" w:pos="9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We hereby declare that we have separated and distinguished account/s in the framework of our financial bookkeeping for the purpose of performing this plan. The recordings made in the account/s are direct, chronological, primary, systematic and only according to documentation.</w:t>
      </w:r>
    </w:p>
    <w:p>
      <w:pPr>
        <w:spacing w:after="0" w:line="123" w:lineRule="exact"/>
        <w:rPr>
          <w:rFonts w:ascii="Arial" w:cs="Arial" w:eastAsia="Arial" w:hAnsi="Arial"/>
          <w:sz w:val="16"/>
          <w:szCs w:val="16"/>
          <w:color w:val="auto"/>
        </w:rPr>
      </w:pPr>
    </w:p>
    <w:p>
      <w:pPr>
        <w:ind w:left="900" w:right="1020" w:hanging="446"/>
        <w:spacing w:after="0" w:line="277" w:lineRule="auto"/>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We hereby declare that we are aware that the referenced grant shall be paid subject to the terms of the approval and according to the Administration’s procedures.</w:t>
      </w:r>
    </w:p>
    <w:p>
      <w:pPr>
        <w:spacing w:after="0" w:line="17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attached budget, including its details, terms and appendices constitutes a binding framework. Expenses deviating from this detailed framework will not be recognized, unless under the approval of the Administration.</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Procedures:</w:t>
      </w:r>
    </w:p>
    <w:p>
      <w:pPr>
        <w:spacing w:after="0" w:line="225" w:lineRule="exact"/>
        <w:rPr>
          <w:rFonts w:ascii="Arial" w:cs="Arial" w:eastAsia="Arial" w:hAnsi="Arial"/>
          <w:sz w:val="18"/>
          <w:szCs w:val="18"/>
          <w:color w:val="auto"/>
        </w:rPr>
      </w:pPr>
    </w:p>
    <w:p>
      <w:pPr>
        <w:ind w:left="1480" w:hanging="567"/>
        <w:spacing w:after="0"/>
        <w:tabs>
          <w:tab w:leader="none" w:pos="14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company shall not be entitled to advancement, and all payments shall be in accordance with the financial report.</w:t>
      </w:r>
    </w:p>
    <w:p>
      <w:pPr>
        <w:spacing w:after="0" w:line="225" w:lineRule="exact"/>
        <w:rPr>
          <w:rFonts w:ascii="Arial" w:cs="Arial" w:eastAsia="Arial" w:hAnsi="Arial"/>
          <w:sz w:val="18"/>
          <w:szCs w:val="18"/>
          <w:color w:val="auto"/>
        </w:rPr>
      </w:pPr>
    </w:p>
    <w:p>
      <w:pPr>
        <w:ind w:left="1480" w:right="100" w:hanging="567"/>
        <w:spacing w:after="0" w:line="312" w:lineRule="auto"/>
        <w:tabs>
          <w:tab w:leader="none" w:pos="148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Any additional payment shall be executed according to a detailed financial report which corresponds to the Administration’s procedures. Payment shall be made after review of the aforesaid report. The grant’s recipient is obliged to file a financial report once every three months and a technical report at least once every half a year, and this on the Administration’s forms or in the same format.</w:t>
      </w:r>
    </w:p>
    <w:p>
      <w:pPr>
        <w:spacing w:after="0" w:line="146" w:lineRule="exact"/>
        <w:rPr>
          <w:rFonts w:ascii="Arial" w:cs="Arial" w:eastAsia="Arial" w:hAnsi="Arial"/>
          <w:sz w:val="16"/>
          <w:szCs w:val="16"/>
          <w:color w:val="auto"/>
        </w:rPr>
      </w:pPr>
    </w:p>
    <w:p>
      <w:pPr>
        <w:ind w:left="1480" w:right="320" w:hanging="567"/>
        <w:spacing w:after="0" w:line="277" w:lineRule="auto"/>
        <w:tabs>
          <w:tab w:leader="none" w:pos="14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truthfulness of the financial report shall be confirmed by an authorized representative of the company, and documents witnessing actual payments to subcontractors shall be attached, if such expense is reported.</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10.8 -- Letter of Approval from the Office of Chief Scientist;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type w:val="continuous"/>
        </w:sectPr>
      </w:pPr>
    </w:p>
    <w:bookmarkStart w:id="197" w:name="page198"/>
    <w:bookmarkEnd w:id="197"/>
    <w:p>
      <w:pPr>
        <w:ind w:left="1026" w:hanging="567"/>
        <w:spacing w:after="0" w:line="257" w:lineRule="auto"/>
        <w:tabs>
          <w:tab w:leader="none" w:pos="10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payment with respect to the approved grant shall be considered as advanced payment only until the approval of the final report. Until the final report, no more than 90% (including ongoing advancements) shall be paid from the lower of the budgeted grant or the expense in the financial report. The remaining balance shall be paid only following receipt of a final financial report and a final technical report together with confirmation from an accountant on behalf of the company. The payment shall be made following examination of the reports by representatives of the Administration.</w:t>
      </w:r>
    </w:p>
    <w:p>
      <w:pPr>
        <w:spacing w:after="0" w:line="188" w:lineRule="exact"/>
        <w:rPr>
          <w:rFonts w:ascii="Arial" w:cs="Arial" w:eastAsia="Arial" w:hAnsi="Arial"/>
          <w:sz w:val="18"/>
          <w:szCs w:val="18"/>
          <w:color w:val="auto"/>
        </w:rPr>
      </w:pPr>
    </w:p>
    <w:p>
      <w:pPr>
        <w:ind w:left="1026" w:right="100" w:hanging="567"/>
        <w:spacing w:after="0" w:line="264" w:lineRule="auto"/>
        <w:tabs>
          <w:tab w:leader="none" w:pos="10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company’s books of accounts, including the company’s balance sheets, shall be open for review of the Administration during a period of 7 years from the commencement of performance of the approved plan, or 6 years from filing the final financial report, the later of the two.</w:t>
      </w:r>
    </w:p>
    <w:p>
      <w:pPr>
        <w:spacing w:after="0" w:line="181" w:lineRule="exact"/>
        <w:rPr>
          <w:rFonts w:ascii="Arial" w:cs="Arial" w:eastAsia="Arial" w:hAnsi="Arial"/>
          <w:sz w:val="18"/>
          <w:szCs w:val="18"/>
          <w:color w:val="auto"/>
        </w:rPr>
      </w:pPr>
    </w:p>
    <w:p>
      <w:pPr>
        <w:ind w:left="1026" w:hanging="567"/>
        <w:spacing w:after="0"/>
        <w:tabs>
          <w:tab w:leader="none" w:pos="10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Administration will have the right to setoff any sum due from the recipient of the support out of grant approved hereby.</w:t>
      </w:r>
    </w:p>
    <w:p>
      <w:pPr>
        <w:spacing w:after="0" w:line="225" w:lineRule="exact"/>
        <w:rPr>
          <w:rFonts w:ascii="Arial" w:cs="Arial" w:eastAsia="Arial" w:hAnsi="Arial"/>
          <w:sz w:val="18"/>
          <w:szCs w:val="18"/>
          <w:color w:val="auto"/>
        </w:rPr>
      </w:pPr>
    </w:p>
    <w:p>
      <w:pPr>
        <w:jc w:val="both"/>
        <w:ind w:left="1026" w:right="80" w:hanging="567"/>
        <w:spacing w:after="0" w:line="264" w:lineRule="auto"/>
        <w:tabs>
          <w:tab w:leader="none" w:pos="10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grant’s recipient is not entitled to stop performing the plan without the prior written approval from the head of the Administration. If the plan is ceased without such approval, the Administration may and shall be entitled to demand the return of the grant plus interest and linkage differentials in accordance with the law.</w:t>
      </w:r>
    </w:p>
    <w:p>
      <w:pPr>
        <w:spacing w:after="0" w:line="181" w:lineRule="exact"/>
        <w:rPr>
          <w:rFonts w:ascii="Arial" w:cs="Arial" w:eastAsia="Arial" w:hAnsi="Arial"/>
          <w:sz w:val="18"/>
          <w:szCs w:val="18"/>
          <w:color w:val="auto"/>
        </w:rPr>
      </w:pPr>
    </w:p>
    <w:p>
      <w:pPr>
        <w:ind w:left="1026" w:right="200" w:hanging="567"/>
        <w:spacing w:after="0" w:line="264" w:lineRule="auto"/>
        <w:tabs>
          <w:tab w:leader="none" w:pos="10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grant’s recipient is obligated to file a final financial report approved by an accountant on its behalf in a format acceptable to the Office of the Chief Scientist and a final technical report to the approved plan, no later than 3 months from the date of completion of the approved plan.</w:t>
      </w:r>
    </w:p>
    <w:p>
      <w:pPr>
        <w:spacing w:after="0" w:line="181" w:lineRule="exact"/>
        <w:rPr>
          <w:rFonts w:ascii="Arial" w:cs="Arial" w:eastAsia="Arial" w:hAnsi="Arial"/>
          <w:sz w:val="18"/>
          <w:szCs w:val="18"/>
          <w:color w:val="auto"/>
        </w:rPr>
      </w:pPr>
    </w:p>
    <w:p>
      <w:pPr>
        <w:ind w:left="1026" w:hanging="567"/>
        <w:spacing w:after="0"/>
        <w:tabs>
          <w:tab w:leader="none" w:pos="10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Administration is entitled to demand additional technical reports at any time.</w:t>
      </w:r>
    </w:p>
    <w:p>
      <w:pPr>
        <w:spacing w:after="0" w:line="225" w:lineRule="exact"/>
        <w:rPr>
          <w:rFonts w:ascii="Arial" w:cs="Arial" w:eastAsia="Arial" w:hAnsi="Arial"/>
          <w:sz w:val="18"/>
          <w:szCs w:val="18"/>
          <w:color w:val="auto"/>
        </w:rPr>
      </w:pPr>
    </w:p>
    <w:p>
      <w:pPr>
        <w:ind w:left="1026" w:hanging="567"/>
        <w:spacing w:after="0"/>
        <w:tabs>
          <w:tab w:leader="none" w:pos="10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 expense shall not be recognized unless the consideration therefor is paid, except overhead in salaries item.</w:t>
      </w:r>
    </w:p>
    <w:p>
      <w:pPr>
        <w:spacing w:after="0" w:line="225" w:lineRule="exact"/>
        <w:rPr>
          <w:rFonts w:ascii="Arial" w:cs="Arial" w:eastAsia="Arial" w:hAnsi="Arial"/>
          <w:sz w:val="18"/>
          <w:szCs w:val="18"/>
          <w:color w:val="auto"/>
        </w:rPr>
      </w:pPr>
    </w:p>
    <w:p>
      <w:pPr>
        <w:ind w:left="1026" w:right="520" w:hanging="567"/>
        <w:spacing w:after="0" w:line="277" w:lineRule="auto"/>
        <w:tabs>
          <w:tab w:leader="none" w:pos="10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In the final financial report only expenses accumulated during the approved research period and paid no later than 60 days from its termination shall be recognized.</w:t>
      </w:r>
    </w:p>
    <w:p>
      <w:pPr>
        <w:spacing w:after="0" w:line="170" w:lineRule="exact"/>
        <w:rPr>
          <w:rFonts w:ascii="Arial" w:cs="Arial" w:eastAsia="Arial" w:hAnsi="Arial"/>
          <w:sz w:val="18"/>
          <w:szCs w:val="18"/>
          <w:color w:val="auto"/>
        </w:rPr>
      </w:pPr>
    </w:p>
    <w:p>
      <w:pPr>
        <w:ind w:left="1026" w:hanging="567"/>
        <w:spacing w:after="0"/>
        <w:tabs>
          <w:tab w:leader="none" w:pos="1026"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The Administration may demand interest and linkage differentials as provided by law on any sum due to it from the recipient of the grant.</w:t>
      </w:r>
    </w:p>
    <w:p>
      <w:pPr>
        <w:spacing w:after="0" w:line="248" w:lineRule="exact"/>
        <w:rPr>
          <w:rFonts w:ascii="Arial" w:cs="Arial" w:eastAsia="Arial" w:hAnsi="Arial"/>
          <w:sz w:val="16"/>
          <w:szCs w:val="16"/>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abovementioned terms do not derogate from any statute and law applicable to the grant for this file.</w:t>
      </w:r>
    </w:p>
    <w:p>
      <w:pPr>
        <w:spacing w:after="0" w:line="225"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We hereby undertake to comply with intellectual property laws as shall be practiced in Israel from time to time, and we consent that if we are convicted for violation of any of the intellectual property laws the Administration shall be entitled to retrospectively terminate any benefit granted by you, including grant, loan, benefit or any other financial advantage, or any part of such benefit, and demand their repayment including interest and linkage differentials, according to the law.</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10.8 -- Letter of Approval from the Office of Chief Scientist;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6"/>
          </w:cols>
          <w:pgMar w:left="694" w:top="868"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u w:val="single" w:color="auto"/>
          <w:color w:val="auto"/>
        </w:rPr>
        <w:t>Signature confirmation for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accountant Shai Einstein hereby confirms that ____________ is lawfully registered in Israel; that Messrs. Rina Yamin who have signed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on its behalf, have signed it before me and are authorized to do so on its behalf; that their signature on this agreement binds the 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40" w:type="dxa"/>
            <w:vAlign w:val="bottom"/>
            <w:gridSpan w:val="5"/>
          </w:tcPr>
          <w:p>
            <w:pPr>
              <w:jc w:val="center"/>
              <w:ind w:right="30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12.09</w:t>
            </w: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3"/>
          </w:tcPr>
          <w:p>
            <w:pPr>
              <w:jc w:val="center"/>
              <w:ind w:right="2630"/>
              <w:spacing w:after="0"/>
              <w:rPr>
                <w:sz w:val="20"/>
                <w:szCs w:val="20"/>
                <w:color w:val="auto"/>
              </w:rPr>
            </w:pPr>
            <w:r>
              <w:rPr>
                <w:rFonts w:ascii="Arial" w:cs="Arial" w:eastAsia="Arial" w:hAnsi="Arial"/>
                <w:sz w:val="18"/>
                <w:szCs w:val="18"/>
                <w:color w:val="auto"/>
                <w:w w:val="83"/>
              </w:rPr>
              <w:t>/s/</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Date</w:t>
            </w:r>
          </w:p>
        </w:tc>
        <w:tc>
          <w:tcPr>
            <w:tcW w:w="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0" w:type="dxa"/>
            <w:vAlign w:val="bottom"/>
            <w:gridSpan w:val="5"/>
          </w:tcPr>
          <w:p>
            <w:pPr>
              <w:jc w:val="center"/>
              <w:ind w:right="1710"/>
              <w:spacing w:after="0"/>
              <w:rPr>
                <w:sz w:val="20"/>
                <w:szCs w:val="20"/>
                <w:color w:val="auto"/>
              </w:rPr>
            </w:pPr>
            <w:r>
              <w:rPr>
                <w:rFonts w:ascii="Arial" w:cs="Arial" w:eastAsia="Arial" w:hAnsi="Arial"/>
                <w:sz w:val="18"/>
                <w:szCs w:val="18"/>
                <w:color w:val="auto"/>
                <w:w w:val="89"/>
              </w:rPr>
              <w:t>Signature and stamp</w:t>
            </w:r>
          </w:p>
        </w:tc>
      </w:tr>
      <w:tr>
        <w:trPr>
          <w:trHeight w:val="216"/>
        </w:trPr>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64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gridSpan w:val="5"/>
          </w:tcPr>
          <w:p>
            <w:pPr>
              <w:ind w:left="200"/>
              <w:spacing w:after="0"/>
              <w:rPr>
                <w:sz w:val="20"/>
                <w:szCs w:val="20"/>
                <w:color w:val="auto"/>
              </w:rPr>
            </w:pPr>
            <w:r>
              <w:rPr>
                <w:rFonts w:ascii="Arial" w:cs="Arial" w:eastAsia="Arial" w:hAnsi="Arial"/>
                <w:sz w:val="18"/>
                <w:szCs w:val="18"/>
                <w:color w:val="auto"/>
              </w:rPr>
              <w:t>/s/</w:t>
            </w:r>
          </w:p>
        </w:tc>
        <w:tc>
          <w:tcPr>
            <w:tcW w:w="2060" w:type="dxa"/>
            <w:vAlign w:val="bottom"/>
          </w:tcPr>
          <w:p>
            <w:pPr>
              <w:ind w:left="260"/>
              <w:spacing w:after="0"/>
              <w:rPr>
                <w:sz w:val="20"/>
                <w:szCs w:val="20"/>
                <w:color w:val="auto"/>
              </w:rPr>
            </w:pPr>
            <w:r>
              <w:rPr>
                <w:rFonts w:ascii="Arial" w:cs="Arial" w:eastAsia="Arial" w:hAnsi="Arial"/>
                <w:sz w:val="18"/>
                <w:szCs w:val="18"/>
                <w:color w:val="auto"/>
              </w:rPr>
              <w:t>Rina Yamin</w:t>
            </w:r>
          </w:p>
        </w:tc>
        <w:tc>
          <w:tcPr>
            <w:tcW w:w="340" w:type="dxa"/>
            <w:vAlign w:val="bottom"/>
          </w:tcPr>
          <w:p>
            <w:pPr>
              <w:spacing w:after="0"/>
              <w:rPr>
                <w:sz w:val="24"/>
                <w:szCs w:val="24"/>
                <w:color w:val="auto"/>
              </w:rPr>
            </w:pPr>
          </w:p>
        </w:tc>
        <w:tc>
          <w:tcPr>
            <w:tcW w:w="1760" w:type="dxa"/>
            <w:vAlign w:val="bottom"/>
          </w:tcPr>
          <w:p>
            <w:pPr>
              <w:ind w:left="1120"/>
              <w:spacing w:after="0"/>
              <w:rPr>
                <w:sz w:val="20"/>
                <w:szCs w:val="20"/>
                <w:color w:val="auto"/>
              </w:rPr>
            </w:pPr>
            <w:r>
              <w:rPr>
                <w:rFonts w:ascii="Arial" w:cs="Arial" w:eastAsia="Arial" w:hAnsi="Arial"/>
                <w:sz w:val="18"/>
                <w:szCs w:val="18"/>
                <w:color w:val="auto"/>
              </w:rPr>
              <w:t>CEO</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820"/>
              <w:spacing w:after="0"/>
              <w:rPr>
                <w:sz w:val="20"/>
                <w:szCs w:val="20"/>
                <w:color w:val="auto"/>
              </w:rPr>
            </w:pPr>
            <w:r>
              <w:rPr>
                <w:rFonts w:ascii="Arial" w:cs="Arial" w:eastAsia="Arial" w:hAnsi="Arial"/>
                <w:sz w:val="18"/>
                <w:szCs w:val="18"/>
                <w:b w:val="1"/>
                <w:bCs w:val="1"/>
                <w:color w:val="auto"/>
              </w:rPr>
              <w:t>Alcobra Ltd.</w:t>
            </w:r>
          </w:p>
        </w:tc>
      </w:tr>
      <w:tr>
        <w:trPr>
          <w:trHeight w:val="405"/>
        </w:trPr>
        <w:tc>
          <w:tcPr>
            <w:tcW w:w="92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20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Position</w:t>
            </w: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Company’s stamp</w:t>
            </w:r>
          </w:p>
        </w:tc>
      </w:tr>
    </w:tbl>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10.8 -- Letter of Approval from the Office of Chief Scientist;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[Free Translation from Hebrew]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Ministry of Trade and Industry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Industrial Research and Development Administration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of Chief Scientist</w:t>
      </w:r>
    </w:p>
    <w:p>
      <w:pPr>
        <w:spacing w:after="0" w:line="211" w:lineRule="exact"/>
        <w:rPr>
          <w:sz w:val="20"/>
          <w:szCs w:val="20"/>
          <w:color w:val="auto"/>
        </w:rPr>
      </w:pPr>
    </w:p>
    <w:p>
      <w:pPr>
        <w:ind w:left="9360"/>
        <w:spacing w:after="0"/>
        <w:rPr>
          <w:sz w:val="20"/>
          <w:szCs w:val="20"/>
          <w:color w:val="auto"/>
        </w:rPr>
      </w:pPr>
      <w:r>
        <w:rPr>
          <w:rFonts w:ascii="Arial" w:cs="Arial" w:eastAsia="Arial" w:hAnsi="Arial"/>
          <w:sz w:val="15"/>
          <w:szCs w:val="15"/>
          <w:color w:val="auto"/>
        </w:rPr>
        <w:t>Jerusalem, ______________</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Letter of Approval Number: </w:t>
      </w:r>
      <w:r>
        <w:rPr>
          <w:rFonts w:ascii="Arial" w:cs="Arial" w:eastAsia="Arial" w:hAnsi="Arial"/>
          <w:sz w:val="18"/>
          <w:szCs w:val="18"/>
          <w:b w:val="1"/>
          <w:bCs w:val="1"/>
          <w:color w:val="auto"/>
        </w:rPr>
        <w:t>42073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(Fiscal regulation: </w:t>
      </w:r>
      <w:r>
        <w:rPr>
          <w:rFonts w:ascii="Arial" w:cs="Arial" w:eastAsia="Arial" w:hAnsi="Arial"/>
          <w:sz w:val="18"/>
          <w:szCs w:val="18"/>
          <w:b w:val="1"/>
          <w:bCs w:val="1"/>
          <w:color w:val="auto"/>
        </w:rPr>
        <w:t>38020101</w:t>
      </w:r>
      <w:r>
        <w:rPr>
          <w:rFonts w:ascii="Arial" w:cs="Arial" w:eastAsia="Arial" w:hAnsi="Arial"/>
          <w:sz w:val="18"/>
          <w:szCs w:val="18"/>
          <w:color w:val="auto"/>
        </w:rPr>
        <w:t>)</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6"/>
          <w:szCs w:val="16"/>
          <w:color w:val="auto"/>
        </w:rPr>
        <w:t xml:space="preserve">Group: </w:t>
      </w:r>
      <w:r>
        <w:rPr>
          <w:rFonts w:ascii="Arial" w:cs="Arial" w:eastAsia="Arial" w:hAnsi="Arial"/>
          <w:sz w:val="16"/>
          <w:szCs w:val="16"/>
          <w:b w:val="1"/>
          <w:bCs w:val="1"/>
          <w:color w:val="auto"/>
        </w:rPr>
        <w:t>13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POB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Givatayim 53454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to Letter of Approval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Compliance with Intellectual Property Laws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acknowledged your undertaking from 03.12.09 to comply with intellectual property laws as shall be practiced in Israel from time to time, that if you are convicted for violation of the intellectual property laws of Israel, by a final and un-appealable judgment in an Israeli court, we shall be entitled to terminate any benefit granted to you by the Industrial Research and Development Administration, including grant, loan, tax benefit or any other financial advantage, or any part of such benefit, and demand their return including interest and linkage differentials according to the law.</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Eli Ofer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Chief Scientist</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10.8 -- Letter of Approval from the Office of Chief Scientist;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January 14, 2013 (Except for Note 13 to which the date is February 19, 2013) with respect to the financial statements of Alcobra Ltd. included in Amendment No. 1 to the Registration Statement on Form F-1 and related Prospectus of Alcobra Ltd., dated February 19,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Tel Aviv, Israel</w:t>
            </w:r>
          </w:p>
        </w:tc>
        <w:tc>
          <w:tcPr>
            <w:tcW w:w="7900" w:type="dxa"/>
            <w:vAlign w:val="bottom"/>
          </w:tcPr>
          <w:p>
            <w:pPr>
              <w:ind w:left="2200"/>
              <w:spacing w:after="0"/>
              <w:rPr>
                <w:sz w:val="20"/>
                <w:szCs w:val="20"/>
                <w:color w:val="auto"/>
              </w:rPr>
            </w:pPr>
            <w:r>
              <w:rPr>
                <w:rFonts w:ascii="Arial" w:cs="Arial" w:eastAsia="Arial" w:hAnsi="Arial"/>
                <w:sz w:val="18"/>
                <w:szCs w:val="18"/>
                <w:color w:val="auto"/>
              </w:rPr>
              <w:t>/s/ KOST, FORER, GABBAY &amp; KASIERER</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February 19, 2013</w:t>
            </w:r>
          </w:p>
        </w:tc>
        <w:tc>
          <w:tcPr>
            <w:tcW w:w="7900" w:type="dxa"/>
            <w:vAlign w:val="bottom"/>
          </w:tcPr>
          <w:p>
            <w:pPr>
              <w:ind w:left="2200"/>
              <w:spacing w:after="0"/>
              <w:rPr>
                <w:sz w:val="20"/>
                <w:szCs w:val="20"/>
                <w:color w:val="auto"/>
              </w:rPr>
            </w:pPr>
            <w:r>
              <w:rPr>
                <w:rFonts w:ascii="Arial" w:cs="Arial" w:eastAsia="Arial" w:hAnsi="Arial"/>
                <w:sz w:val="18"/>
                <w:szCs w:val="18"/>
                <w:color w:val="auto"/>
              </w:rPr>
              <w:t>A member of Ernst &amp; Young Global</w:t>
            </w:r>
          </w:p>
        </w:tc>
      </w:tr>
      <w:tr>
        <w:trPr>
          <w:trHeight w:val="648"/>
        </w:trPr>
        <w:tc>
          <w:tcPr>
            <w:tcW w:w="352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8" w:right="2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65 Rothschild Blvd.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 Aviv 65785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Via EDGAR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P. Riedler, Assistant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Alcobra Ltd.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Registration Statement on Form F-1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Filed January 14, 2013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File No. 333-186003</w:t>
      </w:r>
    </w:p>
    <w:p>
      <w:pPr>
        <w:spacing w:after="0" w:line="200" w:lineRule="exact"/>
        <w:rPr>
          <w:sz w:val="20"/>
          <w:szCs w:val="20"/>
          <w:color w:val="auto"/>
        </w:rPr>
      </w:pP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purpose of this letter is to respond to your letter of February 10, 2013 regarding the above registration statement. For your convenience, your original comments appear in bold text, followed by our response. We are concurrently filing Amendment No. 1 to the Form F-1. Page references in our response are to Amendment No. 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Dear Mr. Riedler:</w:t>
      </w:r>
    </w:p>
    <w:p>
      <w:pPr>
        <w:spacing w:after="0" w:line="221" w:lineRule="exact"/>
        <w:rPr>
          <w:sz w:val="20"/>
          <w:szCs w:val="20"/>
          <w:color w:val="auto"/>
        </w:rPr>
      </w:pPr>
    </w:p>
    <w:p>
      <w:pPr>
        <w:ind w:left="340" w:hanging="332"/>
        <w:spacing w:after="0" w:line="282" w:lineRule="auto"/>
        <w:tabs>
          <w:tab w:leader="none" w:pos="34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Please note that when you file a pre-effective amendment that includes your price range, it must be bona fide. We interpret this to mean that your range may not exceed $2 if you price below $10 and 20% if you price above $10.</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hereby confirm the Staff’s interpretation.</w:t>
      </w:r>
    </w:p>
    <w:p>
      <w:pPr>
        <w:spacing w:after="0" w:line="221" w:lineRule="exact"/>
        <w:rPr>
          <w:rFonts w:ascii="Arial" w:cs="Arial" w:eastAsia="Arial" w:hAnsi="Arial"/>
          <w:sz w:val="18"/>
          <w:szCs w:val="18"/>
          <w:b w:val="1"/>
          <w:bCs w:val="1"/>
          <w:color w:val="auto"/>
        </w:rPr>
      </w:pPr>
    </w:p>
    <w:p>
      <w:pPr>
        <w:ind w:left="340" w:right="80" w:hanging="332"/>
        <w:spacing w:after="0" w:line="277" w:lineRule="auto"/>
        <w:tabs>
          <w:tab w:leader="none" w:pos="340"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 Similarly, please supplementally provide us with any research reports about you that are published or distributed in reliance upon Section 2(a)(3) of the Securities Act of 1933 added by Section 105(a) of the Jumpstart Our Business Startups Act by any broker or dealer that is participating or will participate in your offering.</w:t>
      </w:r>
    </w:p>
    <w:p>
      <w:pPr>
        <w:spacing w:after="0" w:line="172"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We will supplementally provide the requested copies of all such written communications and all such research reports. At this time there are none.</w:t>
      </w:r>
    </w:p>
    <w:p>
      <w:pPr>
        <w:spacing w:after="0" w:line="232" w:lineRule="exact"/>
        <w:rPr>
          <w:rFonts w:ascii="Arial" w:cs="Arial" w:eastAsia="Arial" w:hAnsi="Arial"/>
          <w:sz w:val="17"/>
          <w:szCs w:val="17"/>
          <w:b w:val="1"/>
          <w:bCs w:val="1"/>
          <w:color w:val="auto"/>
        </w:rPr>
      </w:pPr>
    </w:p>
    <w:p>
      <w:pPr>
        <w:ind w:left="340" w:right="640" w:hanging="332"/>
        <w:spacing w:after="0" w:line="282" w:lineRule="auto"/>
        <w:tabs>
          <w:tab w:leader="none" w:pos="34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proofs of all graphic, visual or photographic information you will provide in the printed prospectus prior to its use, for example in a preliminary prospectus. Please note that we may have comments regarding this material.</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will supplementally provide all such material as soon as it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Cover Page</w:t>
      </w:r>
    </w:p>
    <w:p>
      <w:pPr>
        <w:spacing w:after="0" w:line="225" w:lineRule="exact"/>
        <w:rPr>
          <w:sz w:val="20"/>
          <w:szCs w:val="20"/>
          <w:color w:val="auto"/>
        </w:rPr>
      </w:pPr>
    </w:p>
    <w:p>
      <w:pPr>
        <w:ind w:left="340" w:right="100" w:hanging="332"/>
        <w:spacing w:after="0" w:line="266" w:lineRule="auto"/>
        <w:tabs>
          <w:tab w:leader="none" w:pos="3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Please delete your statements that the industry publications and reports do not guarantee the accuracy or completeness of the information and that you have not independently verified any third-party information. It is not appropriate to directly or indirectly disclaim liability for information in the registration statement.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statements have been deleted as requested.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225" w:lineRule="exact"/>
        <w:rPr>
          <w:sz w:val="20"/>
          <w:szCs w:val="20"/>
          <w:color w:val="auto"/>
        </w:rPr>
      </w:pPr>
    </w:p>
    <w:p>
      <w:pPr>
        <w:ind w:left="340" w:right="160" w:hanging="332"/>
        <w:spacing w:after="0" w:line="298" w:lineRule="auto"/>
        <w:tabs>
          <w:tab w:leader="none" w:pos="340"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both here, in your MD&amp;A, and in your Business section you state that MG01CI has been observed to be "effective" in clinical studies conducted to date. See pages 1, 30, 36, and 41. Please be advised that the determination of product efficacy is within the purview of the FDA or comparable regulatory body in jurisdictions outside the United States and the company may not substitute its own judgment or conclusions about product safety for the applicable regulatory authority. Therefore, please revise your disclosure to remove use of the word "effective" where it may presuppose a finding of product safety for MG01CI by the appropriate regulatory authority.</w:t>
      </w:r>
    </w:p>
    <w:p>
      <w:pPr>
        <w:spacing w:after="0" w:line="158" w:lineRule="exact"/>
        <w:rPr>
          <w:rFonts w:ascii="Arial" w:cs="Arial" w:eastAsia="Arial" w:hAnsi="Arial"/>
          <w:sz w:val="16"/>
          <w:szCs w:val="16"/>
          <w:b w:val="1"/>
          <w:bCs w:val="1"/>
          <w:color w:val="auto"/>
        </w:rPr>
      </w:pPr>
    </w:p>
    <w:p>
      <w:pPr>
        <w:ind w:left="340" w:right="1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word “effective” has been removed as requested. We have substituted factual statements supported by our clinical trials data. For example, the first paragraph in the summary on page 1 of Amendment No. 1 now reads as follows:</w:t>
      </w:r>
    </w:p>
    <w:p>
      <w:pPr>
        <w:spacing w:after="0" w:line="170"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85" w:lineRule="exact"/>
        <w:rPr>
          <w:sz w:val="20"/>
          <w:szCs w:val="20"/>
          <w:color w:val="auto"/>
        </w:rPr>
      </w:pPr>
    </w:p>
    <w:p>
      <w:pPr>
        <w:ind w:left="340" w:hanging="332"/>
        <w:spacing w:after="0" w:line="277" w:lineRule="auto"/>
        <w:tabs>
          <w:tab w:leader="none" w:pos="340"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that MG01CI potentially represents a safer alternative to stimulant-based treatments and a more tolerable and effective treatment than the non-stimulants which are currently in the market. If controversy remains in the scientific community as to any of your hypotheses, you should amend your disclosure to note this and to discuss any potential ramifications, particularly how these uncertainties cast doubt upon the possibility of developing MG01CI. Any such controversy should also be addressed wherever else appropriate in your registration statement, including the relevant risk factors and your Business section.</w:t>
      </w:r>
    </w:p>
    <w:p>
      <w:pPr>
        <w:spacing w:after="0" w:line="172" w:lineRule="exact"/>
        <w:rPr>
          <w:rFonts w:ascii="Arial" w:cs="Arial" w:eastAsia="Arial" w:hAnsi="Arial"/>
          <w:sz w:val="17"/>
          <w:szCs w:val="17"/>
          <w:b w:val="1"/>
          <w:bCs w:val="1"/>
          <w:color w:val="auto"/>
        </w:rPr>
      </w:pPr>
    </w:p>
    <w:p>
      <w:pPr>
        <w:ind w:left="340" w:right="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Our clinical trial results have been published in the Journal of Clinical Psychiatry (J Clin. Psychiatry. 2012 Dec.; 73(12):1517-23), and we are not aware of any published commentary to the effect that our results are invalid or do not support our hypothesis.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93" w:right="31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7" w:lineRule="exact"/>
        <w:rPr>
          <w:sz w:val="20"/>
          <w:szCs w:val="20"/>
          <w:color w:val="auto"/>
        </w:rPr>
      </w:pPr>
    </w:p>
    <w:p>
      <w:pPr>
        <w:ind w:left="340" w:right="1380" w:hanging="332"/>
        <w:spacing w:after="0" w:line="282" w:lineRule="auto"/>
        <w:tabs>
          <w:tab w:leader="none" w:pos="34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disclosure to disclose the significance of MG01CI being neither dopaminergic (related to dopamine) nor noradrenergic (related to norepinephrine).</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These disclosures on page 36 of Amendment No. 1 now read as follows:</w:t>
      </w:r>
    </w:p>
    <w:p>
      <w:pPr>
        <w:spacing w:after="0" w:line="225" w:lineRule="exact"/>
        <w:rPr>
          <w:sz w:val="20"/>
          <w:szCs w:val="20"/>
          <w:color w:val="auto"/>
        </w:rPr>
      </w:pPr>
    </w:p>
    <w:p>
      <w:pPr>
        <w:ind w:left="660" w:right="620"/>
        <w:spacing w:after="0" w:line="286"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 . .</w:t>
      </w:r>
    </w:p>
    <w:p>
      <w:pPr>
        <w:spacing w:after="0" w:line="166"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color w:val="auto"/>
        </w:rPr>
        <w:t>The only non-stimulant drug approved to treat adult ADHD is Strattera. Strattera affects the chemical, norepinephrine, which is a stress hormone that affects parts of the brain where attention and responses are controlled. . . .</w:t>
      </w:r>
    </w:p>
    <w:p>
      <w:pPr>
        <w:spacing w:after="0" w:line="170"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In contrast to all available treatments, MG01CI is a non-stimulant with a differentiated mechanism of action that neither targets dopamine nor norepinephrine.</w:t>
      </w:r>
    </w:p>
    <w:p>
      <w:pPr>
        <w:spacing w:after="0" w:line="166" w:lineRule="exact"/>
        <w:rPr>
          <w:sz w:val="20"/>
          <w:szCs w:val="20"/>
          <w:color w:val="auto"/>
        </w:rPr>
      </w:pPr>
    </w:p>
    <w:p>
      <w:pPr>
        <w:ind w:left="340" w:hanging="332"/>
        <w:spacing w:after="0"/>
        <w:tabs>
          <w:tab w:leader="none" w:pos="34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the following bullet points to the subsection "Risks Associated with Our Business" on page 2:</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252"/>
        </w:numPr>
        <w:rPr>
          <w:rFonts w:ascii="Arial" w:cs="Arial" w:eastAsia="Arial" w:hAnsi="Arial"/>
          <w:sz w:val="18"/>
          <w:szCs w:val="18"/>
          <w:color w:val="auto"/>
        </w:rPr>
      </w:pPr>
      <w:r>
        <w:rPr>
          <w:rFonts w:ascii="Arial" w:cs="Arial" w:eastAsia="Arial" w:hAnsi="Arial"/>
          <w:sz w:val="18"/>
          <w:szCs w:val="18"/>
          <w:b w:val="1"/>
          <w:bCs w:val="1"/>
          <w:color w:val="auto"/>
        </w:rPr>
        <w:t>Please briefly describe the risks associated with being a public company; and</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252"/>
        </w:numPr>
        <w:rPr>
          <w:rFonts w:ascii="Arial" w:cs="Arial" w:eastAsia="Arial" w:hAnsi="Arial"/>
          <w:sz w:val="18"/>
          <w:szCs w:val="18"/>
          <w:color w:val="auto"/>
        </w:rPr>
      </w:pPr>
      <w:r>
        <w:rPr>
          <w:rFonts w:ascii="Arial" w:cs="Arial" w:eastAsia="Arial" w:hAnsi="Arial"/>
          <w:sz w:val="18"/>
          <w:szCs w:val="18"/>
          <w:b w:val="1"/>
          <w:bCs w:val="1"/>
          <w:color w:val="auto"/>
        </w:rPr>
        <w:t>Please state that you have no issued patents relating to MG01CI's technology.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bullet points have been added as requested on page 3 of Amendment No. 1:</w:t>
      </w:r>
    </w:p>
    <w:p>
      <w:pPr>
        <w:spacing w:after="0" w:line="225" w:lineRule="exact"/>
        <w:rPr>
          <w:sz w:val="20"/>
          <w:szCs w:val="20"/>
          <w:color w:val="auto"/>
        </w:rPr>
      </w:pPr>
    </w:p>
    <w:p>
      <w:pPr>
        <w:ind w:left="660" w:hanging="328"/>
        <w:spacing w:after="0"/>
        <w:tabs>
          <w:tab w:leader="none" w:pos="66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We do not have any issued patents relating to our MG01CI technology. Our current patent applications may not result in issued patents . . . .</w:t>
      </w:r>
    </w:p>
    <w:p>
      <w:pPr>
        <w:spacing w:after="0" w:line="46"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a public company following the conclusion of this offering, we will need to comply with extensive additional governmental regulations, which will be very expensive and which will require significant management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Information, page 2</w:t>
      </w:r>
    </w:p>
    <w:p>
      <w:pPr>
        <w:spacing w:after="0" w:line="225" w:lineRule="exact"/>
        <w:rPr>
          <w:sz w:val="20"/>
          <w:szCs w:val="20"/>
          <w:color w:val="auto"/>
        </w:rPr>
      </w:pPr>
    </w:p>
    <w:p>
      <w:pPr>
        <w:ind w:left="340" w:right="160" w:hanging="332"/>
        <w:spacing w:after="0" w:line="266" w:lineRule="auto"/>
        <w:tabs>
          <w:tab w:leader="none" w:pos="34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On pages 2 and 31, you disclose that you have not made a decision whether to take advantage of any or all of the exemptions for emerging growth companies. This does not appear to be consistent with your disclosure on pages 21-22 and other disclosures on page 31. Please revise your disclosure for consistency.</w:t>
      </w:r>
    </w:p>
    <w:p>
      <w:pPr>
        <w:spacing w:after="0" w:line="18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have revised our disclosures on pages 2 and 31 of Amendment No. 1 to state that we will take advantage of these exemptions.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5</w:t>
      </w:r>
    </w:p>
    <w:p>
      <w:pPr>
        <w:spacing w:after="0" w:line="225" w:lineRule="exact"/>
        <w:rPr>
          <w:sz w:val="20"/>
          <w:szCs w:val="20"/>
          <w:color w:val="auto"/>
        </w:rPr>
      </w:pPr>
    </w:p>
    <w:p>
      <w:pPr>
        <w:ind w:left="340" w:right="20" w:hanging="332"/>
        <w:spacing w:after="0" w:line="261" w:lineRule="auto"/>
        <w:tabs>
          <w:tab w:leader="none" w:pos="34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In the introductory paragraph of this section, you state "[t]he risks and uncertainties described below are not the only ones we face. Other risks and uncertainties, including those that we do not currently consider material, may impair our business." Please note that the Risk Factors section must describe all material risks facing your company and offering and should not reference risks that are not material. Please revise these sentences accordingly.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introduction on page five of Amendment No. 1 now reads:</w:t>
      </w:r>
    </w:p>
    <w:p>
      <w:pPr>
        <w:spacing w:after="0" w:line="22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i w:val="1"/>
          <w:iCs w:val="1"/>
          <w:color w:val="auto"/>
        </w:rPr>
        <w:t>An investment in our ordinary shares involves a high degree of risk. We operate in a dynamic and rapidly changing industry that involves numerous risks and uncertainties. You should consider carefully the risks and uncertainties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693" w:right="47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jc w:val="both"/>
        <w:ind w:left="340" w:right="440" w:hanging="332"/>
        <w:spacing w:after="0" w:line="314" w:lineRule="auto"/>
        <w:tabs>
          <w:tab w:leader="none" w:pos="340" w:val="left"/>
        </w:tabs>
        <w:numPr>
          <w:ilvl w:val="0"/>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t>Please add a risk factor addressing the risks and conflicts of interest regarding the fact that as a foreign private issuer, you are permitted to follow certain home country corporate governance practices instead of applicable Securities and Exchange Commission and Nasdaq Stock Market requirements, which may result in less protection than is accorded to investors under rules applicable to domestic issuers.</w:t>
      </w:r>
    </w:p>
    <w:p>
      <w:pPr>
        <w:spacing w:after="0" w:line="14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color w:val="auto"/>
        </w:rPr>
        <w:t>We have added the following risk factor under “Risks Related to this Offering and Ownership of our Ordinary Shares” on page 22 of Amendment No. 1:</w:t>
      </w:r>
    </w:p>
    <w:p>
      <w:pPr>
        <w:spacing w:after="0" w:line="248"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81"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(although we intend to comply with the NASDAQ requirements for the independence of directors).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78"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In addition, as a foreign private issuer, we will be exempt from the rules and regulations under the U.S. Securities Exchange Act of 1934, as amended, or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commencement and completion of clinical trials can be delayed . . .," page 5</w:t>
      </w:r>
    </w:p>
    <w:p>
      <w:pPr>
        <w:spacing w:after="0" w:line="225" w:lineRule="exact"/>
        <w:rPr>
          <w:sz w:val="20"/>
          <w:szCs w:val="20"/>
          <w:color w:val="auto"/>
        </w:rPr>
      </w:pPr>
    </w:p>
    <w:p>
      <w:pPr>
        <w:ind w:left="340" w:right="260" w:hanging="332"/>
        <w:spacing w:after="0" w:line="282" w:lineRule="auto"/>
        <w:tabs>
          <w:tab w:leader="none" w:pos="34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To the extent that you have experienced any problems with your clinical trials such as those described in this risk factor, or have been forced to suspend or terminate one or more trials, please revise to describe such events.</w:t>
      </w:r>
    </w:p>
    <w:p>
      <w:pPr>
        <w:spacing w:after="0" w:line="166"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We have not experienced, in any material respect, any problems with our clinical trials such as those described in this risk factor, and we have never been forced to suspend or terminate any clinical trials.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intend to rely primarily on third parties to market and sell MG01CI," page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Please clearly state in this risk factor that you have no manufacturing, sales, or distribution capabilities at this time.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Language to the foregoing effect has been added to Amendment No. 1 on page 11 as requested.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have a limited operating history and we have incurred significant operating losses since our inception..." page 12</w:t>
      </w:r>
    </w:p>
    <w:p>
      <w:pPr>
        <w:spacing w:after="0" w:line="225" w:lineRule="exact"/>
        <w:rPr>
          <w:sz w:val="20"/>
          <w:szCs w:val="20"/>
          <w:color w:val="auto"/>
        </w:rPr>
      </w:pPr>
    </w:p>
    <w:p>
      <w:pPr>
        <w:ind w:left="340" w:right="160" w:hanging="332"/>
        <w:spacing w:after="0" w:line="266" w:lineRule="auto"/>
        <w:tabs>
          <w:tab w:leader="none" w:pos="34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in this risk factor and in the risk factor entitled, "The requirements associated with being a public company will require significant company resources and management attention" on page 21, an estimate of the annual compliance costs you will incur as a result of your reporting obligations as a public company.</w:t>
      </w:r>
    </w:p>
    <w:p>
      <w:pPr>
        <w:spacing w:after="0" w:line="180"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An estimate of “several hundred thousand dollars” has been added on pages 13 and 21 to Amendment No. 1. We do not believe that we can be more precise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need substantial additional capital in the future. . . .," page 13</w:t>
      </w:r>
    </w:p>
    <w:p>
      <w:pPr>
        <w:spacing w:after="0" w:line="225" w:lineRule="exact"/>
        <w:rPr>
          <w:sz w:val="20"/>
          <w:szCs w:val="20"/>
          <w:color w:val="auto"/>
        </w:rPr>
      </w:pPr>
    </w:p>
    <w:p>
      <w:pPr>
        <w:ind w:left="340" w:right="20" w:hanging="332"/>
        <w:spacing w:after="0" w:line="282" w:lineRule="auto"/>
        <w:tabs>
          <w:tab w:leader="none" w:pos="3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Please clearly state in the heading and in the first sentence of the risk factor and on page 2 that you "will" need substantial additional capital to fund your operations and develop and commercialize MG01CI.</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requested language has been added to Amendment No. 1 on pages 2 and 13.</w:t>
      </w:r>
    </w:p>
    <w:p>
      <w:pPr>
        <w:spacing w:after="0" w:line="221" w:lineRule="exact"/>
        <w:rPr>
          <w:rFonts w:ascii="Arial" w:cs="Arial" w:eastAsia="Arial" w:hAnsi="Arial"/>
          <w:sz w:val="18"/>
          <w:szCs w:val="18"/>
          <w:b w:val="1"/>
          <w:bCs w:val="1"/>
          <w:color w:val="auto"/>
        </w:rPr>
      </w:pPr>
    </w:p>
    <w:p>
      <w:pPr>
        <w:ind w:left="340" w:right="2100" w:hanging="332"/>
        <w:spacing w:after="0" w:line="501" w:lineRule="auto"/>
        <w:tabs>
          <w:tab w:leader="none" w:pos="3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expand this risk factor to quantify your current working capital, and your existing cash and cash equivalents. </w:t>
      </w:r>
      <w:r>
        <w:rPr>
          <w:rFonts w:ascii="Arial" w:cs="Arial" w:eastAsia="Arial" w:hAnsi="Arial"/>
          <w:sz w:val="18"/>
          <w:szCs w:val="18"/>
          <w:color w:val="auto"/>
        </w:rPr>
        <w:t>The requested language has been added to Amendment No. 1 on page 13.</w:t>
      </w:r>
    </w:p>
    <w:p>
      <w:pPr>
        <w:ind w:left="320" w:right="160" w:hanging="312"/>
        <w:spacing w:after="0" w:line="277" w:lineRule="auto"/>
        <w:tabs>
          <w:tab w:leader="none" w:pos="320"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On page 7, you disclose that before you can submit an NDA to the FDA, you must conduct at least two Phase III clinical trials that will be substantially broader than your Phase II trial. On page 14, you disclose that you believe that your available funds will allow you to complete a Phase III trial and begin the process of attempting to obtain seek marketing approval for MG01CI. On page 26, you disclose that you do not expect that the funds from this offering will be adequate to complete your proposed Phase III trials, which will require you to raise additional funds for this purpose. Please revise your disclose throughout the filing to clarify:</w:t>
      </w:r>
    </w:p>
    <w:p>
      <w:pPr>
        <w:spacing w:after="0" w:line="168" w:lineRule="exact"/>
        <w:rPr>
          <w:rFonts w:ascii="Arial" w:cs="Arial" w:eastAsia="Arial" w:hAnsi="Arial"/>
          <w:sz w:val="17"/>
          <w:szCs w:val="17"/>
          <w:b w:val="1"/>
          <w:bCs w:val="1"/>
          <w:color w:val="auto"/>
        </w:rPr>
      </w:pPr>
    </w:p>
    <w:p>
      <w:pPr>
        <w:ind w:left="660" w:hanging="328"/>
        <w:spacing w:after="0"/>
        <w:tabs>
          <w:tab w:leader="none" w:pos="660" w:val="left"/>
        </w:tabs>
        <w:numPr>
          <w:ilvl w:val="1"/>
          <w:numId w:val="259"/>
        </w:numPr>
        <w:rPr>
          <w:rFonts w:ascii="Arial" w:cs="Arial" w:eastAsia="Arial" w:hAnsi="Arial"/>
          <w:sz w:val="18"/>
          <w:szCs w:val="18"/>
          <w:color w:val="auto"/>
        </w:rPr>
      </w:pPr>
      <w:r>
        <w:rPr>
          <w:rFonts w:ascii="Arial" w:cs="Arial" w:eastAsia="Arial" w:hAnsi="Arial"/>
          <w:sz w:val="18"/>
          <w:szCs w:val="18"/>
          <w:b w:val="1"/>
          <w:bCs w:val="1"/>
          <w:color w:val="auto"/>
        </w:rPr>
        <w:t>whether you will need to complete one or two Phase III trials prior to submitting an NDA to the FDA; and</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259"/>
        </w:numPr>
        <w:rPr>
          <w:rFonts w:ascii="Arial" w:cs="Arial" w:eastAsia="Arial" w:hAnsi="Arial"/>
          <w:sz w:val="18"/>
          <w:szCs w:val="18"/>
          <w:color w:val="auto"/>
        </w:rPr>
      </w:pPr>
      <w:r>
        <w:rPr>
          <w:rFonts w:ascii="Arial" w:cs="Arial" w:eastAsia="Arial" w:hAnsi="Arial"/>
          <w:sz w:val="18"/>
          <w:szCs w:val="18"/>
          <w:b w:val="1"/>
          <w:bCs w:val="1"/>
          <w:color w:val="auto"/>
        </w:rPr>
        <w:t>what you believe your available funds and the funds from this offering will enable you to complete.</w:t>
      </w:r>
    </w:p>
    <w:p>
      <w:pPr>
        <w:spacing w:after="0" w:line="21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The relevant disclosure has been modified in on page 14 of Amendment No. 1 to be consistent and reflects the following facts. We believe that we will require at least two Phase III clinical trials before submitting an NDA to the FDA, and expect that the funds from this offering will enable us to complete any preparatory clinical and non-clinical work, as well as one of two Phase III clinical trials. We will require substantial additional funds to initiate and complete the FDA approval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93" w:right="31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have no manufacturing capacity and anticipate reliance on third-party . . .," page 14</w:t>
      </w:r>
    </w:p>
    <w:p>
      <w:pPr>
        <w:spacing w:after="0" w:line="225" w:lineRule="exact"/>
        <w:rPr>
          <w:sz w:val="20"/>
          <w:szCs w:val="20"/>
          <w:color w:val="auto"/>
        </w:rPr>
      </w:pPr>
    </w:p>
    <w:p>
      <w:pPr>
        <w:ind w:left="340" w:hanging="332"/>
        <w:spacing w:after="0" w:line="314" w:lineRule="auto"/>
        <w:tabs>
          <w:tab w:leader="none" w:pos="340" w:val="left"/>
        </w:tabs>
        <w:numPr>
          <w:ilvl w:val="0"/>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To the extent that you have experienced any problems with your existing contract manufacturer such as those described in this risk factor, please revise to describe those problems. For example, please refer to your disclosure regarding the discovery of a contaminated lot of MG01CI on page 44. Please similarly revise your risk factor entitled, "We currently depend on third parties to conduct our clinical trials," on page 15.</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reference to the contaminated lot was an error and has been deleted.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"Any collaboration arrangements that we may enter into in the future may not be successful ..." page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Please expand this risk factor to disclose your prior relationship with Teva Pharmaceuticals that you discuss on page 43.</w:t>
      </w:r>
    </w:p>
    <w:p>
      <w:pPr>
        <w:spacing w:after="0" w:line="229"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color w:val="auto"/>
        </w:rPr>
        <w:t>We do not believe that a reference to our prior relationship with Teva Pharmaceuticals warrants expanded disclosure since the termination of that relationship had nothing to do with our success or prospective success. We did not grant a request by Teva to extend the relationship, as described under “Business</w:t>
      </w:r>
      <w:r>
        <w:rPr>
          <w:rFonts w:ascii="Arial" w:cs="Arial" w:eastAsia="Arial" w:hAnsi="Arial"/>
          <w:sz w:val="17"/>
          <w:szCs w:val="17"/>
          <w:b w:val="1"/>
          <w:bCs w:val="1"/>
          <w:color w:val="auto"/>
        </w:rPr>
        <w:t>—</w:t>
      </w:r>
      <w:r>
        <w:rPr>
          <w:rFonts w:ascii="Arial" w:cs="Arial" w:eastAsia="Arial" w:hAnsi="Arial"/>
          <w:sz w:val="17"/>
          <w:szCs w:val="17"/>
          <w:color w:val="auto"/>
        </w:rPr>
        <w:t>Former Strategic Relationship with Teva Pharmaceuticals” on page 43 of Amendment No. 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 unable to adequately prevent disclosure of trade secrets . . .," page 17</w:t>
      </w:r>
    </w:p>
    <w:p>
      <w:pPr>
        <w:spacing w:after="0" w:line="225" w:lineRule="exact"/>
        <w:rPr>
          <w:sz w:val="20"/>
          <w:szCs w:val="20"/>
          <w:color w:val="auto"/>
        </w:rPr>
      </w:pPr>
    </w:p>
    <w:p>
      <w:pPr>
        <w:ind w:left="340" w:right="320" w:hanging="332"/>
        <w:spacing w:after="0" w:line="347" w:lineRule="auto"/>
        <w:tabs>
          <w:tab w:leader="none" w:pos="340"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Please supplementally provide the Staff with a copy of the confidentiality agreement you enter into with employees, consultants, outside scientific collaborators, sponsored researchers and other advisors to protect your proprietary information. We may have further comment.</w:t>
      </w:r>
    </w:p>
    <w:p>
      <w:pPr>
        <w:spacing w:after="0" w:line="120"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We will furnish this agreement supplementally.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manage our business through a small number of employees . . .," page 18</w:t>
      </w:r>
    </w:p>
    <w:p>
      <w:pPr>
        <w:spacing w:after="0" w:line="225" w:lineRule="exact"/>
        <w:rPr>
          <w:sz w:val="20"/>
          <w:szCs w:val="20"/>
          <w:color w:val="auto"/>
        </w:rPr>
      </w:pPr>
    </w:p>
    <w:p>
      <w:pPr>
        <w:ind w:left="340" w:right="5120" w:hanging="332"/>
        <w:spacing w:after="0" w:line="687" w:lineRule="auto"/>
        <w:tabs>
          <w:tab w:leader="none" w:pos="340" w:val="left"/>
        </w:tabs>
        <w:numPr>
          <w:ilvl w:val="0"/>
          <w:numId w:val="2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Please revise this risk factor to identify your key employees and consultants. </w:t>
      </w:r>
      <w:r>
        <w:rPr>
          <w:rFonts w:ascii="Arial" w:cs="Arial" w:eastAsia="Arial" w:hAnsi="Arial"/>
          <w:sz w:val="15"/>
          <w:szCs w:val="15"/>
          <w:color w:val="auto"/>
        </w:rPr>
        <w:t>We have added this language as requested on page 18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7" w:lineRule="exact"/>
        <w:rPr>
          <w:sz w:val="20"/>
          <w:szCs w:val="20"/>
          <w:color w:val="auto"/>
        </w:rPr>
      </w:pPr>
    </w:p>
    <w:p>
      <w:pPr>
        <w:ind w:left="340" w:right="140" w:hanging="332"/>
        <w:spacing w:after="0" w:line="282" w:lineRule="auto"/>
        <w:tabs>
          <w:tab w:leader="none" w:pos="3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this risk factor to state that although you have employment agreements in place with management, these agreements are terminable at will with minimal notice.</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requested language has been added on page 18 of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recently enacted JOBS Act and our status as a foreign private issuer . . .," page 21</w:t>
      </w:r>
    </w:p>
    <w:p>
      <w:pPr>
        <w:spacing w:after="0" w:line="225" w:lineRule="exact"/>
        <w:rPr>
          <w:sz w:val="20"/>
          <w:szCs w:val="20"/>
          <w:color w:val="auto"/>
        </w:rPr>
      </w:pPr>
    </w:p>
    <w:p>
      <w:pPr>
        <w:ind w:left="340" w:right="120" w:hanging="332"/>
        <w:spacing w:after="0" w:line="282" w:lineRule="auto"/>
        <w:tabs>
          <w:tab w:leader="none" w:pos="3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Combining in one risk factor the "emerging growth company" exemptions with those stemming from your status as a foreign private issuer is confusing for investors. Discuss these exemptions in two separate risk factors.</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risk factors have been separated as requested. See pages 21 and 22 of Amendment No. 1.</w:t>
      </w:r>
    </w:p>
    <w:p>
      <w:pPr>
        <w:spacing w:after="0" w:line="221" w:lineRule="exact"/>
        <w:rPr>
          <w:rFonts w:ascii="Arial" w:cs="Arial" w:eastAsia="Arial" w:hAnsi="Arial"/>
          <w:sz w:val="18"/>
          <w:szCs w:val="18"/>
          <w:b w:val="1"/>
          <w:bCs w:val="1"/>
          <w:color w:val="auto"/>
        </w:rPr>
      </w:pPr>
    </w:p>
    <w:p>
      <w:pPr>
        <w:ind w:left="340" w:right="160" w:hanging="332"/>
        <w:spacing w:after="0" w:line="281" w:lineRule="auto"/>
        <w:tabs>
          <w:tab w:leader="none" w:pos="340"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Regarding the "emerging growth company" risk factor, since a foreign private issuer is not subject to Exchange Act Section 14's proxy requirements, and since the level of a foreign private issuer's disclosure concerning executive compensation is governed by its home country's rules, it is misleading to state that you intend to take advantage of the exemption from the requirement to provide detailed compensation discussion and analysis in proxy statements and reports filed under the Exchange Act. Revise accordingly.</w:t>
      </w:r>
    </w:p>
    <w:p>
      <w:pPr>
        <w:spacing w:after="0" w:line="16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The suggested correction has been made on page 21 of Amendment No. 1.</w:t>
      </w:r>
    </w:p>
    <w:p>
      <w:pPr>
        <w:spacing w:after="0" w:line="221" w:lineRule="exact"/>
        <w:rPr>
          <w:rFonts w:ascii="Arial" w:cs="Arial" w:eastAsia="Arial" w:hAnsi="Arial"/>
          <w:sz w:val="17"/>
          <w:szCs w:val="17"/>
          <w:b w:val="1"/>
          <w:bCs w:val="1"/>
          <w:color w:val="auto"/>
        </w:rPr>
      </w:pPr>
    </w:p>
    <w:p>
      <w:pPr>
        <w:ind w:left="340" w:hanging="332"/>
        <w:spacing w:after="0" w:line="282" w:lineRule="auto"/>
        <w:tabs>
          <w:tab w:leader="none" w:pos="3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Regarding the "foreign private issuer" risk factor, provide examples of the exemptions from "certain governance requirements" under Nasdaq regulations of which you intend to take advantage.</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risk factor added in response to Comment No. 11 contains this disclosure on page 22 of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operations may be disrupted as a result of the obligation of management..." page 23</w:t>
      </w:r>
    </w:p>
    <w:p>
      <w:pPr>
        <w:spacing w:after="0" w:line="225" w:lineRule="exact"/>
        <w:rPr>
          <w:sz w:val="20"/>
          <w:szCs w:val="20"/>
          <w:color w:val="auto"/>
        </w:rPr>
      </w:pPr>
    </w:p>
    <w:p>
      <w:pPr>
        <w:ind w:left="340" w:right="120" w:hanging="332"/>
        <w:spacing w:after="0" w:line="347" w:lineRule="auto"/>
        <w:tabs>
          <w:tab w:leader="none" w:pos="340" w:val="left"/>
        </w:tabs>
        <w:numPr>
          <w:ilvl w:val="0"/>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expand your disclosure to disclose that your sole employee and chief executive officer, Yaron Daniely, is 37 years old. In addition, to the extent you have experienced any problems related to disruptions of service, please revise to describe those problems.</w:t>
      </w:r>
    </w:p>
    <w:p>
      <w:pPr>
        <w:spacing w:after="0" w:line="120" w:lineRule="exact"/>
        <w:rPr>
          <w:sz w:val="20"/>
          <w:szCs w:val="20"/>
          <w:color w:val="auto"/>
        </w:rPr>
      </w:pPr>
    </w:p>
    <w:p>
      <w:pPr>
        <w:ind w:left="340" w:right="640"/>
        <w:spacing w:after="0" w:line="277" w:lineRule="auto"/>
        <w:rPr>
          <w:sz w:val="20"/>
          <w:szCs w:val="20"/>
          <w:color w:val="auto"/>
        </w:rPr>
      </w:pPr>
      <w:r>
        <w:rPr>
          <w:rFonts w:ascii="Arial" w:cs="Arial" w:eastAsia="Arial" w:hAnsi="Arial"/>
          <w:sz w:val="18"/>
          <w:szCs w:val="18"/>
          <w:color w:val="auto"/>
        </w:rPr>
        <w:t>Dr. Daniely’s age has been added to the disclosure on page 23 of Amendment No. 1. We have not experienced any material problems regarding required military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rate fluctuations between the U.S. dollar and the New Israeli Shekel . . .," page 23</w:t>
      </w:r>
    </w:p>
    <w:p>
      <w:pPr>
        <w:spacing w:after="0" w:line="225" w:lineRule="exact"/>
        <w:rPr>
          <w:sz w:val="20"/>
          <w:szCs w:val="20"/>
          <w:color w:val="auto"/>
        </w:rPr>
      </w:pPr>
    </w:p>
    <w:p>
      <w:pPr>
        <w:ind w:left="340" w:right="2060" w:hanging="332"/>
        <w:spacing w:after="0" w:line="501" w:lineRule="auto"/>
        <w:tabs>
          <w:tab w:leader="none" w:pos="34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disclose the exchange rate between the U.S. dollar and the New Israeli Shekel as of the latest practicable date. </w:t>
      </w:r>
      <w:r>
        <w:rPr>
          <w:rFonts w:ascii="Arial" w:cs="Arial" w:eastAsia="Arial" w:hAnsi="Arial"/>
          <w:sz w:val="18"/>
          <w:szCs w:val="18"/>
          <w:color w:val="auto"/>
        </w:rPr>
        <w:t>We have added this disclosure as requested on page 23 of Amendment No. 1.</w:t>
      </w:r>
    </w:p>
    <w:p>
      <w:pPr>
        <w:ind w:left="340" w:right="200" w:hanging="332"/>
        <w:spacing w:after="0" w:line="282" w:lineRule="auto"/>
        <w:tabs>
          <w:tab w:leader="none" w:pos="34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this risk factor to quantify how a hypothetical change in the exchange rate will affect your earnings as of the latest practicable date.</w:t>
      </w:r>
    </w:p>
    <w:p>
      <w:pPr>
        <w:spacing w:after="0" w:line="165" w:lineRule="exact"/>
        <w:rPr>
          <w:rFonts w:ascii="Arial" w:cs="Arial" w:eastAsia="Arial" w:hAnsi="Arial"/>
          <w:sz w:val="18"/>
          <w:szCs w:val="18"/>
          <w:b w:val="1"/>
          <w:bCs w:val="1"/>
          <w:color w:val="auto"/>
        </w:rPr>
      </w:pPr>
    </w:p>
    <w:p>
      <w:pPr>
        <w:ind w:left="3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disclosed on pages 12 and 13 of Amendment No. 1, we have continually experienced operating losses and expect them to continue. We believe that disclosing the complexities of exchange rate risk in this connection would be confusing.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7" w:lineRule="exact"/>
        <w:rPr>
          <w:sz w:val="20"/>
          <w:szCs w:val="20"/>
          <w:color w:val="auto"/>
        </w:rPr>
      </w:pPr>
    </w:p>
    <w:p>
      <w:pPr>
        <w:ind w:left="340" w:right="760" w:hanging="332"/>
        <w:spacing w:after="0" w:line="282" w:lineRule="auto"/>
        <w:tabs>
          <w:tab w:leader="none" w:pos="34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Supplementally advise whether, during the three most recent years, the New Israeli Shekel has been devalued relative to the U.S. dollar and, if so, whether the rate of inflation in Israel has exceeded the rate of devaluation.</w:t>
      </w:r>
    </w:p>
    <w:p>
      <w:pPr>
        <w:spacing w:after="0" w:line="16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new Israeli Shekel has revaluated by 5.99%, devaluated by 7.67% and revaluated by 2.3% in the years 2010, 2011 and 2012, respectively. The rate of inflation in Israel was 2.66%, 2.17% and 1.63% in the years 2010, 2011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 the past, we received Israeli government grants for certain of our research . . .," page 23</w:t>
      </w:r>
    </w:p>
    <w:p>
      <w:pPr>
        <w:spacing w:after="0" w:line="225" w:lineRule="exact"/>
        <w:rPr>
          <w:sz w:val="20"/>
          <w:szCs w:val="20"/>
          <w:color w:val="auto"/>
        </w:rPr>
      </w:pPr>
    </w:p>
    <w:p>
      <w:pPr>
        <w:ind w:left="340" w:right="340" w:hanging="332"/>
        <w:spacing w:after="0" w:line="282" w:lineRule="auto"/>
        <w:tabs>
          <w:tab w:leader="none" w:pos="34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any agreements related to your receipt of royalty-bearing grants from OCS as exhibits to your registration statement, pursuant to Item 8 of Form F-1 and Item 601(b)(10) of Regulation S-K.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Agreements with the OCS that have any continuing effect have been added as Exhibit 10.8 to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"Your rights and responsibilities as a shareholder will be governed . . .," page 24</w:t>
      </w:r>
    </w:p>
    <w:p>
      <w:pPr>
        <w:spacing w:after="0" w:line="225" w:lineRule="exact"/>
        <w:rPr>
          <w:sz w:val="20"/>
          <w:szCs w:val="20"/>
          <w:color w:val="auto"/>
        </w:rPr>
      </w:pPr>
    </w:p>
    <w:p>
      <w:pPr>
        <w:jc w:val="both"/>
        <w:ind w:left="340" w:right="440" w:hanging="332"/>
        <w:spacing w:after="0" w:line="266" w:lineRule="auto"/>
        <w:tabs>
          <w:tab w:leader="none" w:pos="34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risk factor heading to reference obligations rather than rights, and to indicate that Israeli law may impose obligations and liabilities on a shareholder of an Israeli corporation that U.S. states do not impose upon shareholders of corporations incorporated in their respective states.</w:t>
      </w:r>
    </w:p>
    <w:p>
      <w:pPr>
        <w:spacing w:after="0" w:line="180"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We have changed the reference to “liabilities and obligations”. We believe the risk factor on page 24 of Amendment No. 1 adequately discloses the differences between U.S. and Israeli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 page 28</w:t>
      </w:r>
    </w:p>
    <w:p>
      <w:pPr>
        <w:spacing w:after="0" w:line="225" w:lineRule="exact"/>
        <w:rPr>
          <w:sz w:val="20"/>
          <w:szCs w:val="20"/>
          <w:color w:val="auto"/>
        </w:rPr>
      </w:pPr>
    </w:p>
    <w:p>
      <w:pPr>
        <w:ind w:left="340" w:right="800" w:hanging="332"/>
        <w:spacing w:after="0" w:line="282" w:lineRule="auto"/>
        <w:tabs>
          <w:tab w:leader="none" w:pos="3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table to begin with your historical net tangible book value per share, instead of pro forma net tangible book value per share.</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have made the requested change on page 28 of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 page 30</w:t>
      </w:r>
    </w:p>
    <w:p>
      <w:pPr>
        <w:spacing w:after="0" w:line="225" w:lineRule="exact"/>
        <w:rPr>
          <w:sz w:val="20"/>
          <w:szCs w:val="20"/>
          <w:color w:val="auto"/>
        </w:rPr>
      </w:pPr>
    </w:p>
    <w:p>
      <w:pPr>
        <w:ind w:left="340" w:right="60" w:hanging="332"/>
        <w:spacing w:after="0" w:line="282" w:lineRule="auto"/>
        <w:tabs>
          <w:tab w:leader="none" w:pos="34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Please separately quantify the research and development expenses by the types of expenses you describe here for the financial statement periods presented.</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requested change has been made on page 30 of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 page 31 JOBS Act,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23" w:lineRule="exact"/>
        <w:rPr>
          <w:sz w:val="20"/>
          <w:szCs w:val="20"/>
          <w:color w:val="auto"/>
        </w:rPr>
      </w:pPr>
    </w:p>
    <w:p>
      <w:pPr>
        <w:ind w:left="340" w:right="320" w:hanging="332"/>
        <w:spacing w:after="0" w:line="298" w:lineRule="auto"/>
        <w:tabs>
          <w:tab w:leader="none" w:pos="340" w:val="left"/>
        </w:tabs>
        <w:numPr>
          <w:ilvl w:val="0"/>
          <w:numId w:val="272"/>
        </w:numPr>
        <w:rPr>
          <w:rFonts w:ascii="Arial" w:cs="Arial" w:eastAsia="Arial" w:hAnsi="Arial"/>
          <w:sz w:val="16"/>
          <w:szCs w:val="16"/>
          <w:b w:val="1"/>
          <w:bCs w:val="1"/>
          <w:color w:val="auto"/>
        </w:rPr>
      </w:pPr>
      <w:r>
        <w:rPr>
          <w:rFonts w:ascii="Arial" w:cs="Arial" w:eastAsia="Arial" w:hAnsi="Arial"/>
          <w:sz w:val="16"/>
          <w:szCs w:val="16"/>
          <w:b w:val="1"/>
          <w:bCs w:val="1"/>
          <w:color w:val="auto"/>
        </w:rPr>
        <w:t>On page 31, you state that you "are electing to delay such adoption of new or revised accounting standards." As you have elected to use the extended transition period for complying with new or revised accounting standards under Section 102(b)(1) of the Act, provide a separately-headed risk factor explaining that this election allows you to delay the adoption of new or revised accounting standards that have different effective dates for public and private companies until those standards apply to private companies. Please state in your risk factor that, as a result of this election, your financial statements may not be comparable to companies that comply with public company effective dates.</w:t>
      </w:r>
    </w:p>
    <w:p>
      <w:pPr>
        <w:spacing w:after="0" w:line="158"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The requested changes have been made to pages 21 and 22 of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the Year Ended December 31, 2012 to the Year Ended December 31, 2011, page 32</w:t>
      </w:r>
    </w:p>
    <w:p>
      <w:pPr>
        <w:spacing w:after="0" w:line="225" w:lineRule="exact"/>
        <w:rPr>
          <w:sz w:val="20"/>
          <w:szCs w:val="20"/>
          <w:color w:val="auto"/>
        </w:rPr>
      </w:pPr>
    </w:p>
    <w:p>
      <w:pPr>
        <w:ind w:left="340" w:right="400" w:hanging="332"/>
        <w:spacing w:after="0" w:line="277" w:lineRule="auto"/>
        <w:tabs>
          <w:tab w:leader="none" w:pos="340"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your discussions to explain the reasons for the underlying expenses fluctuating. For example, you state that the decrease in the research and development expenses is primarily due to the decreases in the number of employees and the clinical trials. If true, please revise to state that the decreases in the number of employees and the clinical trials were a result of limited funds available during 2012. Otherwise, if the decreases were related to the change in the research and development phase, explain that fact. Please also provide a similar level of discussion for the decrease in your general and administrative expenses.</w:t>
      </w:r>
    </w:p>
    <w:p>
      <w:pPr>
        <w:spacing w:after="0" w:line="172"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We have revised the disclosure on page 32 of Amendment No. 1 as requested.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34</w:t>
      </w:r>
    </w:p>
    <w:p>
      <w:pPr>
        <w:spacing w:after="0" w:line="225" w:lineRule="exact"/>
        <w:rPr>
          <w:sz w:val="20"/>
          <w:szCs w:val="20"/>
          <w:color w:val="auto"/>
        </w:rPr>
      </w:pPr>
    </w:p>
    <w:p>
      <w:pPr>
        <w:ind w:left="340" w:right="140" w:hanging="332"/>
        <w:spacing w:after="0" w:line="281" w:lineRule="auto"/>
        <w:tabs>
          <w:tab w:leader="none" w:pos="340"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Please provide discussions that would address material changes in the drivers underlying your operating cash flows, including the specific cash inflows and outflows generated, for the periods presented. Your discussions should focus on the primary underlying drivers and other material factors necessary in understanding the historical and future cash flows, rather than merely describing items identified on the face of the statement of cash flows. Refer to Section W of Financial Reporting Release 72.</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insert has been added as the first paragraph under “Liquidity and Capital Resources</w:t>
      </w:r>
      <w:r>
        <w:rPr>
          <w:rFonts w:ascii="Arial" w:cs="Arial" w:eastAsia="Arial" w:hAnsi="Arial"/>
          <w:sz w:val="16"/>
          <w:szCs w:val="16"/>
          <w:b w:val="1"/>
          <w:bCs w:val="1"/>
          <w:color w:val="auto"/>
        </w:rPr>
        <w:t>—</w:t>
      </w:r>
      <w:r>
        <w:rPr>
          <w:rFonts w:ascii="Arial" w:cs="Arial" w:eastAsia="Arial" w:hAnsi="Arial"/>
          <w:sz w:val="16"/>
          <w:szCs w:val="16"/>
          <w:color w:val="auto"/>
        </w:rPr>
        <w:t>Operating Activities” on page 34 of Amendment No.</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660" w:right="380"/>
        <w:spacing w:after="0" w:line="276" w:lineRule="auto"/>
        <w:rPr>
          <w:sz w:val="20"/>
          <w:szCs w:val="20"/>
          <w:color w:val="auto"/>
        </w:rPr>
      </w:pPr>
      <w:r>
        <w:rPr>
          <w:rFonts w:ascii="Arial" w:cs="Arial" w:eastAsia="Arial" w:hAnsi="Arial"/>
          <w:sz w:val="17"/>
          <w:szCs w:val="17"/>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 About Market Risk, page 35</w:t>
      </w:r>
    </w:p>
    <w:p>
      <w:pPr>
        <w:spacing w:after="0" w:line="225" w:lineRule="exact"/>
        <w:rPr>
          <w:sz w:val="20"/>
          <w:szCs w:val="20"/>
          <w:color w:val="auto"/>
        </w:rPr>
      </w:pPr>
    </w:p>
    <w:p>
      <w:pPr>
        <w:ind w:left="340" w:hanging="332"/>
        <w:spacing w:after="0"/>
        <w:tabs>
          <w:tab w:leader="none" w:pos="340"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Please provide sensitivity analysis disclosure regarding foreign currency exchange rate risk in accordance with Item 11 of Form 20-F.</w:t>
      </w:r>
    </w:p>
    <w:p>
      <w:pPr>
        <w:spacing w:after="0" w:line="240" w:lineRule="exact"/>
        <w:rPr>
          <w:rFonts w:ascii="Arial" w:cs="Arial" w:eastAsia="Arial" w:hAnsi="Arial"/>
          <w:sz w:val="17"/>
          <w:szCs w:val="17"/>
          <w:b w:val="1"/>
          <w:bCs w:val="1"/>
          <w:color w:val="auto"/>
        </w:rPr>
      </w:pPr>
    </w:p>
    <w:p>
      <w:pPr>
        <w:ind w:left="340" w:right="4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We have revised the risk factor on page 35 of Amendment No. 1 and have expanded it to include a sensitivity analysis disclosure regarding foreign currency exchange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page 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Overview, page 36</w:t>
      </w:r>
    </w:p>
    <w:p>
      <w:pPr>
        <w:spacing w:after="0" w:line="225" w:lineRule="exact"/>
        <w:rPr>
          <w:sz w:val="20"/>
          <w:szCs w:val="20"/>
          <w:color w:val="auto"/>
        </w:rPr>
      </w:pPr>
    </w:p>
    <w:p>
      <w:pPr>
        <w:ind w:left="340" w:right="40" w:hanging="332"/>
        <w:spacing w:after="0" w:line="258" w:lineRule="auto"/>
        <w:tabs>
          <w:tab w:leader="none" w:pos="3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You disclose in this section and elsewhere throughout the filing, various statistics concerning the total ADHD market, including children and adults. Based on your disclosure on page 40, it appears that you have only conducted clinical trials in adults. If you have not conducted clinical trials in children, please advise us why you believe it is appropriate to include children in your target market. In addition, if true, please expand your disclosure throughout your filing, including a separately headed risk factor, to note that you have not conducted any clinical trials in children, but the majority of your target market is children.</w:t>
      </w:r>
    </w:p>
    <w:p>
      <w:pPr>
        <w:spacing w:after="0" w:line="187" w:lineRule="exact"/>
        <w:rPr>
          <w:rFonts w:ascii="Arial" w:cs="Arial" w:eastAsia="Arial" w:hAnsi="Arial"/>
          <w:sz w:val="18"/>
          <w:szCs w:val="18"/>
          <w:b w:val="1"/>
          <w:bCs w:val="1"/>
          <w:color w:val="auto"/>
        </w:rPr>
      </w:pPr>
    </w:p>
    <w:p>
      <w:pPr>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Children are part of our target market. Scientifically, we believe that the mechanism of action of MG01CI is the same for adults and children, as was the case for most other ADHD drugs. We are first undertaking clinical trials in adults because the procedures required to conduct clinical trials for children are subject to additional regulation and the accompanying increase in time and expense. In addition, regulatory agencies require demonstrations of safety and efficacy in adults first before allowing clinical trials in the pediatric population. It is possible that our clinical trials in adults will be successful but not those for children, but this is speculative and unprecedented in ADHD. We have, however, added additional disclosure relating to our strategy of first conducting clinical trials in adults. See page 39. Note that although the market size is currently larger for children, market growth rates are much higher in adult ADHD than in children. As 4-5% of adults have ADHD, as compared to 8-10% of children, the actual numbers of adults with ADHD are much larger than children with ADHD.</w:t>
      </w:r>
    </w:p>
    <w:p>
      <w:pPr>
        <w:spacing w:after="0" w:line="188" w:lineRule="exact"/>
        <w:rPr>
          <w:rFonts w:ascii="Arial" w:cs="Arial" w:eastAsia="Arial" w:hAnsi="Arial"/>
          <w:sz w:val="18"/>
          <w:szCs w:val="18"/>
          <w:b w:val="1"/>
          <w:bCs w:val="1"/>
          <w:color w:val="auto"/>
        </w:rPr>
      </w:pPr>
    </w:p>
    <w:p>
      <w:pPr>
        <w:ind w:left="340" w:right="140" w:hanging="332"/>
        <w:spacing w:after="0" w:line="277" w:lineRule="auto"/>
        <w:tabs>
          <w:tab w:leader="none" w:pos="340" w:val="left"/>
        </w:tabs>
        <w:numPr>
          <w:ilvl w:val="0"/>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in this section and elsewhere throughout the filing, various statistics concerning the U.S., European and Japanese market. Based on your disclosure on pages 41 and 42, your clinical trials have only taken place in Israel. Please expand your disclosure throughout, including a separately headed risk factor, to note that you have only conducted clinical trials in Israel and that you have not yet conducted clinical trials in several of the jurisdictions which you intend to seek regulatory approval. Please also disclose whether it will be more difficult to seek regulatory approval under such circumstances.</w:t>
      </w:r>
    </w:p>
    <w:p>
      <w:pPr>
        <w:spacing w:after="0" w:line="172" w:lineRule="exact"/>
        <w:rPr>
          <w:rFonts w:ascii="Arial" w:cs="Arial" w:eastAsia="Arial" w:hAnsi="Arial"/>
          <w:sz w:val="17"/>
          <w:szCs w:val="17"/>
          <w:b w:val="1"/>
          <w:bCs w:val="1"/>
          <w:color w:val="auto"/>
        </w:rPr>
      </w:pPr>
    </w:p>
    <w:p>
      <w:pPr>
        <w:ind w:left="340" w:right="8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We have revised our disclosure to make clear that clinical trials to date have only been performed in Israel and not in the jurisdictions where we intend to seek marketing approval. See pages 1, 30, 36 and 48. We do not believe that this circumstance is significant with regard to our prospects for U.S., EU or Japanese regulatory approvals for two reasons: (i) before seeking regulatory approval in the U.S., for example, we intend to conduct clinical trials in the U.S. and (ii) the FDA and the European regulatory authorities respect clinical data from Israeli trials and Israeli clinical trial safeguards and procedures. Therefore, the regulatory risks in the U.S., the EU and Japan are not materially different from those of companies that have conducted early clinical trials in those respective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211" w:name="page212"/>
    <w:bookmarkEnd w:id="211"/>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Untreated and Undertreated ADHD, page 37</w:t>
      </w:r>
    </w:p>
    <w:p>
      <w:pPr>
        <w:spacing w:after="0" w:line="225" w:lineRule="exact"/>
        <w:rPr>
          <w:sz w:val="20"/>
          <w:szCs w:val="20"/>
          <w:color w:val="auto"/>
        </w:rPr>
      </w:pPr>
    </w:p>
    <w:p>
      <w:pPr>
        <w:jc w:val="both"/>
        <w:ind w:left="340" w:right="100" w:hanging="332"/>
        <w:spacing w:after="0" w:line="314" w:lineRule="auto"/>
        <w:tabs>
          <w:tab w:leader="none" w:pos="340" w:val="left"/>
        </w:tabs>
        <w:numPr>
          <w:ilvl w:val="0"/>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You disclose that ADHD increases health risks, adverse social externalities and economic costs and you provide a table of the effects on page 37. If controversy remains in the scientific community as to these effects on society if ADHD is untreated, you should amend your disclosure to note this and to discuss other potential theories concerning untreated ADHD and the potential causes of these negative societal events.</w:t>
      </w:r>
    </w:p>
    <w:p>
      <w:pPr>
        <w:spacing w:after="0" w:line="14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We are unaware of any controversy of that nature.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Diagnosis of ADHD, page 37</w:t>
      </w:r>
    </w:p>
    <w:p>
      <w:pPr>
        <w:spacing w:after="0" w:line="225" w:lineRule="exact"/>
        <w:rPr>
          <w:sz w:val="20"/>
          <w:szCs w:val="20"/>
          <w:color w:val="auto"/>
        </w:rPr>
      </w:pPr>
    </w:p>
    <w:p>
      <w:pPr>
        <w:ind w:left="340" w:right="2520" w:hanging="332"/>
        <w:spacing w:after="0" w:line="501" w:lineRule="auto"/>
        <w:tabs>
          <w:tab w:leader="none" w:pos="34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clearly state that "DSM-W" is the Diagnostic and Statistical Manual of Mental Disorders, fourth edition. </w:t>
      </w:r>
      <w:r>
        <w:rPr>
          <w:rFonts w:ascii="Arial" w:cs="Arial" w:eastAsia="Arial" w:hAnsi="Arial"/>
          <w:sz w:val="18"/>
          <w:szCs w:val="18"/>
          <w:color w:val="auto"/>
        </w:rPr>
        <w:t>We have made this clarification on page 37 of Amendment No. 1.</w:t>
      </w:r>
    </w:p>
    <w:p>
      <w:pPr>
        <w:spacing w:after="0"/>
        <w:rPr>
          <w:sz w:val="20"/>
          <w:szCs w:val="20"/>
          <w:color w:val="auto"/>
        </w:rPr>
      </w:pPr>
      <w:r>
        <w:rPr>
          <w:rFonts w:ascii="Arial" w:cs="Arial" w:eastAsia="Arial" w:hAnsi="Arial"/>
          <w:sz w:val="18"/>
          <w:szCs w:val="18"/>
          <w:b w:val="1"/>
          <w:bCs w:val="1"/>
          <w:u w:val="single" w:color="auto"/>
          <w:color w:val="auto"/>
        </w:rPr>
        <w:t>Our Strategy, page 39</w:t>
      </w:r>
    </w:p>
    <w:p>
      <w:pPr>
        <w:spacing w:after="0" w:line="225" w:lineRule="exact"/>
        <w:rPr>
          <w:sz w:val="20"/>
          <w:szCs w:val="20"/>
          <w:color w:val="auto"/>
        </w:rPr>
      </w:pPr>
    </w:p>
    <w:p>
      <w:pPr>
        <w:ind w:left="340" w:hanging="332"/>
        <w:spacing w:after="0" w:line="282" w:lineRule="auto"/>
        <w:tabs>
          <w:tab w:leader="none" w:pos="3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the 6 bulleted points on page 39. To the extent practicable, please indicate when you intend to begin and expect to complete each goal listed.</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have added these dates at the end of each bullet point where applicable on page 39 of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MG01CI Overview and Mechanism of Action, page 39</w:t>
      </w:r>
    </w:p>
    <w:p>
      <w:pPr>
        <w:spacing w:after="0" w:line="225" w:lineRule="exact"/>
        <w:rPr>
          <w:sz w:val="20"/>
          <w:szCs w:val="20"/>
          <w:color w:val="auto"/>
        </w:rPr>
      </w:pPr>
    </w:p>
    <w:p>
      <w:pPr>
        <w:ind w:left="340" w:right="20" w:hanging="332"/>
        <w:spacing w:after="0" w:line="266" w:lineRule="auto"/>
        <w:tabs>
          <w:tab w:leader="none" w:pos="3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Some of your disclosure in this subsection includes scientific or statistical jargon or terms of art that may be unfamiliar to lay readers. Where appropriate, please expand your disclosure to include explanations of terminology so that it may be understood by average investors. Portions of your registration statement that include such terminology include:</w:t>
      </w:r>
    </w:p>
    <w:p>
      <w:pPr>
        <w:spacing w:after="0" w:line="18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material has been added to the cited text on page 39 of Amendment No. 1.</w:t>
      </w:r>
    </w:p>
    <w:p>
      <w:pPr>
        <w:spacing w:after="0" w:line="221" w:lineRule="exact"/>
        <w:rPr>
          <w:rFonts w:ascii="Arial" w:cs="Arial" w:eastAsia="Arial" w:hAnsi="Arial"/>
          <w:sz w:val="18"/>
          <w:szCs w:val="18"/>
          <w:b w:val="1"/>
          <w:bCs w:val="1"/>
          <w:color w:val="auto"/>
        </w:rPr>
      </w:pPr>
    </w:p>
    <w:p>
      <w:pPr>
        <w:ind w:left="660" w:right="120" w:hanging="328"/>
        <w:spacing w:after="0" w:line="282" w:lineRule="auto"/>
        <w:tabs>
          <w:tab w:leader="none" w:pos="660" w:val="left"/>
        </w:tabs>
        <w:numPr>
          <w:ilvl w:val="1"/>
          <w:numId w:val="280"/>
        </w:numPr>
        <w:rPr>
          <w:rFonts w:ascii="Arial" w:cs="Arial" w:eastAsia="Arial" w:hAnsi="Arial"/>
          <w:sz w:val="18"/>
          <w:szCs w:val="18"/>
          <w:color w:val="auto"/>
        </w:rPr>
      </w:pPr>
      <w:r>
        <w:rPr>
          <w:rFonts w:ascii="Arial" w:cs="Arial" w:eastAsia="Arial" w:hAnsi="Arial"/>
          <w:sz w:val="18"/>
          <w:szCs w:val="18"/>
          <w:b w:val="1"/>
          <w:bCs w:val="1"/>
          <w:color w:val="auto"/>
        </w:rPr>
        <w:t>“Metadoxine is a specific antagonist of a 5-hydroxytryptamine receptor of the 2b subtype, implicated genetically in ADHD and molecularly in control of dopamine outflow."</w:t>
      </w:r>
    </w:p>
    <w:p>
      <w:pPr>
        <w:spacing w:after="0" w:line="165" w:lineRule="exact"/>
        <w:rPr>
          <w:rFonts w:ascii="Arial" w:cs="Arial" w:eastAsia="Arial" w:hAnsi="Arial"/>
          <w:sz w:val="18"/>
          <w:szCs w:val="18"/>
          <w:color w:val="auto"/>
        </w:rPr>
      </w:pPr>
    </w:p>
    <w:p>
      <w:pPr>
        <w:ind w:left="660" w:right="420"/>
        <w:spacing w:after="0" w:line="254" w:lineRule="auto"/>
        <w:rPr>
          <w:rFonts w:ascii="Arial" w:cs="Arial" w:eastAsia="Arial" w:hAnsi="Arial"/>
          <w:sz w:val="18"/>
          <w:szCs w:val="18"/>
          <w:color w:val="auto"/>
        </w:rPr>
      </w:pPr>
      <w:r>
        <w:rPr>
          <w:rFonts w:ascii="Arial" w:cs="Arial" w:eastAsia="Arial" w:hAnsi="Arial"/>
          <w:sz w:val="18"/>
          <w:szCs w:val="18"/>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1"/>
          <w:numId w:val="280"/>
        </w:numPr>
        <w:rPr>
          <w:rFonts w:ascii="Arial" w:cs="Arial" w:eastAsia="Arial" w:hAnsi="Arial"/>
          <w:sz w:val="18"/>
          <w:szCs w:val="18"/>
          <w:color w:val="auto"/>
        </w:rPr>
      </w:pPr>
      <w:r>
        <w:rPr>
          <w:rFonts w:ascii="Arial" w:cs="Arial" w:eastAsia="Arial" w:hAnsi="Arial"/>
          <w:sz w:val="18"/>
          <w:szCs w:val="18"/>
          <w:b w:val="1"/>
          <w:bCs w:val="1"/>
          <w:color w:val="auto"/>
        </w:rPr>
        <w:t>"MG01CI has the potential to be the first product to affect the serotonergic pathway."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has been deleted and the following substituted on page 39 of Amendment No. 1:</w:t>
      </w:r>
    </w:p>
    <w:p>
      <w:pPr>
        <w:spacing w:after="0" w:line="225" w:lineRule="exact"/>
        <w:rPr>
          <w:sz w:val="20"/>
          <w:szCs w:val="20"/>
          <w:color w:val="auto"/>
        </w:rPr>
      </w:pPr>
    </w:p>
    <w:p>
      <w:pPr>
        <w:ind w:left="660" w:right="960"/>
        <w:spacing w:after="0" w:line="277" w:lineRule="auto"/>
        <w:rPr>
          <w:sz w:val="20"/>
          <w:szCs w:val="20"/>
          <w:color w:val="auto"/>
        </w:rPr>
      </w:pPr>
      <w:r>
        <w:rPr>
          <w:rFonts w:ascii="Arial" w:cs="Arial" w:eastAsia="Arial" w:hAnsi="Arial"/>
          <w:sz w:val="18"/>
          <w:szCs w:val="18"/>
          <w:color w:val="auto"/>
        </w:rPr>
        <w:t>MG01CI has the potential to be the first product approved for ADHD that works on the brain network that is controlled by the serotonin protein, in contrast to the dopamine pathway and the norepinephrine pathway.</w:t>
      </w:r>
    </w:p>
    <w:p>
      <w:pPr>
        <w:spacing w:after="0" w:line="166" w:lineRule="exact"/>
        <w:rPr>
          <w:sz w:val="20"/>
          <w:szCs w:val="20"/>
          <w:color w:val="auto"/>
        </w:rPr>
      </w:pPr>
    </w:p>
    <w:p>
      <w:pPr>
        <w:ind w:left="660" w:right="780" w:hanging="328"/>
        <w:spacing w:after="0" w:line="261" w:lineRule="auto"/>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"Tested targets included muscarinic, dopaminergic, serotonergic, gabaergic, noradrenergic, opioid and cannabinoid receptors and transporters"</w:t>
      </w:r>
    </w:p>
    <w:p>
      <w:pPr>
        <w:ind w:left="660" w:hanging="328"/>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"Metadoxine displayed extensive and highly specific receptor binding to only one of the serotonin receptors named 5-HT2B."</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"The binding had approximately 50-fold selectivity over all other 5-HT receptor subtypes and a variety of other receptors."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"No binding was detected to any of the dopaminergic or noradrenergic receptors or transporters."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paragraph on page 40 of Amendment No. 1 now reads:</w:t>
      </w:r>
    </w:p>
    <w:p>
      <w:pPr>
        <w:spacing w:after="0" w:line="225" w:lineRule="exact"/>
        <w:rPr>
          <w:sz w:val="20"/>
          <w:szCs w:val="20"/>
          <w:color w:val="auto"/>
        </w:rPr>
      </w:pPr>
    </w:p>
    <w:p>
      <w:pPr>
        <w:ind w:left="660" w:right="20"/>
        <w:spacing w:after="0" w:line="287" w:lineRule="auto"/>
        <w:rPr>
          <w:sz w:val="20"/>
          <w:szCs w:val="20"/>
          <w:color w:val="auto"/>
        </w:rPr>
      </w:pPr>
      <w:r>
        <w:rPr>
          <w:rFonts w:ascii="Arial" w:cs="Arial" w:eastAsia="Arial" w:hAnsi="Arial"/>
          <w:sz w:val="16"/>
          <w:szCs w:val="16"/>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functions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 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169" w:lineRule="exact"/>
        <w:rPr>
          <w:sz w:val="20"/>
          <w:szCs w:val="20"/>
          <w:color w:val="auto"/>
        </w:rPr>
      </w:pPr>
    </w:p>
    <w:p>
      <w:pPr>
        <w:ind w:left="660" w:hanging="328"/>
        <w:spacing w:after="0"/>
        <w:tabs>
          <w:tab w:leader="none" w:pos="660" w:val="left"/>
        </w:tabs>
        <w:numPr>
          <w:ilvl w:val="0"/>
          <w:numId w:val="282"/>
        </w:numPr>
        <w:rPr>
          <w:rFonts w:ascii="Arial" w:cs="Arial" w:eastAsia="Arial" w:hAnsi="Arial"/>
          <w:sz w:val="16"/>
          <w:szCs w:val="16"/>
          <w:color w:val="auto"/>
        </w:rPr>
      </w:pPr>
      <w:r>
        <w:rPr>
          <w:rFonts w:ascii="Arial" w:cs="Arial" w:eastAsia="Arial" w:hAnsi="Arial"/>
          <w:sz w:val="16"/>
          <w:szCs w:val="16"/>
          <w:b w:val="1"/>
          <w:bCs w:val="1"/>
          <w:color w:val="auto"/>
        </w:rPr>
        <w:t>"Other published studies suggest that the 5-HT2B serotonin receptor may be involved ADHD molecular pharmacology, but neither show</w:t>
      </w:r>
    </w:p>
    <w:p>
      <w:pPr>
        <w:sectPr>
          <w:pgSz w:w="11900" w:h="16847" w:orient="portrait"/>
          <w:cols w:equalWidth="0" w:num="1">
            <w:col w:w="11420"/>
          </w:cols>
          <w:pgMar w:left="240" w:top="692" w:right="239" w:bottom="0" w:gutter="0" w:footer="0" w:header="0"/>
        </w:sectPr>
      </w:pPr>
    </w:p>
    <w:bookmarkStart w:id="212" w:name="page213"/>
    <w:bookmarkEnd w:id="212"/>
    <w:p>
      <w:pPr>
        <w:ind w:left="320"/>
        <w:spacing w:after="0"/>
        <w:rPr>
          <w:sz w:val="20"/>
          <w:szCs w:val="20"/>
          <w:color w:val="auto"/>
        </w:rPr>
      </w:pPr>
      <w:r>
        <w:rPr>
          <w:rFonts w:ascii="Arial" w:cs="Arial" w:eastAsia="Arial" w:hAnsi="Arial"/>
          <w:sz w:val="16"/>
          <w:szCs w:val="16"/>
          <w:b w:val="1"/>
          <w:bCs w:val="1"/>
          <w:color w:val="auto"/>
        </w:rPr>
        <w:t>the benefit of direct modulation of the 5-HT2B serotonin receptor in ADHD treatment as the MG01CI clinical trials demonstrated."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sentence has been substituted on page 40 of Amendment No. 1 with the following:</w:t>
      </w:r>
    </w:p>
    <w:p>
      <w:pPr>
        <w:spacing w:after="0" w:line="22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398780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580" w:top="121" w:right="6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Please expand your disclosure to identify the adverse events related to Metadoxine.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first paragraph under the graph called “Mean ADHD Scores” has been deleted and the following subheading has been added on page 42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Amendment No. 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Adverse Events</w:t>
      </w:r>
    </w:p>
    <w:p>
      <w:pPr>
        <w:spacing w:after="0" w:line="225" w:lineRule="exact"/>
        <w:rPr>
          <w:sz w:val="20"/>
          <w:szCs w:val="20"/>
          <w:color w:val="auto"/>
        </w:rPr>
      </w:pPr>
    </w:p>
    <w:p>
      <w:pPr>
        <w:jc w:val="both"/>
        <w:ind w:left="660" w:right="180"/>
        <w:spacing w:after="0" w:line="312" w:lineRule="auto"/>
        <w:rPr>
          <w:sz w:val="20"/>
          <w:szCs w:val="20"/>
          <w:color w:val="auto"/>
        </w:rPr>
      </w:pPr>
      <w:r>
        <w:rPr>
          <w:rFonts w:ascii="Arial" w:cs="Arial" w:eastAsia="Arial" w:hAnsi="Arial"/>
          <w:sz w:val="16"/>
          <w:szCs w:val="16"/>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pacing w:after="0" w:line="147"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In addition, products containing Metadoxine outside the USA cite either complete lack of adverse events or infrequent diarrhea and moderate skin rash.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Data, page 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Results, page 40</w:t>
      </w:r>
    </w:p>
    <w:p>
      <w:pPr>
        <w:spacing w:after="0" w:line="225" w:lineRule="exact"/>
        <w:rPr>
          <w:sz w:val="20"/>
          <w:szCs w:val="20"/>
          <w:color w:val="auto"/>
        </w:rPr>
      </w:pPr>
    </w:p>
    <w:p>
      <w:pPr>
        <w:ind w:left="340" w:right="200" w:hanging="332"/>
        <w:spacing w:after="0" w:line="258" w:lineRule="auto"/>
        <w:tabs>
          <w:tab w:leader="none" w:pos="34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It is unclear if you have submitted an Investigational New Drug application to the FDA. On page 42 of your filing, you state that you intend to initiate discussions with the FDA in 2013, and that your Phase IIb trial was modeled based on regulatory requirements and on trial characteristics that have been acceptable to FDA in recent development programs. However, on page 46, you refer to your "existing IND application." If you have submitted an Investigational New Drug application to the FDA, please disclose this fact, state when you filed this application and whether or not the IND has been approved.</w:t>
      </w:r>
    </w:p>
    <w:p>
      <w:pPr>
        <w:spacing w:after="0" w:line="187" w:lineRule="exact"/>
        <w:rPr>
          <w:rFonts w:ascii="Arial" w:cs="Arial" w:eastAsia="Arial" w:hAnsi="Arial"/>
          <w:sz w:val="18"/>
          <w:szCs w:val="18"/>
          <w:b w:val="1"/>
          <w:bCs w:val="1"/>
          <w:color w:val="auto"/>
        </w:rPr>
      </w:pPr>
    </w:p>
    <w:p>
      <w:pPr>
        <w:ind w:left="34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reference on page 46 was not meant to imply that there is already an existing IND application, but to describe the activities planned following the future IND submission. We have revised the language on page 46 accordingly.</w:t>
      </w:r>
    </w:p>
    <w:p>
      <w:pPr>
        <w:spacing w:after="0" w:line="166" w:lineRule="exact"/>
        <w:rPr>
          <w:rFonts w:ascii="Arial" w:cs="Arial" w:eastAsia="Arial" w:hAnsi="Arial"/>
          <w:sz w:val="18"/>
          <w:szCs w:val="18"/>
          <w:b w:val="1"/>
          <w:bCs w:val="1"/>
          <w:color w:val="auto"/>
        </w:rPr>
      </w:pPr>
    </w:p>
    <w:p>
      <w:pPr>
        <w:ind w:left="340" w:hanging="332"/>
        <w:spacing w:after="0" w:line="261" w:lineRule="auto"/>
        <w:tabs>
          <w:tab w:leader="none" w:pos="34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In your prospectus, you describe clinical trials that you conducted in September 2011. If true, please clearly indicate in your filing, wherever you discuss these clinical trials, that these clinical trials have not been sanctioned by the FDA nor conducted under the guidance of the FDA, and disclose any FDA guidance you have received on whether the results of these clinical trials will impact your ability to receive regulatory approval in the U.S.</w:t>
      </w:r>
    </w:p>
    <w:p>
      <w:pPr>
        <w:spacing w:after="0" w:line="184" w:lineRule="exact"/>
        <w:rPr>
          <w:rFonts w:ascii="Arial" w:cs="Arial" w:eastAsia="Arial" w:hAnsi="Arial"/>
          <w:sz w:val="18"/>
          <w:szCs w:val="18"/>
          <w:b w:val="1"/>
          <w:bCs w:val="1"/>
          <w:color w:val="auto"/>
        </w:rPr>
      </w:pPr>
    </w:p>
    <w:p>
      <w:pPr>
        <w:ind w:left="340" w:right="1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have added clarifying language in three places on pages 1, 30 and 36 of Amendment No. 1 that these trials were conducted in Israel. We believe that this addition, plus the language included in several places elsewhere about initiating discussions with the FDA should dispel any implication that our Israeli trials were FDA-sanctioned. See pages 1, 3, 26, 30, 36 and 42 of Amendment No. 1. We have not received any FDA guidance on whether the results of our Israeli clinical trials will impact our ability to receive regulatory approval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7" w:lineRule="exact"/>
        <w:rPr>
          <w:sz w:val="20"/>
          <w:szCs w:val="20"/>
          <w:color w:val="auto"/>
        </w:rPr>
      </w:pPr>
    </w:p>
    <w:p>
      <w:pPr>
        <w:ind w:left="340" w:right="600" w:hanging="332"/>
        <w:spacing w:after="0" w:line="282" w:lineRule="auto"/>
        <w:tabs>
          <w:tab w:leader="none" w:pos="34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discussion to provide more detail regarding the clinical trials conducted by you regarding MG01CI. Your description should include the following information:</w:t>
      </w:r>
    </w:p>
    <w:p>
      <w:pPr>
        <w:spacing w:after="0" w:line="161" w:lineRule="exact"/>
        <w:rPr>
          <w:rFonts w:ascii="Arial" w:cs="Arial" w:eastAsia="Arial" w:hAnsi="Arial"/>
          <w:sz w:val="18"/>
          <w:szCs w:val="18"/>
          <w:b w:val="1"/>
          <w:bCs w:val="1"/>
          <w:color w:val="auto"/>
        </w:rPr>
      </w:pPr>
    </w:p>
    <w:p>
      <w:pPr>
        <w:ind w:left="660" w:hanging="328"/>
        <w:spacing w:after="0"/>
        <w:tabs>
          <w:tab w:leader="none" w:pos="660"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When the clinical study was held;</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How long the clinical study was active;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How you targeted patients to enroll;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Whether you conducted this study with any other parties;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The steps taken to ensure the accuracy of the results.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added the following chart to page 41of Amendment No. 1 to answer these questions: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32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Phase IIa</w:t>
            </w:r>
          </w:p>
        </w:tc>
        <w:tc>
          <w:tcPr>
            <w:tcW w:w="4200" w:type="dxa"/>
            <w:vAlign w:val="bottom"/>
            <w:tcBorders>
              <w:top w:val="single" w:sz="8" w:color="auto"/>
              <w:bottom w:val="single" w:sz="8" w:color="auto"/>
              <w:right w:val="single" w:sz="8" w:color="auto"/>
            </w:tcBorders>
          </w:tcPr>
          <w:p>
            <w:pPr>
              <w:ind w:left="1740"/>
              <w:spacing w:after="0"/>
              <w:rPr>
                <w:sz w:val="20"/>
                <w:szCs w:val="20"/>
                <w:color w:val="auto"/>
              </w:rPr>
            </w:pPr>
            <w:r>
              <w:rPr>
                <w:rFonts w:ascii="Arial" w:cs="Arial" w:eastAsia="Arial" w:hAnsi="Arial"/>
                <w:sz w:val="18"/>
                <w:szCs w:val="18"/>
                <w:color w:val="auto"/>
              </w:rPr>
              <w:t>Phase IIb</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When the clinical study was held</w:t>
            </w: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Q1-Q2 2010</w:t>
            </w:r>
          </w:p>
        </w:tc>
        <w:tc>
          <w:tcPr>
            <w:tcW w:w="4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Q2-Q3 2011</w:t>
            </w:r>
          </w:p>
        </w:tc>
      </w:tr>
      <w:tr>
        <w:trPr>
          <w:trHeight w:val="210"/>
        </w:trPr>
        <w:tc>
          <w:tcPr>
            <w:tcW w:w="39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How long the clinical study was active</w:t>
            </w:r>
          </w:p>
        </w:tc>
        <w:tc>
          <w:tcPr>
            <w:tcW w:w="3320" w:type="dxa"/>
            <w:vAlign w:val="bottom"/>
            <w:tcBorders>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3 months</w:t>
            </w:r>
          </w:p>
        </w:tc>
        <w:tc>
          <w:tcPr>
            <w:tcW w:w="420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4 months</w:t>
            </w:r>
          </w:p>
        </w:tc>
      </w:tr>
      <w:tr>
        <w:trPr>
          <w:trHeight w:val="195"/>
        </w:trPr>
        <w:tc>
          <w:tcPr>
            <w:tcW w:w="39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How we targeted patients to enroll</w:t>
            </w:r>
          </w:p>
        </w:tc>
        <w:tc>
          <w:tcPr>
            <w:tcW w:w="33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6"/>
              </w:rPr>
              <w:t>Existing patients in local ADHD treatment</w:t>
            </w:r>
          </w:p>
        </w:tc>
        <w:tc>
          <w:tcPr>
            <w:tcW w:w="42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Existing patients in local clinics; online advertisement;</w:t>
            </w:r>
          </w:p>
        </w:tc>
      </w:tr>
      <w:tr>
        <w:trPr>
          <w:trHeight w:val="230"/>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clinic</w:t>
            </w:r>
          </w:p>
        </w:tc>
        <w:tc>
          <w:tcPr>
            <w:tcW w:w="4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newspaper advertisement</w:t>
            </w:r>
          </w:p>
        </w:tc>
      </w:tr>
      <w:tr>
        <w:trPr>
          <w:trHeight w:val="195"/>
        </w:trPr>
        <w:tc>
          <w:tcPr>
            <w:tcW w:w="3900" w:type="dxa"/>
            <w:vAlign w:val="bottom"/>
            <w:tcBorders>
              <w:left w:val="single" w:sz="8" w:color="auto"/>
              <w:right w:val="single" w:sz="8" w:color="auto"/>
            </w:tcBorders>
            <w:shd w:val="clear" w:color="auto" w:fill="E5E5E5"/>
          </w:tcPr>
          <w:p>
            <w:pPr>
              <w:ind w:left="120"/>
              <w:spacing w:after="0" w:line="195" w:lineRule="exact"/>
              <w:rPr>
                <w:sz w:val="20"/>
                <w:szCs w:val="20"/>
                <w:color w:val="auto"/>
              </w:rPr>
            </w:pPr>
            <w:r>
              <w:rPr>
                <w:rFonts w:ascii="Arial" w:cs="Arial" w:eastAsia="Arial" w:hAnsi="Arial"/>
                <w:sz w:val="18"/>
                <w:szCs w:val="18"/>
                <w:color w:val="auto"/>
                <w:w w:val="98"/>
              </w:rPr>
              <w:t>Whether we conducted the study with any other</w:t>
            </w:r>
          </w:p>
        </w:tc>
        <w:tc>
          <w:tcPr>
            <w:tcW w:w="3320" w:type="dxa"/>
            <w:vAlign w:val="bottom"/>
            <w:tcBorders>
              <w:right w:val="single" w:sz="8" w:color="auto"/>
            </w:tcBorders>
            <w:shd w:val="clear" w:color="auto" w:fill="E5E5E5"/>
          </w:tcPr>
          <w:p>
            <w:pPr>
              <w:ind w:left="100"/>
              <w:spacing w:after="0" w:line="195" w:lineRule="exact"/>
              <w:rPr>
                <w:sz w:val="20"/>
                <w:szCs w:val="20"/>
                <w:color w:val="auto"/>
              </w:rPr>
            </w:pPr>
            <w:r>
              <w:rPr>
                <w:rFonts w:ascii="Arial" w:cs="Arial" w:eastAsia="Arial" w:hAnsi="Arial"/>
                <w:sz w:val="18"/>
                <w:szCs w:val="18"/>
                <w:color w:val="auto"/>
              </w:rPr>
              <w:t>No</w:t>
            </w:r>
          </w:p>
        </w:tc>
        <w:tc>
          <w:tcPr>
            <w:tcW w:w="4200" w:type="dxa"/>
            <w:vAlign w:val="bottom"/>
            <w:tcBorders>
              <w:right w:val="single" w:sz="8" w:color="auto"/>
            </w:tcBorders>
            <w:shd w:val="clear" w:color="auto" w:fill="E5E5E5"/>
          </w:tcPr>
          <w:p>
            <w:pPr>
              <w:ind w:left="80"/>
              <w:spacing w:after="0" w:line="195" w:lineRule="exact"/>
              <w:rPr>
                <w:sz w:val="20"/>
                <w:szCs w:val="20"/>
                <w:color w:val="auto"/>
              </w:rPr>
            </w:pPr>
            <w:r>
              <w:rPr>
                <w:rFonts w:ascii="Arial" w:cs="Arial" w:eastAsia="Arial" w:hAnsi="Arial"/>
                <w:sz w:val="18"/>
                <w:szCs w:val="18"/>
                <w:color w:val="auto"/>
              </w:rPr>
              <w:t>No</w:t>
            </w:r>
          </w:p>
        </w:tc>
      </w:tr>
      <w:tr>
        <w:trPr>
          <w:trHeight w:val="230"/>
        </w:trPr>
        <w:tc>
          <w:tcPr>
            <w:tcW w:w="39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parties</w:t>
            </w:r>
          </w:p>
        </w:tc>
        <w:tc>
          <w:tcPr>
            <w:tcW w:w="3320" w:type="dxa"/>
            <w:vAlign w:val="bottom"/>
            <w:tcBorders>
              <w:bottom w:val="single" w:sz="8" w:color="auto"/>
              <w:right w:val="single" w:sz="8" w:color="auto"/>
            </w:tcBorders>
            <w:shd w:val="clear" w:color="auto" w:fill="E5E5E5"/>
          </w:tcPr>
          <w:p>
            <w:pPr>
              <w:spacing w:after="0"/>
              <w:rPr>
                <w:sz w:val="20"/>
                <w:szCs w:val="20"/>
                <w:color w:val="auto"/>
              </w:rPr>
            </w:pPr>
          </w:p>
        </w:tc>
        <w:tc>
          <w:tcPr>
            <w:tcW w:w="4200" w:type="dxa"/>
            <w:vAlign w:val="bottom"/>
            <w:tcBorders>
              <w:bottom w:val="single" w:sz="8" w:color="auto"/>
              <w:right w:val="single" w:sz="8" w:color="auto"/>
            </w:tcBorders>
            <w:shd w:val="clear" w:color="auto" w:fill="E5E5E5"/>
          </w:tcPr>
          <w:p>
            <w:pPr>
              <w:spacing w:after="0"/>
              <w:rPr>
                <w:sz w:val="20"/>
                <w:szCs w:val="20"/>
                <w:color w:val="auto"/>
              </w:rPr>
            </w:pPr>
          </w:p>
        </w:tc>
      </w:tr>
      <w:tr>
        <w:trPr>
          <w:trHeight w:val="195"/>
        </w:trPr>
        <w:tc>
          <w:tcPr>
            <w:tcW w:w="39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The steps taken to ensure the accuracy of the</w:t>
            </w:r>
          </w:p>
        </w:tc>
        <w:tc>
          <w:tcPr>
            <w:tcW w:w="7520" w:type="dxa"/>
            <w:vAlign w:val="bottom"/>
            <w:tcBorders>
              <w:right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w w:val="92"/>
              </w:rPr>
              <w:t>Outside contract research organization (CRO) oversight, including monitoring visits; outside medical</w:t>
            </w:r>
          </w:p>
        </w:tc>
      </w:tr>
      <w:tr>
        <w:trPr>
          <w:trHeight w:val="216"/>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results</w:t>
            </w:r>
          </w:p>
        </w:tc>
        <w:tc>
          <w:tcPr>
            <w:tcW w:w="75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monitor; double-typing of data in the data management system; automatic and manual query</w:t>
            </w:r>
          </w:p>
        </w:tc>
      </w:tr>
      <w:tr>
        <w:trPr>
          <w:trHeight w:val="230"/>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generation; and external expert review</w:t>
            </w:r>
          </w:p>
        </w:tc>
        <w:tc>
          <w:tcPr>
            <w:tcW w:w="420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ind w:left="340" w:right="300" w:hanging="332"/>
        <w:spacing w:after="0" w:line="282" w:lineRule="auto"/>
        <w:tabs>
          <w:tab w:leader="none" w:pos="34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disclosure of your Phase IIa study to disclose any relevant p values. Please also disclose the meaning and significance of p values.</w:t>
      </w:r>
    </w:p>
    <w:p>
      <w:pPr>
        <w:spacing w:after="0" w:line="165" w:lineRule="exact"/>
        <w:rPr>
          <w:rFonts w:ascii="Arial" w:cs="Arial" w:eastAsia="Arial" w:hAnsi="Arial"/>
          <w:sz w:val="18"/>
          <w:szCs w:val="18"/>
          <w:b w:val="1"/>
          <w:bCs w:val="1"/>
          <w:color w:val="auto"/>
        </w:rPr>
      </w:pPr>
    </w:p>
    <w:p>
      <w:pPr>
        <w:ind w:left="3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 is a statistical measure for the probability of an error. In clinical investigations p&lt;0.05 (meaning that the probability of an error in the outcome is less than 5%) is considered a statistically significant finding. We have eliminated the references to “p” since all of our references currently in the prospectus are to a p of &lt;0.05.</w:t>
      </w:r>
    </w:p>
    <w:p>
      <w:pPr>
        <w:spacing w:after="0" w:line="177" w:lineRule="exact"/>
        <w:rPr>
          <w:rFonts w:ascii="Arial" w:cs="Arial" w:eastAsia="Arial" w:hAnsi="Arial"/>
          <w:sz w:val="18"/>
          <w:szCs w:val="18"/>
          <w:b w:val="1"/>
          <w:bCs w:val="1"/>
          <w:color w:val="auto"/>
        </w:rPr>
      </w:pPr>
    </w:p>
    <w:p>
      <w:pPr>
        <w:ind w:left="340" w:right="320" w:hanging="332"/>
        <w:spacing w:after="0" w:line="282" w:lineRule="auto"/>
        <w:tabs>
          <w:tab w:leader="none" w:pos="34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You disclose that secondary outcome measures were subtests from the Weschler (WAISR) test. Please expand your disclosure to describe this test.</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language has been added after the first reference to this test on page 41 of Amendment No. 1:</w:t>
      </w:r>
    </w:p>
    <w:p>
      <w:pPr>
        <w:spacing w:after="0" w:line="225" w:lineRule="exact"/>
        <w:rPr>
          <w:sz w:val="20"/>
          <w:szCs w:val="20"/>
          <w:color w:val="auto"/>
        </w:rPr>
      </w:pPr>
    </w:p>
    <w:p>
      <w:pPr>
        <w:ind w:left="660" w:right="420"/>
        <w:spacing w:after="0" w:line="279" w:lineRule="auto"/>
        <w:rPr>
          <w:sz w:val="20"/>
          <w:szCs w:val="20"/>
          <w:color w:val="auto"/>
        </w:rPr>
      </w:pPr>
      <w:r>
        <w:rPr>
          <w:rFonts w:ascii="Arial" w:cs="Arial" w:eastAsia="Arial" w:hAnsi="Arial"/>
          <w:sz w:val="17"/>
          <w:szCs w:val="17"/>
          <w:color w:val="auto"/>
        </w:rPr>
        <w:t>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07" w:lineRule="exact"/>
        <w:rPr>
          <w:sz w:val="20"/>
          <w:szCs w:val="20"/>
          <w:color w:val="auto"/>
        </w:rPr>
      </w:pPr>
    </w:p>
    <w:p>
      <w:pPr>
        <w:ind w:left="340" w:right="580" w:hanging="332"/>
        <w:spacing w:after="0" w:line="282" w:lineRule="auto"/>
        <w:tabs>
          <w:tab w:leader="none" w:pos="34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You provide a graph of the mean TOVA scores in your extension study. Please disclose the number of subjects that were evaluated in this extension study.</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There were 10 subjects, and we have included this disclosure on page 41 of Amendment No. 1.</w:t>
      </w:r>
    </w:p>
    <w:p>
      <w:pPr>
        <w:spacing w:after="0" w:line="221" w:lineRule="exact"/>
        <w:rPr>
          <w:rFonts w:ascii="Arial" w:cs="Arial" w:eastAsia="Arial" w:hAnsi="Arial"/>
          <w:sz w:val="18"/>
          <w:szCs w:val="18"/>
          <w:b w:val="1"/>
          <w:bCs w:val="1"/>
          <w:color w:val="auto"/>
        </w:rPr>
      </w:pPr>
    </w:p>
    <w:p>
      <w:pPr>
        <w:ind w:left="340" w:right="200" w:hanging="332"/>
        <w:spacing w:after="0" w:line="303" w:lineRule="auto"/>
        <w:tabs>
          <w:tab w:leader="none" w:pos="340"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Please refer to the tables on pages 41 and 42 and the accompanying explanatory text on pages 40-42 under the subheadings "Clinical Results" and “Summary of Clinical Data and Key Conclusions." Much of the description in the explanatory text and the disclosure intended to give context to the data reflected in the tables makes use of highly technical statistical terminology that may not be readily understood by the lay reader. Therefore, please revise pages 40-42 to explain, in simple terms, the meaning and significance of:</w:t>
      </w:r>
    </w:p>
    <w:p>
      <w:pPr>
        <w:spacing w:after="0" w:line="151" w:lineRule="exact"/>
        <w:rPr>
          <w:sz w:val="20"/>
          <w:szCs w:val="20"/>
          <w:color w:val="auto"/>
        </w:rPr>
      </w:pPr>
    </w:p>
    <w:p>
      <w:pPr>
        <w:ind w:left="660" w:right="140" w:hanging="328"/>
        <w:spacing w:after="0" w:line="282" w:lineRule="auto"/>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The ADHD Score, TOVA Omission Score, TOVA Commission Score, TOVA Response Time Score, and TOVA RT Variability Score. Please also disclose the scale used for each score to give context to the score achieved.</w:t>
      </w:r>
    </w:p>
    <w:p>
      <w:pPr>
        <w:spacing w:after="0" w:line="166"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We have disclosed the scale of the tests in the several paragraphs describing the tests on page 40 of Amendment No. 1. We have deleted the references to the TOVA subscores since they do not significantly add to the disclosure.</w:t>
      </w:r>
    </w:p>
    <w:p>
      <w:pPr>
        <w:spacing w:after="0" w:line="166" w:lineRule="exact"/>
        <w:rPr>
          <w:sz w:val="20"/>
          <w:szCs w:val="20"/>
          <w:color w:val="auto"/>
        </w:rPr>
      </w:pPr>
    </w:p>
    <w:p>
      <w:pPr>
        <w:ind w:left="660" w:hanging="328"/>
        <w:spacing w:after="0"/>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"Clinically profound with a calculated effect size of 0.9.</w:t>
      </w:r>
      <w:r>
        <w:rPr>
          <w:rFonts w:ascii="Arial" w:cs="Arial" w:eastAsia="Arial" w:hAnsi="Arial"/>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has been substituted for this bullet on page 42 of Amendment No. 1:</w:t>
      </w:r>
    </w:p>
    <w:p>
      <w:pPr>
        <w:spacing w:after="0" w:line="225" w:lineRule="exact"/>
        <w:rPr>
          <w:sz w:val="20"/>
          <w:szCs w:val="20"/>
          <w:color w:val="auto"/>
        </w:rPr>
      </w:pPr>
    </w:p>
    <w:p>
      <w:pPr>
        <w:ind w:left="660" w:hanging="328"/>
        <w:spacing w:after="0" w:line="259" w:lineRule="auto"/>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page 43</w:t>
      </w:r>
    </w:p>
    <w:p>
      <w:pPr>
        <w:spacing w:after="0" w:line="225" w:lineRule="exact"/>
        <w:rPr>
          <w:sz w:val="20"/>
          <w:szCs w:val="20"/>
          <w:color w:val="auto"/>
        </w:rPr>
      </w:pPr>
    </w:p>
    <w:p>
      <w:pPr>
        <w:jc w:val="both"/>
        <w:ind w:left="340" w:right="20" w:hanging="332"/>
        <w:spacing w:after="0" w:line="266" w:lineRule="auto"/>
        <w:tabs>
          <w:tab w:leader="none" w:pos="34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You state that you sponsor and conduct clinical research activities with investigators and institutions to measure key clinical outcomes. Please expand your discussion to provide additional disclosure regarding your relationship with these investigators and institutions. For example, please disclose the following:</w:t>
      </w:r>
    </w:p>
    <w:p>
      <w:pPr>
        <w:spacing w:after="0" w:line="176" w:lineRule="exact"/>
        <w:rPr>
          <w:rFonts w:ascii="Arial" w:cs="Arial" w:eastAsia="Arial" w:hAnsi="Arial"/>
          <w:sz w:val="18"/>
          <w:szCs w:val="18"/>
          <w:b w:val="1"/>
          <w:bCs w:val="1"/>
          <w:color w:val="auto"/>
        </w:rPr>
      </w:pPr>
    </w:p>
    <w:p>
      <w:pPr>
        <w:ind w:left="660" w:hanging="328"/>
        <w:spacing w:after="0"/>
        <w:tabs>
          <w:tab w:leader="none" w:pos="660" w:val="left"/>
        </w:tabs>
        <w:numPr>
          <w:ilvl w:val="1"/>
          <w:numId w:val="290"/>
        </w:numPr>
        <w:rPr>
          <w:rFonts w:ascii="Arial" w:cs="Arial" w:eastAsia="Arial" w:hAnsi="Arial"/>
          <w:sz w:val="18"/>
          <w:szCs w:val="18"/>
          <w:color w:val="auto"/>
        </w:rPr>
      </w:pPr>
      <w:r>
        <w:rPr>
          <w:rFonts w:ascii="Arial" w:cs="Arial" w:eastAsia="Arial" w:hAnsi="Arial"/>
          <w:sz w:val="18"/>
          <w:szCs w:val="18"/>
          <w:b w:val="1"/>
          <w:bCs w:val="1"/>
          <w:color w:val="auto"/>
        </w:rPr>
        <w:t>Please identify the investigators and institutions with whom you conduct clinical research activities;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290"/>
        </w:numPr>
        <w:rPr>
          <w:rFonts w:ascii="Arial" w:cs="Arial" w:eastAsia="Arial" w:hAnsi="Arial"/>
          <w:sz w:val="18"/>
          <w:szCs w:val="18"/>
          <w:color w:val="auto"/>
        </w:rPr>
      </w:pPr>
      <w:r>
        <w:rPr>
          <w:rFonts w:ascii="Arial" w:cs="Arial" w:eastAsia="Arial" w:hAnsi="Arial"/>
          <w:sz w:val="18"/>
          <w:szCs w:val="18"/>
          <w:b w:val="1"/>
          <w:bCs w:val="1"/>
          <w:color w:val="auto"/>
        </w:rPr>
        <w:t>Please indicate when you entered into these arrangements with each party;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90"/>
        </w:numPr>
        <w:rPr>
          <w:rFonts w:ascii="Arial" w:cs="Arial" w:eastAsia="Arial" w:hAnsi="Arial"/>
          <w:sz w:val="18"/>
          <w:szCs w:val="18"/>
          <w:color w:val="auto"/>
        </w:rPr>
      </w:pPr>
      <w:r>
        <w:rPr>
          <w:rFonts w:ascii="Arial" w:cs="Arial" w:eastAsia="Arial" w:hAnsi="Arial"/>
          <w:sz w:val="18"/>
          <w:szCs w:val="18"/>
          <w:b w:val="1"/>
          <w:bCs w:val="1"/>
          <w:color w:val="auto"/>
        </w:rPr>
        <w:t>Please discuss each parties' obligations with respect to the clinical research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90"/>
        </w:numPr>
        <w:rPr>
          <w:rFonts w:ascii="Arial" w:cs="Arial" w:eastAsia="Arial" w:hAnsi="Arial"/>
          <w:sz w:val="18"/>
          <w:szCs w:val="18"/>
          <w:color w:val="auto"/>
        </w:rPr>
      </w:pPr>
      <w:r>
        <w:rPr>
          <w:rFonts w:ascii="Arial" w:cs="Arial" w:eastAsia="Arial" w:hAnsi="Arial"/>
          <w:sz w:val="18"/>
          <w:szCs w:val="18"/>
          <w:b w:val="1"/>
          <w:bCs w:val="1"/>
          <w:color w:val="auto"/>
        </w:rPr>
        <w:t>Please disclose any financial provisions in these arrangements;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90"/>
        </w:numPr>
        <w:rPr>
          <w:rFonts w:ascii="Arial" w:cs="Arial" w:eastAsia="Arial" w:hAnsi="Arial"/>
          <w:sz w:val="18"/>
          <w:szCs w:val="18"/>
          <w:color w:val="auto"/>
        </w:rPr>
      </w:pPr>
      <w:r>
        <w:rPr>
          <w:rFonts w:ascii="Arial" w:cs="Arial" w:eastAsia="Arial" w:hAnsi="Arial"/>
          <w:sz w:val="18"/>
          <w:szCs w:val="18"/>
          <w:b w:val="1"/>
          <w:bCs w:val="1"/>
          <w:color w:val="auto"/>
        </w:rPr>
        <w:t>Please discuss any term and termination provisions related to each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200" w:lineRule="exact"/>
        <w:rPr>
          <w:sz w:val="20"/>
          <w:szCs w:val="20"/>
          <w:color w:val="auto"/>
        </w:rPr>
      </w:pPr>
    </w:p>
    <w:p>
      <w:pPr>
        <w:spacing w:after="0" w:line="223" w:lineRule="exact"/>
        <w:rPr>
          <w:sz w:val="20"/>
          <w:szCs w:val="20"/>
          <w:color w:val="auto"/>
        </w:rPr>
      </w:pPr>
    </w:p>
    <w:p>
      <w:pPr>
        <w:jc w:val="both"/>
        <w:ind w:left="340" w:right="420"/>
        <w:spacing w:after="0" w:line="266" w:lineRule="auto"/>
        <w:rPr>
          <w:sz w:val="20"/>
          <w:szCs w:val="20"/>
          <w:color w:val="auto"/>
        </w:rPr>
      </w:pPr>
      <w:r>
        <w:rPr>
          <w:rFonts w:ascii="Arial" w:cs="Arial" w:eastAsia="Arial" w:hAnsi="Arial"/>
          <w:sz w:val="18"/>
          <w:szCs w:val="18"/>
          <w:b w:val="1"/>
          <w:bCs w:val="1"/>
          <w:color w:val="auto"/>
        </w:rPr>
        <w:t>If any arrangements with investigators and/or institutions have been memorialized in a written agreement, please file each agreement as an exhibit to your registration statement, or provide us with a legal analysis as to why these agreements are not material pursuant to Item 8 of Form F-1 and Item 601(b)(10) of Regulation S-K.</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added the following disclosure at the end of the research and development section on page 43 of Amendment No. 1:</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trial,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Former Strategic Relationship with Teva Pharmaceuticals, page 43</w:t>
      </w:r>
    </w:p>
    <w:p>
      <w:pPr>
        <w:spacing w:after="0" w:line="225" w:lineRule="exact"/>
        <w:rPr>
          <w:sz w:val="20"/>
          <w:szCs w:val="20"/>
          <w:color w:val="auto"/>
        </w:rPr>
      </w:pPr>
    </w:p>
    <w:p>
      <w:pPr>
        <w:ind w:left="340" w:right="180" w:hanging="332"/>
        <w:spacing w:after="0" w:line="347" w:lineRule="auto"/>
        <w:tabs>
          <w:tab w:leader="none" w:pos="340"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disclose whether you or Teva Pharmaceuticals have any continuing obligations to each other due to Teva's equity investment or funding of a stage of MG01CI clinical development. These continuing obligations may include the payment of royalties, milestones, etc.</w:t>
      </w:r>
    </w:p>
    <w:p>
      <w:pPr>
        <w:spacing w:after="0" w:line="120"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We have no continuing obligations to Teva other than that Teva continues to be a shareholder with the rights described in the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page 43</w:t>
      </w:r>
    </w:p>
    <w:p>
      <w:pPr>
        <w:spacing w:after="0" w:line="225" w:lineRule="exact"/>
        <w:rPr>
          <w:sz w:val="20"/>
          <w:szCs w:val="20"/>
          <w:color w:val="auto"/>
        </w:rPr>
      </w:pPr>
    </w:p>
    <w:p>
      <w:pPr>
        <w:ind w:left="340" w:hanging="332"/>
        <w:spacing w:after="0" w:line="266" w:lineRule="auto"/>
        <w:tabs>
          <w:tab w:leader="none" w:pos="3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You state in this subsection that you currently rely on one third-party manufacturer to produce bulk drug substance and drug products required for your clinical trials of MG01CI. Please expand your disclosure to provide more information regarding your relationship with this manufacturer. For example, please discuss the following:</w:t>
      </w:r>
    </w:p>
    <w:p>
      <w:pPr>
        <w:spacing w:after="0" w:line="176" w:lineRule="exact"/>
        <w:rPr>
          <w:rFonts w:ascii="Arial" w:cs="Arial" w:eastAsia="Arial" w:hAnsi="Arial"/>
          <w:sz w:val="18"/>
          <w:szCs w:val="18"/>
          <w:b w:val="1"/>
          <w:bCs w:val="1"/>
          <w:color w:val="auto"/>
        </w:rPr>
      </w:pPr>
    </w:p>
    <w:p>
      <w:pPr>
        <w:ind w:left="660" w:hanging="328"/>
        <w:spacing w:after="0"/>
        <w:tabs>
          <w:tab w:leader="none" w:pos="660" w:val="left"/>
        </w:tabs>
        <w:numPr>
          <w:ilvl w:val="1"/>
          <w:numId w:val="292"/>
        </w:numPr>
        <w:rPr>
          <w:rFonts w:ascii="Arial" w:cs="Arial" w:eastAsia="Arial" w:hAnsi="Arial"/>
          <w:sz w:val="18"/>
          <w:szCs w:val="18"/>
          <w:color w:val="auto"/>
        </w:rPr>
      </w:pPr>
      <w:r>
        <w:rPr>
          <w:rFonts w:ascii="Arial" w:cs="Arial" w:eastAsia="Arial" w:hAnsi="Arial"/>
          <w:sz w:val="18"/>
          <w:szCs w:val="18"/>
          <w:b w:val="1"/>
          <w:bCs w:val="1"/>
          <w:color w:val="auto"/>
        </w:rPr>
        <w:t>Please identify the manufacturer;</w:t>
      </w:r>
    </w:p>
    <w:p>
      <w:pPr>
        <w:spacing w:after="0" w:line="27" w:lineRule="exact"/>
        <w:rPr>
          <w:rFonts w:ascii="Arial" w:cs="Arial" w:eastAsia="Arial" w:hAnsi="Arial"/>
          <w:sz w:val="18"/>
          <w:szCs w:val="18"/>
          <w:color w:val="auto"/>
        </w:rPr>
      </w:pPr>
    </w:p>
    <w:p>
      <w:pPr>
        <w:ind w:left="660" w:right="640" w:hanging="328"/>
        <w:spacing w:after="0" w:line="250" w:lineRule="auto"/>
        <w:tabs>
          <w:tab w:leader="none" w:pos="660" w:val="left"/>
        </w:tabs>
        <w:numPr>
          <w:ilvl w:val="1"/>
          <w:numId w:val="292"/>
        </w:numPr>
        <w:rPr>
          <w:rFonts w:ascii="Arial" w:cs="Arial" w:eastAsia="Arial" w:hAnsi="Arial"/>
          <w:sz w:val="18"/>
          <w:szCs w:val="18"/>
          <w:color w:val="auto"/>
        </w:rPr>
      </w:pPr>
      <w:r>
        <w:rPr>
          <w:rFonts w:ascii="Arial" w:cs="Arial" w:eastAsia="Arial" w:hAnsi="Arial"/>
          <w:sz w:val="18"/>
          <w:szCs w:val="18"/>
          <w:b w:val="1"/>
          <w:bCs w:val="1"/>
          <w:color w:val="auto"/>
        </w:rPr>
        <w:t>Please discuss each parties' obligations, including the existence of any minimum purchase orders or financial obligations beyond flat payments for products manufactured, such as royalties; and</w:t>
      </w:r>
    </w:p>
    <w:p>
      <w:pPr>
        <w:ind w:left="660" w:hanging="328"/>
        <w:spacing w:after="0"/>
        <w:tabs>
          <w:tab w:leader="none" w:pos="660" w:val="left"/>
        </w:tabs>
        <w:numPr>
          <w:ilvl w:val="1"/>
          <w:numId w:val="292"/>
        </w:numPr>
        <w:rPr>
          <w:rFonts w:ascii="Arial" w:cs="Arial" w:eastAsia="Arial" w:hAnsi="Arial"/>
          <w:sz w:val="18"/>
          <w:szCs w:val="18"/>
          <w:color w:val="auto"/>
        </w:rPr>
      </w:pPr>
      <w:r>
        <w:rPr>
          <w:rFonts w:ascii="Arial" w:cs="Arial" w:eastAsia="Arial" w:hAnsi="Arial"/>
          <w:sz w:val="18"/>
          <w:szCs w:val="18"/>
          <w:b w:val="1"/>
          <w:bCs w:val="1"/>
          <w:color w:val="auto"/>
        </w:rPr>
        <w:t>Please discuss any term and termination provisions related to this manufacturing arrangement.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beginning of the relevant paragraph on page 43 of Amendment No. 1 has been revised to read:</w:t>
      </w:r>
    </w:p>
    <w:p>
      <w:pPr>
        <w:spacing w:after="0" w:line="225" w:lineRule="exact"/>
        <w:rPr>
          <w:sz w:val="20"/>
          <w:szCs w:val="20"/>
          <w:color w:val="auto"/>
        </w:rPr>
      </w:pPr>
    </w:p>
    <w:p>
      <w:pPr>
        <w:ind w:left="660" w:right="280"/>
        <w:spacing w:after="0" w:line="302" w:lineRule="auto"/>
        <w:rPr>
          <w:sz w:val="20"/>
          <w:szCs w:val="20"/>
          <w:color w:val="auto"/>
        </w:rPr>
      </w:pPr>
      <w:r>
        <w:rPr>
          <w:rFonts w:ascii="Arial" w:cs="Arial" w:eastAsia="Arial" w:hAnsi="Arial"/>
          <w:sz w:val="16"/>
          <w:szCs w:val="16"/>
          <w:color w:val="auto"/>
        </w:rPr>
        <w:t>We currently have no manufacturing facilities and no personnel with commercial-scale manufacturing experience. We currently rely on one third-party manufacturer, Patheon Inc. which is located in Cincinnati, OH, to produce bulk drug substance and drug products required for our clinical trials. We have entered into a customary clinical trial agreement with Pantheon. Supply under the agreement is done by purchase orders, there are no minimum purchase requirements or unusual financial arrangements and the agreement is terminable at will by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207"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If your arrangement with the third-party manufacturer has been memorialized in a written agreement, please file the agreement as an exhibit to your registration statement, or provide us with a legal analysis as to why this agreement is not material pursuant to Item 8 of Form F-1 and Item 601(b)(10) of Regulation S-K.</w:t>
      </w:r>
    </w:p>
    <w:p>
      <w:pPr>
        <w:spacing w:after="0" w:line="180" w:lineRule="exact"/>
        <w:rPr>
          <w:sz w:val="20"/>
          <w:szCs w:val="20"/>
          <w:color w:val="auto"/>
        </w:rPr>
      </w:pPr>
    </w:p>
    <w:p>
      <w:pPr>
        <w:ind w:left="340" w:right="580"/>
        <w:spacing w:after="0" w:line="264" w:lineRule="auto"/>
        <w:rPr>
          <w:sz w:val="20"/>
          <w:szCs w:val="20"/>
          <w:color w:val="auto"/>
        </w:rPr>
      </w:pPr>
      <w:r>
        <w:rPr>
          <w:rFonts w:ascii="Arial" w:cs="Arial" w:eastAsia="Arial" w:hAnsi="Arial"/>
          <w:sz w:val="18"/>
          <w:szCs w:val="18"/>
          <w:color w:val="auto"/>
        </w:rPr>
        <w:t>There is a customary contract manufacturing agreement. We do not believe it is material because, as stated in the revised disclosure on page 43 of Amendment No. 1, supply under the agreement is done by purchase orders, there are no minimum purchase requirements or unusual financial arrangements and the agreement is terminable at will by either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page 50</w:t>
      </w:r>
    </w:p>
    <w:p>
      <w:pPr>
        <w:spacing w:after="0" w:line="225" w:lineRule="exact"/>
        <w:rPr>
          <w:sz w:val="20"/>
          <w:szCs w:val="20"/>
          <w:color w:val="auto"/>
        </w:rPr>
      </w:pPr>
    </w:p>
    <w:p>
      <w:pPr>
        <w:ind w:left="340" w:right="380" w:hanging="332"/>
        <w:spacing w:after="0" w:line="347" w:lineRule="auto"/>
        <w:tabs>
          <w:tab w:leader="none" w:pos="340" w:val="left"/>
        </w:tabs>
        <w:numPr>
          <w:ilvl w:val="0"/>
          <w:numId w:val="293"/>
        </w:numPr>
        <w:rPr>
          <w:rFonts w:ascii="Arial" w:cs="Arial" w:eastAsia="Arial" w:hAnsi="Arial"/>
          <w:sz w:val="16"/>
          <w:szCs w:val="16"/>
          <w:b w:val="1"/>
          <w:bCs w:val="1"/>
          <w:color w:val="auto"/>
        </w:rPr>
      </w:pPr>
      <w:r>
        <w:rPr>
          <w:rFonts w:ascii="Arial" w:cs="Arial" w:eastAsia="Arial" w:hAnsi="Arial"/>
          <w:sz w:val="16"/>
          <w:szCs w:val="16"/>
          <w:b w:val="1"/>
          <w:bCs w:val="1"/>
          <w:color w:val="auto"/>
        </w:rPr>
        <w:t>Please add a risk factor that addresses the risk to your business and financial condition of the provisions in your amended and restated articles of incorporation that limit the liability of your directors, and require you to indemnify your directors and officers under Israeli law.</w:t>
      </w:r>
    </w:p>
    <w:p>
      <w:pPr>
        <w:spacing w:after="0" w:line="120"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We do not believe these provisions are a risk to our business and financial condition. They are customary provisions substantially similar to those of domestic issuers, and would not seem to be appropriate, therefore, to separately identify these provisions as a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Agreements with Executive Officers; Consulting and Directorship Services Provided by Directors, page 62</w:t>
      </w:r>
    </w:p>
    <w:p>
      <w:pPr>
        <w:spacing w:after="0" w:line="225" w:lineRule="exact"/>
        <w:rPr>
          <w:sz w:val="20"/>
          <w:szCs w:val="20"/>
          <w:color w:val="auto"/>
        </w:rPr>
      </w:pPr>
    </w:p>
    <w:p>
      <w:pPr>
        <w:ind w:left="340" w:right="240" w:hanging="332"/>
        <w:spacing w:after="0" w:line="261" w:lineRule="auto"/>
        <w:tabs>
          <w:tab w:leader="none" w:pos="3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On page 62, you state "Please see 'Risk factors—Risks Relating to Our Business and Industry.' for a further description of the enforceability of non-competition clauses." There does not appear to be any information in the Risk Factors section regarding the enforceability of non-competition clauses. Please revise your filing to either remove the cross-reference, or add disclosure regarding this subject to the Risk Factors section.</w:t>
      </w:r>
    </w:p>
    <w:p>
      <w:pPr>
        <w:spacing w:after="0" w:line="184" w:lineRule="exact"/>
        <w:rPr>
          <w:sz w:val="20"/>
          <w:szCs w:val="20"/>
          <w:color w:val="auto"/>
        </w:rPr>
      </w:pPr>
    </w:p>
    <w:p>
      <w:pPr>
        <w:ind w:left="340" w:right="480"/>
        <w:spacing w:after="0" w:line="342" w:lineRule="auto"/>
        <w:rPr>
          <w:sz w:val="20"/>
          <w:szCs w:val="20"/>
          <w:color w:val="auto"/>
        </w:rPr>
      </w:pPr>
      <w:r>
        <w:rPr>
          <w:rFonts w:ascii="Arial" w:cs="Arial" w:eastAsia="Arial" w:hAnsi="Arial"/>
          <w:sz w:val="16"/>
          <w:szCs w:val="16"/>
          <w:color w:val="auto"/>
        </w:rPr>
        <w:t>A risk factor entitled “Under applicable employment laws, we may not be able to enforce covenants not to compete and therefore may be unable to prevent our competitors from benefiting from the expertise of some of our former employees.” was added on page 17 to the Amendment No. 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Shareholders, page 65</w:t>
      </w:r>
    </w:p>
    <w:p>
      <w:pPr>
        <w:spacing w:after="0" w:line="225" w:lineRule="exact"/>
        <w:rPr>
          <w:sz w:val="20"/>
          <w:szCs w:val="20"/>
          <w:color w:val="auto"/>
        </w:rPr>
      </w:pPr>
    </w:p>
    <w:p>
      <w:pPr>
        <w:ind w:left="340" w:right="460" w:hanging="332"/>
        <w:spacing w:after="0" w:line="282" w:lineRule="auto"/>
        <w:tabs>
          <w:tab w:leader="none" w:pos="3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identity of the individual (s) with voting and dispositive power over the shares held by beneficial owner Hasasit Medical Research Services &amp; Development Ltd.</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These powers are exercised generally by the management at Hadasit and not by any individual in particular.</w:t>
      </w:r>
    </w:p>
    <w:p>
      <w:pPr>
        <w:spacing w:after="0" w:line="221" w:lineRule="exact"/>
        <w:rPr>
          <w:rFonts w:ascii="Arial" w:cs="Arial" w:eastAsia="Arial" w:hAnsi="Arial"/>
          <w:sz w:val="18"/>
          <w:szCs w:val="18"/>
          <w:b w:val="1"/>
          <w:bCs w:val="1"/>
          <w:color w:val="auto"/>
        </w:rPr>
      </w:pPr>
    </w:p>
    <w:p>
      <w:pPr>
        <w:ind w:left="340" w:right="560" w:hanging="332"/>
        <w:spacing w:after="0" w:line="532" w:lineRule="auto"/>
        <w:tabs>
          <w:tab w:leader="none" w:pos="3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disclose the number of your U.S. holders and percentage of shares held by them. For guidance, please see Item 7.A.2 of Form 20-F. </w:t>
      </w:r>
      <w:r>
        <w:rPr>
          <w:rFonts w:ascii="Arial" w:cs="Arial" w:eastAsia="Arial" w:hAnsi="Arial"/>
          <w:sz w:val="18"/>
          <w:szCs w:val="18"/>
          <w:color w:val="auto"/>
        </w:rPr>
        <w:t>We have only one U.S. shareholder, who owns 4% 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Taxation, page 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Israeli Tax Considerations, page 75</w:t>
      </w:r>
    </w:p>
    <w:p>
      <w:pPr>
        <w:spacing w:after="0" w:line="225" w:lineRule="exact"/>
        <w:rPr>
          <w:sz w:val="20"/>
          <w:szCs w:val="20"/>
          <w:color w:val="auto"/>
        </w:rPr>
      </w:pPr>
    </w:p>
    <w:p>
      <w:pPr>
        <w:ind w:left="340" w:right="20" w:hanging="332"/>
        <w:spacing w:after="0" w:line="266" w:lineRule="auto"/>
        <w:tabs>
          <w:tab w:leader="none" w:pos="3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An investor is entitled to rely on the Israeli tax information contained in the registration statement. Accordingly, delete your disclaimers that the "discussion of Israeli income tax and capital gain tax considerations is for general information only" and "is not tax advice" as they imply that an investor may not so rely on the information.</w:t>
      </w:r>
    </w:p>
    <w:p>
      <w:pPr>
        <w:spacing w:after="0" w:line="18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disclaimer has been deleted.</w:t>
      </w:r>
    </w:p>
    <w:p>
      <w:pPr>
        <w:spacing w:after="0" w:line="221" w:lineRule="exact"/>
        <w:rPr>
          <w:rFonts w:ascii="Arial" w:cs="Arial" w:eastAsia="Arial" w:hAnsi="Arial"/>
          <w:sz w:val="18"/>
          <w:szCs w:val="18"/>
          <w:b w:val="1"/>
          <w:bCs w:val="1"/>
          <w:color w:val="auto"/>
        </w:rPr>
      </w:pPr>
    </w:p>
    <w:p>
      <w:pPr>
        <w:ind w:left="340" w:hanging="332"/>
        <w:spacing w:after="0" w:line="272" w:lineRule="auto"/>
        <w:tabs>
          <w:tab w:leader="none" w:pos="340"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statements on pages 79-80 that, although you do not expect to be a PFIC in 2013, 2014 or in a subsequent year, "because this determination is made annually after the close of each taxable year, because [you] hold and expect to continue to hold following this offering a substantial amount of cash and cash equivalents, and because the calculation of [your] assets may be based in part on the value of [your] ordinary shares, which may fluctuate after this offering and may fluctuate considerably given that market prices of technology companies historically often have been volatile, it is difficult to predict whether [you] will be a PFIC in any taxable year." Accordingly, provide a risk factor that briefly discusses the risks to your U.S. holders should you be classified as a PFIC. Include in this discussion the fact that, should you be classified as a PFIC, you do not intend to furnish the information necessary for U.S. holders to make qualified electing fund elections that would provide some relief from the PFIC rules.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 factor has been added at page 21 of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Convertible Notes, page F-15</w:t>
      </w:r>
    </w:p>
    <w:p>
      <w:pPr>
        <w:spacing w:after="0" w:line="225" w:lineRule="exact"/>
        <w:rPr>
          <w:sz w:val="20"/>
          <w:szCs w:val="20"/>
          <w:color w:val="auto"/>
        </w:rPr>
      </w:pPr>
    </w:p>
    <w:p>
      <w:pPr>
        <w:ind w:left="340" w:hanging="332"/>
        <w:spacing w:after="0"/>
        <w:tabs>
          <w:tab w:leader="none" w:pos="3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your accounting of the adjustable conversion feature embedded in your convertible notes:</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297"/>
        </w:numPr>
        <w:rPr>
          <w:rFonts w:ascii="Arial" w:cs="Arial" w:eastAsia="Arial" w:hAnsi="Arial"/>
          <w:sz w:val="18"/>
          <w:szCs w:val="18"/>
          <w:color w:val="auto"/>
        </w:rPr>
      </w:pPr>
      <w:r>
        <w:rPr>
          <w:rFonts w:ascii="Arial" w:cs="Arial" w:eastAsia="Arial" w:hAnsi="Arial"/>
          <w:sz w:val="18"/>
          <w:szCs w:val="18"/>
          <w:b w:val="1"/>
          <w:bCs w:val="1"/>
          <w:color w:val="auto"/>
        </w:rPr>
        <w:t>Whether and how the beneficial conversion feature was recognized at the issuance;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297"/>
        </w:numPr>
        <w:rPr>
          <w:rFonts w:ascii="Arial" w:cs="Arial" w:eastAsia="Arial" w:hAnsi="Arial"/>
          <w:sz w:val="18"/>
          <w:szCs w:val="18"/>
          <w:color w:val="auto"/>
        </w:rPr>
      </w:pPr>
      <w:r>
        <w:rPr>
          <w:rFonts w:ascii="Arial" w:cs="Arial" w:eastAsia="Arial" w:hAnsi="Arial"/>
          <w:sz w:val="18"/>
          <w:szCs w:val="18"/>
          <w:b w:val="1"/>
          <w:bCs w:val="1"/>
          <w:color w:val="auto"/>
        </w:rPr>
        <w:t>Whether the "additional redemption amount" is different from the fair value of the conversion feature;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97"/>
        </w:numPr>
        <w:rPr>
          <w:rFonts w:ascii="Arial" w:cs="Arial" w:eastAsia="Arial" w:hAnsi="Arial"/>
          <w:sz w:val="17"/>
          <w:szCs w:val="17"/>
          <w:color w:val="auto"/>
        </w:rPr>
      </w:pPr>
      <w:r>
        <w:rPr>
          <w:rFonts w:ascii="Arial" w:cs="Arial" w:eastAsia="Arial" w:hAnsi="Arial"/>
          <w:sz w:val="17"/>
          <w:szCs w:val="17"/>
          <w:b w:val="1"/>
          <w:bCs w:val="1"/>
          <w:color w:val="auto"/>
        </w:rPr>
        <w:t>Whether the conversion feature was remeasured at each reporting date. Cite the accounting literature to support your accounting.</w:t>
      </w:r>
    </w:p>
    <w:p>
      <w:pPr>
        <w:spacing w:after="0" w:line="222" w:lineRule="exact"/>
        <w:rPr>
          <w:sz w:val="20"/>
          <w:szCs w:val="20"/>
          <w:color w:val="auto"/>
        </w:rPr>
      </w:pPr>
    </w:p>
    <w:p>
      <w:pPr>
        <w:jc w:val="both"/>
        <w:ind w:left="340" w:right="100"/>
        <w:spacing w:after="0" w:line="264" w:lineRule="auto"/>
        <w:rPr>
          <w:sz w:val="20"/>
          <w:szCs w:val="20"/>
          <w:color w:val="auto"/>
        </w:rPr>
      </w:pPr>
      <w:r>
        <w:rPr>
          <w:rFonts w:ascii="Arial" w:cs="Arial" w:eastAsia="Arial" w:hAnsi="Arial"/>
          <w:sz w:val="18"/>
          <w:szCs w:val="18"/>
          <w:color w:val="auto"/>
        </w:rPr>
        <w:t>The Company issued convertible notes to be automatically converted into ordinary shares of the Company upon the earlier of the following events: (i) a financing round and/ or IPO, at a fixed rate of discount from the price per share in such financing round or IPO, or (ii) the elapse of 12 months at a fixed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211"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The first conversion option is considered one that continuously resets as the underlying stock price increases or decreases so as to provide a fixed value of common stock due to the following:</w:t>
      </w:r>
    </w:p>
    <w:p>
      <w:pPr>
        <w:spacing w:after="0" w:line="170" w:lineRule="exact"/>
        <w:rPr>
          <w:sz w:val="20"/>
          <w:szCs w:val="20"/>
          <w:color w:val="auto"/>
        </w:rPr>
      </w:pPr>
    </w:p>
    <w:p>
      <w:pPr>
        <w:ind w:left="660" w:right="740" w:hanging="328"/>
        <w:spacing w:after="0" w:line="291" w:lineRule="auto"/>
        <w:tabs>
          <w:tab w:leader="none" w:pos="6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2009 Convertible Notes – The principle amount was $220,000 that is settled in shares at a 20% discount to price per share at the following financing round. That feature would result in a settlement in shares with a fixed monetary value of $220,000/80% =$275,000 .</w:t>
      </w:r>
    </w:p>
    <w:p>
      <w:pPr>
        <w:ind w:left="660" w:right="740" w:hanging="328"/>
        <w:spacing w:after="0" w:line="323" w:lineRule="auto"/>
        <w:tabs>
          <w:tab w:leader="none" w:pos="6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2012 Convertible Notes – The principle amount was $600,000 that is settled in shares at a 25% discount to price per share at the following financing round and/ or IPO. That feature would result in a settlement in shares with a fixed monetary value of $600,000/75%=$800,000.</w:t>
      </w:r>
    </w:p>
    <w:p>
      <w:pPr>
        <w:spacing w:after="0" w:line="139"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The convertible notes referred to above provide a fix value of ordinary shares to the holder at the conversion date. Therefore, the convertible instrument is considered "stock settled debt" in accordance with ASC 470-20-25-8: "</w:t>
      </w:r>
      <w:r>
        <w:rPr>
          <w:rFonts w:ascii="Arial" w:cs="Arial" w:eastAsia="Arial" w:hAnsi="Arial"/>
          <w:sz w:val="18"/>
          <w:szCs w:val="18"/>
          <w:i w:val="1"/>
          <w:iCs w:val="1"/>
          <w:color w:val="auto"/>
        </w:rPr>
        <w:t>if a convertible instrument has a conversion option that continuously resets as</w:t>
      </w:r>
      <w:r>
        <w:rPr>
          <w:rFonts w:ascii="Arial" w:cs="Arial" w:eastAsia="Arial" w:hAnsi="Arial"/>
          <w:sz w:val="18"/>
          <w:szCs w:val="18"/>
          <w:color w:val="auto"/>
        </w:rPr>
        <w:t xml:space="preserve"> </w:t>
      </w:r>
      <w:r>
        <w:rPr>
          <w:rFonts w:ascii="Arial" w:cs="Arial" w:eastAsia="Arial" w:hAnsi="Arial"/>
          <w:sz w:val="18"/>
          <w:szCs w:val="18"/>
          <w:i w:val="1"/>
          <w:iCs w:val="1"/>
          <w:color w:val="auto"/>
        </w:rPr>
        <w:t>the underlying stock price increases or decreases so as to provide a fixed value of common stock to the holder at any conversion date, the convertible instrument shall be considered stock-settled debt and the contingent beneficial conversion option provisions of this Subtopic would not apply when those resets subsequently occur. However, the guidance in paragraph 470-20-25-5 applies to the initial recognition of such a convertible instrument, including any initial active beneficial conversion feature."</w:t>
      </w:r>
    </w:p>
    <w:p>
      <w:pPr>
        <w:spacing w:after="0" w:line="193"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As the instrument has two options to be converted into ordinary shares, the Company analyzed the instrument in accordance with the guidance of ASC 480-10-55-44, which states that: "</w:t>
      </w:r>
      <w:r>
        <w:rPr>
          <w:rFonts w:ascii="Arial" w:cs="Arial" w:eastAsia="Arial" w:hAnsi="Arial"/>
          <w:sz w:val="17"/>
          <w:szCs w:val="17"/>
          <w:i w:val="1"/>
          <w:iCs w:val="1"/>
          <w:color w:val="auto"/>
        </w:rPr>
        <w:t>In an instrument that allows the holder either to purchase a fixed number of the issuer's shares at a fixed price or to</w:t>
      </w:r>
      <w:r>
        <w:rPr>
          <w:rFonts w:ascii="Arial" w:cs="Arial" w:eastAsia="Arial" w:hAnsi="Arial"/>
          <w:sz w:val="17"/>
          <w:szCs w:val="17"/>
          <w:color w:val="auto"/>
        </w:rPr>
        <w:t xml:space="preserve"> </w:t>
      </w:r>
      <w:r>
        <w:rPr>
          <w:rFonts w:ascii="Arial" w:cs="Arial" w:eastAsia="Arial" w:hAnsi="Arial"/>
          <w:sz w:val="17"/>
          <w:szCs w:val="17"/>
          <w:i w:val="1"/>
          <w:iCs w:val="1"/>
          <w:color w:val="auto"/>
        </w:rPr>
        <w:t>compel the issuer to reacquire the instrument at a fixed date for shares equal to a fixed monetary amount known at inception, the holder's choice will depend on the issuer's share price at the settlement date. The issuer must analyze the instrument at inception and consider all possible outcomes to judge which obligation is predominant… If the issuer judges the obligation to issue a variable number of shares based on a fixed monetary amount known at inception to be predominant, the instrument is a liability under paragraph 480-10-25-14."</w:t>
      </w:r>
    </w:p>
    <w:p>
      <w:pPr>
        <w:spacing w:after="0" w:line="178" w:lineRule="exact"/>
        <w:rPr>
          <w:sz w:val="20"/>
          <w:szCs w:val="20"/>
          <w:color w:val="auto"/>
        </w:rPr>
      </w:pPr>
    </w:p>
    <w:p>
      <w:pPr>
        <w:jc w:val="both"/>
        <w:ind w:left="340" w:right="160"/>
        <w:spacing w:after="0" w:line="264" w:lineRule="auto"/>
        <w:rPr>
          <w:sz w:val="20"/>
          <w:szCs w:val="20"/>
          <w:color w:val="auto"/>
        </w:rPr>
      </w:pPr>
      <w:r>
        <w:rPr>
          <w:rFonts w:ascii="Arial" w:cs="Arial" w:eastAsia="Arial" w:hAnsi="Arial"/>
          <w:sz w:val="18"/>
          <w:szCs w:val="18"/>
          <w:color w:val="auto"/>
        </w:rPr>
        <w:t>The Company analyzed the instruments at inception and the conversion upon financing round and/or IPO was determined to be the predominant event since the likelihood of having financing round and/or IPO is much higher than not having them. Therefore the entire instrument was considered to be a liability pursuant to ASC 480.</w:t>
      </w:r>
    </w:p>
    <w:p>
      <w:pPr>
        <w:spacing w:after="0" w:line="181"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The general measurement guidance in ASC 480 requires share-settled debt (obligations that can be settled in shares with a fixed monetary value at settlement) to be carried at fair value unless other accounting guidance specifies another measurement attribute. We generally believe that such obligations are, in substance, traditional debt arrangements that merely provide for the stock of the issuer to be used as the form of currency for repayment and, therefore, the applicable accounting guidance in ASC 835-30 (i.e., accrue to the redemption amount using the interest method) can be applied. Accordingly, each reporting period the Company accrues to the redemption amount using the interest method. In addition the Company includes accrual of interest (based on the convertible debt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Shareholders' Equity, page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93" w:right="29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207" w:lineRule="exact"/>
        <w:rPr>
          <w:sz w:val="20"/>
          <w:szCs w:val="20"/>
          <w:color w:val="auto"/>
        </w:rPr>
      </w:pPr>
    </w:p>
    <w:p>
      <w:pPr>
        <w:ind w:left="340" w:right="120" w:hanging="332"/>
        <w:spacing w:after="0" w:line="282" w:lineRule="auto"/>
        <w:tabs>
          <w:tab w:leader="none" w:pos="3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an analysis that supports your recording of a compensation expense in the amount of $1,466,000 in the year ended December 31, 2011 and a dividend in the amount of $180,000 for the year ended December 31, 2011.</w:t>
      </w:r>
    </w:p>
    <w:p>
      <w:pPr>
        <w:spacing w:after="0" w:line="165" w:lineRule="exact"/>
        <w:rPr>
          <w:rFonts w:ascii="Arial" w:cs="Arial" w:eastAsia="Arial" w:hAnsi="Arial"/>
          <w:sz w:val="18"/>
          <w:szCs w:val="18"/>
          <w:b w:val="1"/>
          <w:bCs w:val="1"/>
          <w:color w:val="auto"/>
        </w:rPr>
      </w:pPr>
    </w:p>
    <w:p>
      <w:pPr>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February 2011, the Company effected an equity restructuring under which all of the Company's preferred shares were converted into ordinary shares. As a result of the conversion, the per-share fair value of ordinary shares increased. Under ASC 718-20-10 such a transaction is considered to be an equity restructuring. Paragraph 718-20-35-6, provides that accounting for a modification in conjunction with an equity restructuring requires a comparison of the fair value of the modified award with the fair value of the original award immediately before the modification.</w:t>
      </w:r>
    </w:p>
    <w:p>
      <w:pPr>
        <w:spacing w:after="0" w:line="171" w:lineRule="exact"/>
        <w:rPr>
          <w:rFonts w:ascii="Arial" w:cs="Arial" w:eastAsia="Arial" w:hAnsi="Arial"/>
          <w:sz w:val="18"/>
          <w:szCs w:val="18"/>
          <w:b w:val="1"/>
          <w:bCs w:val="1"/>
          <w:color w:val="auto"/>
        </w:rPr>
      </w:pPr>
    </w:p>
    <w:p>
      <w:pPr>
        <w:ind w:left="3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 result, the Company calculated the fair value of the modified award with the fair value of the original award immediately before the equity restructuring. In respect of ordinary shares and options that were held by the Company's employees a compensation expense in an amount of $1,466,000 was recorded. In respect of ordinary shares that are held by shareholders, who are not employed by the Company, a deemed dividend in an amount of $180,000 was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Balances and Transactions, page F-22</w:t>
      </w:r>
    </w:p>
    <w:p>
      <w:pPr>
        <w:spacing w:after="0" w:line="225" w:lineRule="exact"/>
        <w:rPr>
          <w:sz w:val="20"/>
          <w:szCs w:val="20"/>
          <w:color w:val="auto"/>
        </w:rPr>
      </w:pPr>
    </w:p>
    <w:p>
      <w:pPr>
        <w:ind w:left="340" w:right="60" w:hanging="332"/>
        <w:spacing w:after="0" w:line="282" w:lineRule="auto"/>
        <w:tabs>
          <w:tab w:leader="none" w:pos="34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your footnote disclosure "a" to explain what you mean by "independent," since the contractor being a shareholder and a director appears to preclude this contractor from being independent.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response to the Staff’s comment, the Company has removed the word “independent” from page F-22 of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Exhibits and Financial Statement Schedules, page 11-1</w:t>
      </w:r>
    </w:p>
    <w:p>
      <w:pPr>
        <w:spacing w:after="0" w:line="225" w:lineRule="exact"/>
        <w:rPr>
          <w:sz w:val="20"/>
          <w:szCs w:val="20"/>
          <w:color w:val="auto"/>
        </w:rPr>
      </w:pPr>
    </w:p>
    <w:p>
      <w:pPr>
        <w:ind w:left="340" w:right="4720" w:hanging="332"/>
        <w:spacing w:after="0" w:line="501" w:lineRule="auto"/>
        <w:tabs>
          <w:tab w:leader="none" w:pos="3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file a Form of Convertible Note as an exhibit to your registration statement. </w:t>
      </w:r>
      <w:r>
        <w:rPr>
          <w:rFonts w:ascii="Arial" w:cs="Arial" w:eastAsia="Arial" w:hAnsi="Arial"/>
          <w:sz w:val="18"/>
          <w:szCs w:val="18"/>
          <w:color w:val="auto"/>
        </w:rPr>
        <w:t>We have filed the form as Exhibit 4.1 to Amendment No. 1.</w:t>
      </w:r>
    </w:p>
    <w:p>
      <w:pPr>
        <w:ind w:left="340" w:right="200" w:hanging="332"/>
        <w:spacing w:after="0" w:line="261" w:lineRule="auto"/>
        <w:tabs>
          <w:tab w:leader="none" w:pos="3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You have filed the Consulting Agreement between the Company and Adler Consulting LLC as Exhibit 10.1 to your registration statement. However, this agreement is not described in your prospectus. In an appropriate place in your prospectus, please disclose the material terms of this agreement, including the subject of the consulting agreement, the obligations of each party, any financial provisions, and the term and termination provisions.</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requested change has been made to page 51 of Amendment No. 1.</w:t>
      </w:r>
    </w:p>
    <w:p>
      <w:pPr>
        <w:spacing w:after="0" w:line="22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When we request acceleration of the effective date of the pending registration statement we will provide a written statement from the company acknowledging that:</w:t>
      </w:r>
    </w:p>
    <w:p>
      <w:pPr>
        <w:spacing w:after="0" w:line="170" w:lineRule="exact"/>
        <w:rPr>
          <w:sz w:val="20"/>
          <w:szCs w:val="20"/>
          <w:color w:val="auto"/>
        </w:rPr>
      </w:pPr>
    </w:p>
    <w:p>
      <w:pPr>
        <w:ind w:left="660" w:right="260" w:hanging="328"/>
        <w:spacing w:after="0" w:line="258" w:lineRule="auto"/>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ind w:left="660" w:right="460" w:hanging="328"/>
        <w:spacing w:after="0" w:line="261" w:lineRule="auto"/>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8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21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appreciate your comments and welcome the opportunity to discuss with you our responses provided above. Please call one of our attorneys, Edwin Miller (617) 398-0408 or Shy Baranov (617) 338-2932 of Zysman, Aharoni, Gayer &amp; Co./Sullivan &amp; Worcester LLP in Boston if you have any questions or require additional information.</w:t>
      </w:r>
    </w:p>
    <w:p>
      <w:pPr>
        <w:spacing w:after="0" w:line="1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By: /s/ Yaron Daniely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Dr. Yaron Daniely,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with a marked copy of Amendment No.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 Zukin, Staff Attorney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Riegel, Staff Attorney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Keira Nakada, Staff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Vanjoske, Staff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6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6F2E30"/>
    <w:multiLevelType w:val="hybridMultilevel"/>
    <w:lvl w:ilvl="0">
      <w:lvlJc w:val="left"/>
      <w:lvlText w:val="·"/>
      <w:numFmt w:val="bullet"/>
      <w:start w:val="1"/>
    </w:lvl>
  </w:abstractNum>
  <w:abstractNum w:abstractNumId="1">
    <w:nsid w:val="6FDE8AF6"/>
    <w:multiLevelType w:val="hybridMultilevel"/>
    <w:lvl w:ilvl="0">
      <w:lvlJc w:val="left"/>
      <w:lvlText w:val="·"/>
      <w:numFmt w:val="bullet"/>
      <w:start w:val="1"/>
    </w:lvl>
  </w:abstractNum>
  <w:abstractNum w:abstractNumId="2">
    <w:nsid w:val="3FC32E20"/>
    <w:multiLevelType w:val="hybridMultilevel"/>
    <w:lvl w:ilvl="0">
      <w:lvlJc w:val="left"/>
      <w:lvlText w:val="·"/>
      <w:numFmt w:val="bullet"/>
      <w:start w:val="1"/>
    </w:lvl>
  </w:abstractNum>
  <w:abstractNum w:abstractNumId="3">
    <w:nsid w:val="49C0E823"/>
    <w:multiLevelType w:val="hybridMultilevel"/>
    <w:lvl w:ilvl="0">
      <w:lvlJc w:val="left"/>
      <w:lvlText w:val="·"/>
      <w:numFmt w:val="bullet"/>
      <w:start w:val="1"/>
    </w:lvl>
  </w:abstractNum>
  <w:abstractNum w:abstractNumId="4">
    <w:nsid w:val="14D53685"/>
    <w:multiLevelType w:val="hybridMultilevel"/>
    <w:lvl w:ilvl="0">
      <w:lvlJc w:val="left"/>
      <w:lvlText w:val="·"/>
      <w:numFmt w:val="bullet"/>
      <w:start w:val="1"/>
    </w:lvl>
  </w:abstractNum>
  <w:abstractNum w:abstractNumId="5">
    <w:nsid w:val="230F856C"/>
    <w:multiLevelType w:val="hybridMultilevel"/>
    <w:lvl w:ilvl="0">
      <w:lvlJc w:val="left"/>
      <w:lvlText w:val="·"/>
      <w:numFmt w:val="bullet"/>
      <w:start w:val="1"/>
    </w:lvl>
  </w:abstractNum>
  <w:abstractNum w:abstractNumId="6">
    <w:nsid w:val="6EAA85FB"/>
    <w:multiLevelType w:val="hybridMultilevel"/>
    <w:lvl w:ilvl="0">
      <w:lvlJc w:val="left"/>
      <w:lvlText w:val="(%1)"/>
      <w:numFmt w:val="decimal"/>
      <w:start w:val="1"/>
    </w:lvl>
  </w:abstractNum>
  <w:abstractNum w:abstractNumId="7">
    <w:nsid w:val="3F06ECB2"/>
    <w:multiLevelType w:val="hybridMultilevel"/>
    <w:lvl w:ilvl="0">
      <w:lvlJc w:val="left"/>
      <w:lvlText w:val="·"/>
      <w:numFmt w:val="bullet"/>
      <w:start w:val="1"/>
    </w:lvl>
  </w:abstractNum>
  <w:abstractNum w:abstractNumId="8">
    <w:nsid w:val="3B594807"/>
    <w:multiLevelType w:val="hybridMultilevel"/>
    <w:lvl w:ilvl="0">
      <w:lvlJc w:val="left"/>
      <w:lvlText w:val="·"/>
      <w:numFmt w:val="bullet"/>
      <w:start w:val="1"/>
    </w:lvl>
  </w:abstractNum>
  <w:abstractNum w:abstractNumId="9">
    <w:nsid w:val="6CAA2304"/>
    <w:multiLevelType w:val="hybridMultilevel"/>
    <w:lvl w:ilvl="0">
      <w:lvlJc w:val="left"/>
      <w:lvlText w:val="·"/>
      <w:numFmt w:val="bullet"/>
      <w:start w:val="1"/>
    </w:lvl>
  </w:abstractNum>
  <w:abstractNum w:abstractNumId="10">
    <w:nsid w:val="3F7C2FF4"/>
    <w:multiLevelType w:val="hybridMultilevel"/>
    <w:lvl w:ilvl="0">
      <w:lvlJc w:val="left"/>
      <w:lvlText w:val="·"/>
      <w:numFmt w:val="bullet"/>
      <w:start w:val="1"/>
    </w:lvl>
  </w:abstractNum>
  <w:abstractNum w:abstractNumId="11">
    <w:nsid w:val="25413BEC"/>
    <w:multiLevelType w:val="hybridMultilevel"/>
    <w:lvl w:ilvl="0">
      <w:lvlJc w:val="left"/>
      <w:lvlText w:val="·"/>
      <w:numFmt w:val="bullet"/>
      <w:start w:val="1"/>
    </w:lvl>
  </w:abstractNum>
  <w:abstractNum w:abstractNumId="12">
    <w:nsid w:val="17180B0B"/>
    <w:multiLevelType w:val="hybridMultilevel"/>
    <w:lvl w:ilvl="0">
      <w:lvlJc w:val="left"/>
      <w:lvlText w:val="·"/>
      <w:numFmt w:val="bullet"/>
      <w:start w:val="1"/>
    </w:lvl>
  </w:abstractNum>
  <w:abstractNum w:abstractNumId="13">
    <w:nsid w:val="579328B9"/>
    <w:multiLevelType w:val="hybridMultilevel"/>
    <w:lvl w:ilvl="0">
      <w:lvlJc w:val="left"/>
      <w:lvlText w:val="·"/>
      <w:numFmt w:val="bullet"/>
      <w:start w:val="1"/>
    </w:lvl>
  </w:abstractNum>
  <w:abstractNum w:abstractNumId="14">
    <w:nsid w:val="5D205E20"/>
    <w:multiLevelType w:val="hybridMultilevel"/>
    <w:lvl w:ilvl="0">
      <w:lvlJc w:val="left"/>
      <w:lvlText w:val="·"/>
      <w:numFmt w:val="bullet"/>
      <w:start w:val="1"/>
    </w:lvl>
  </w:abstractNum>
  <w:abstractNum w:abstractNumId="15">
    <w:nsid w:val="11CCA8BA"/>
    <w:multiLevelType w:val="hybridMultilevel"/>
    <w:lvl w:ilvl="0">
      <w:lvlJc w:val="left"/>
      <w:lvlText w:val="·"/>
      <w:numFmt w:val="bullet"/>
      <w:start w:val="1"/>
    </w:lvl>
  </w:abstractNum>
  <w:abstractNum w:abstractNumId="16">
    <w:nsid w:val="4D32AB86"/>
    <w:multiLevelType w:val="hybridMultilevel"/>
    <w:lvl w:ilvl="0">
      <w:lvlJc w:val="left"/>
      <w:lvlText w:val="·"/>
      <w:numFmt w:val="bullet"/>
      <w:start w:val="1"/>
    </w:lvl>
  </w:abstractNum>
  <w:abstractNum w:abstractNumId="17">
    <w:nsid w:val="3F07ACC3"/>
    <w:multiLevelType w:val="hybridMultilevel"/>
    <w:lvl w:ilvl="0">
      <w:lvlJc w:val="left"/>
      <w:lvlText w:val="·"/>
      <w:numFmt w:val="bullet"/>
      <w:start w:val="1"/>
    </w:lvl>
  </w:abstractNum>
  <w:abstractNum w:abstractNumId="18">
    <w:nsid w:val="6B47F63E"/>
    <w:multiLevelType w:val="hybridMultilevel"/>
    <w:lvl w:ilvl="0">
      <w:lvlJc w:val="left"/>
      <w:lvlText w:val="·"/>
      <w:numFmt w:val="bullet"/>
      <w:start w:val="1"/>
    </w:lvl>
  </w:abstractNum>
  <w:abstractNum w:abstractNumId="19">
    <w:nsid w:val="5CB44A05"/>
    <w:multiLevelType w:val="hybridMultilevel"/>
    <w:lvl w:ilvl="0">
      <w:lvlJc w:val="left"/>
      <w:lvlText w:val="·"/>
      <w:numFmt w:val="bullet"/>
      <w:start w:val="1"/>
    </w:lvl>
  </w:abstractNum>
  <w:abstractNum w:abstractNumId="20">
    <w:nsid w:val="16CF80F1"/>
    <w:multiLevelType w:val="hybridMultilevel"/>
    <w:lvl w:ilvl="0">
      <w:lvlJc w:val="left"/>
      <w:lvlText w:val="·"/>
      <w:numFmt w:val="bullet"/>
      <w:start w:val="1"/>
    </w:lvl>
  </w:abstractNum>
  <w:abstractNum w:abstractNumId="21">
    <w:nsid w:val="1C695DEC"/>
    <w:multiLevelType w:val="hybridMultilevel"/>
    <w:lvl w:ilvl="0">
      <w:lvlJc w:val="left"/>
      <w:lvlText w:val="·"/>
      <w:numFmt w:val="bullet"/>
      <w:start w:val="1"/>
    </w:lvl>
  </w:abstractNum>
  <w:abstractNum w:abstractNumId="22">
    <w:nsid w:val="3FCFAED9"/>
    <w:multiLevelType w:val="hybridMultilevel"/>
    <w:lvl w:ilvl="0">
      <w:lvlJc w:val="left"/>
      <w:lvlText w:val="·"/>
      <w:numFmt w:val="bullet"/>
      <w:start w:val="1"/>
    </w:lvl>
  </w:abstractNum>
  <w:abstractNum w:abstractNumId="23">
    <w:nsid w:val="F856867"/>
    <w:multiLevelType w:val="hybridMultilevel"/>
    <w:lvl w:ilvl="0">
      <w:lvlJc w:val="left"/>
      <w:lvlText w:val="·"/>
      <w:numFmt w:val="bullet"/>
      <w:start w:val="1"/>
    </w:lvl>
  </w:abstractNum>
  <w:abstractNum w:abstractNumId="24">
    <w:nsid w:val="11B1CC33"/>
    <w:multiLevelType w:val="hybridMultilevel"/>
    <w:lvl w:ilvl="0">
      <w:lvlJc w:val="left"/>
      <w:lvlText w:val="·"/>
      <w:numFmt w:val="bullet"/>
      <w:start w:val="1"/>
    </w:lvl>
  </w:abstractNum>
  <w:abstractNum w:abstractNumId="25">
    <w:nsid w:val="2E22FBB7"/>
    <w:multiLevelType w:val="hybridMultilevel"/>
    <w:lvl w:ilvl="0">
      <w:lvlJc w:val="left"/>
      <w:lvlText w:val="·"/>
      <w:numFmt w:val="bullet"/>
      <w:start w:val="1"/>
    </w:lvl>
  </w:abstractNum>
  <w:abstractNum w:abstractNumId="26">
    <w:nsid w:val="29934699"/>
    <w:multiLevelType w:val="hybridMultilevel"/>
    <w:lvl w:ilvl="0">
      <w:lvlJc w:val="left"/>
      <w:lvlText w:val="%"/>
      <w:numFmt w:val="bullet"/>
      <w:start w:val="1"/>
    </w:lvl>
  </w:abstractNum>
  <w:abstractNum w:abstractNumId="27">
    <w:nsid w:val="77485850"/>
    <w:multiLevelType w:val="hybridMultilevel"/>
    <w:lvl w:ilvl="0">
      <w:lvlJc w:val="left"/>
      <w:lvlText w:val="·"/>
      <w:numFmt w:val="bullet"/>
      <w:start w:val="1"/>
    </w:lvl>
  </w:abstractNum>
  <w:abstractNum w:abstractNumId="28">
    <w:nsid w:val="744939A3"/>
    <w:multiLevelType w:val="hybridMultilevel"/>
    <w:lvl w:ilvl="0">
      <w:lvlJc w:val="left"/>
      <w:lvlText w:val="·"/>
      <w:numFmt w:val="bullet"/>
      <w:start w:val="1"/>
    </w:lvl>
  </w:abstractNum>
  <w:abstractNum w:abstractNumId="29">
    <w:nsid w:val="4FA0D2E3"/>
    <w:multiLevelType w:val="hybridMultilevel"/>
    <w:lvl w:ilvl="0">
      <w:lvlJc w:val="left"/>
      <w:lvlText w:val="·"/>
      <w:numFmt w:val="bullet"/>
      <w:start w:val="1"/>
    </w:lvl>
  </w:abstractNum>
  <w:abstractNum w:abstractNumId="30">
    <w:nsid w:val="6B1D2C14"/>
    <w:multiLevelType w:val="hybridMultilevel"/>
    <w:lvl w:ilvl="0">
      <w:lvlJc w:val="left"/>
      <w:lvlText w:val="·"/>
      <w:numFmt w:val="bullet"/>
      <w:start w:val="1"/>
    </w:lvl>
  </w:abstractNum>
  <w:abstractNum w:abstractNumId="31">
    <w:nsid w:val="68B867D3"/>
    <w:multiLevelType w:val="hybridMultilevel"/>
    <w:lvl w:ilvl="0">
      <w:lvlJc w:val="left"/>
      <w:lvlText w:val="·"/>
      <w:numFmt w:val="bullet"/>
      <w:start w:val="1"/>
    </w:lvl>
  </w:abstractNum>
  <w:abstractNum w:abstractNumId="32">
    <w:nsid w:val="3F7F5DD9"/>
    <w:multiLevelType w:val="hybridMultilevel"/>
    <w:lvl w:ilvl="0">
      <w:lvlJc w:val="left"/>
      <w:lvlText w:val="·"/>
      <w:numFmt w:val="bullet"/>
      <w:start w:val="1"/>
    </w:lvl>
  </w:abstractNum>
  <w:abstractNum w:abstractNumId="33">
    <w:nsid w:val="2AE05A34"/>
    <w:multiLevelType w:val="hybridMultilevel"/>
    <w:lvl w:ilvl="0">
      <w:lvlJc w:val="left"/>
      <w:lvlText w:val="·"/>
      <w:numFmt w:val="bullet"/>
      <w:start w:val="1"/>
    </w:lvl>
  </w:abstractNum>
  <w:abstractNum w:abstractNumId="34">
    <w:nsid w:val="32794FF7"/>
    <w:multiLevelType w:val="hybridMultilevel"/>
    <w:lvl w:ilvl="0">
      <w:lvlJc w:val="left"/>
      <w:lvlText w:val="·"/>
      <w:numFmt w:val="bullet"/>
      <w:start w:val="1"/>
    </w:lvl>
  </w:abstractNum>
  <w:abstractNum w:abstractNumId="35">
    <w:nsid w:val="5454945E"/>
    <w:multiLevelType w:val="hybridMultilevel"/>
    <w:lvl w:ilvl="0">
      <w:lvlJc w:val="left"/>
      <w:lvlText w:val="·"/>
      <w:numFmt w:val="bullet"/>
      <w:start w:val="1"/>
    </w:lvl>
    <w:lvl w:ilvl="1">
      <w:lvlJc w:val="left"/>
      <w:lvlText w:val="·"/>
      <w:numFmt w:val="bullet"/>
      <w:start w:val="1"/>
    </w:lvl>
  </w:abstractNum>
  <w:abstractNum w:abstractNumId="36">
    <w:nsid w:val="4DEFDFA0"/>
    <w:multiLevelType w:val="hybridMultilevel"/>
    <w:lvl w:ilvl="0">
      <w:lvlJc w:val="left"/>
      <w:lvlText w:val="·"/>
      <w:numFmt w:val="bullet"/>
      <w:start w:val="1"/>
    </w:lvl>
  </w:abstractNum>
  <w:abstractNum w:abstractNumId="37">
    <w:nsid w:val="2123D5F2"/>
    <w:multiLevelType w:val="hybridMultilevel"/>
    <w:lvl w:ilvl="0">
      <w:lvlJc w:val="left"/>
      <w:lvlText w:val="o"/>
      <w:numFmt w:val="bullet"/>
      <w:start w:val="1"/>
    </w:lvl>
  </w:abstractNum>
  <w:abstractNum w:abstractNumId="38">
    <w:nsid w:val="135B8110"/>
    <w:multiLevelType w:val="hybridMultilevel"/>
    <w:lvl w:ilvl="0">
      <w:lvlJc w:val="left"/>
      <w:lvlText w:val="·"/>
      <w:numFmt w:val="bullet"/>
      <w:start w:val="1"/>
    </w:lvl>
  </w:abstractNum>
  <w:abstractNum w:abstractNumId="39">
    <w:nsid w:val="94927A8"/>
    <w:multiLevelType w:val="hybridMultilevel"/>
    <w:lvl w:ilvl="0">
      <w:lvlJc w:val="left"/>
      <w:lvlText w:val="·"/>
      <w:numFmt w:val="bullet"/>
      <w:start w:val="1"/>
    </w:lvl>
  </w:abstractNum>
  <w:abstractNum w:abstractNumId="40">
    <w:nsid w:val="DCDF8F6"/>
    <w:multiLevelType w:val="hybridMultilevel"/>
    <w:lvl w:ilvl="0">
      <w:lvlJc w:val="left"/>
      <w:lvlText w:val="·"/>
      <w:numFmt w:val="bullet"/>
      <w:start w:val="1"/>
    </w:lvl>
  </w:abstractNum>
  <w:abstractNum w:abstractNumId="41">
    <w:nsid w:val="52D7B105"/>
    <w:multiLevelType w:val="hybridMultilevel"/>
    <w:lvl w:ilvl="0">
      <w:lvlJc w:val="left"/>
      <w:lvlText w:val="·"/>
      <w:numFmt w:val="bullet"/>
      <w:start w:val="1"/>
    </w:lvl>
  </w:abstractNum>
  <w:abstractNum w:abstractNumId="42">
    <w:nsid w:val="2E8A6394"/>
    <w:multiLevelType w:val="hybridMultilevel"/>
    <w:lvl w:ilvl="0">
      <w:lvlJc w:val="left"/>
      <w:lvlText w:val="·"/>
      <w:numFmt w:val="bullet"/>
      <w:start w:val="1"/>
    </w:lvl>
  </w:abstractNum>
  <w:abstractNum w:abstractNumId="43">
    <w:nsid w:val="24E60401"/>
    <w:multiLevelType w:val="hybridMultilevel"/>
    <w:lvl w:ilvl="0">
      <w:lvlJc w:val="left"/>
      <w:lvlText w:val="·"/>
      <w:numFmt w:val="bullet"/>
      <w:start w:val="1"/>
    </w:lvl>
    <w:lvl w:ilvl="1">
      <w:lvlJc w:val="left"/>
      <w:lvlText w:val="·"/>
      <w:numFmt w:val="bullet"/>
      <w:start w:val="1"/>
    </w:lvl>
  </w:abstractNum>
  <w:abstractNum w:abstractNumId="44">
    <w:nsid w:val="2A6AD9BE"/>
    <w:multiLevelType w:val="hybridMultilevel"/>
    <w:lvl w:ilvl="0">
      <w:lvlJc w:val="left"/>
      <w:lvlText w:val="·"/>
      <w:numFmt w:val="bullet"/>
      <w:start w:val="1"/>
    </w:lvl>
  </w:abstractNum>
  <w:abstractNum w:abstractNumId="45">
    <w:nsid w:val="BAAC1B4"/>
    <w:multiLevelType w:val="hybridMultilevel"/>
    <w:lvl w:ilvl="0">
      <w:lvlJc w:val="left"/>
      <w:lvlText w:val="·"/>
      <w:numFmt w:val="bullet"/>
      <w:start w:val="1"/>
    </w:lvl>
  </w:abstractNum>
  <w:abstractNum w:abstractNumId="46">
    <w:nsid w:val="36B2ACBC"/>
    <w:multiLevelType w:val="hybridMultilevel"/>
    <w:lvl w:ilvl="0">
      <w:lvlJc w:val="left"/>
      <w:lvlText w:val="·"/>
      <w:numFmt w:val="bullet"/>
      <w:start w:val="1"/>
    </w:lvl>
  </w:abstractNum>
  <w:abstractNum w:abstractNumId="47">
    <w:nsid w:val="779D8544"/>
    <w:multiLevelType w:val="hybridMultilevel"/>
    <w:lvl w:ilvl="0">
      <w:lvlJc w:val="left"/>
      <w:lvlText w:val="·"/>
      <w:numFmt w:val="bullet"/>
      <w:start w:val="1"/>
    </w:lvl>
  </w:abstractNum>
  <w:abstractNum w:abstractNumId="48">
    <w:nsid w:val="4AB26E78"/>
    <w:multiLevelType w:val="hybridMultilevel"/>
    <w:lvl w:ilvl="0">
      <w:lvlJc w:val="left"/>
      <w:lvlText w:val="(%1)"/>
      <w:numFmt w:val="lowerRoman"/>
      <w:start w:val="3"/>
    </w:lvl>
  </w:abstractNum>
  <w:abstractNum w:abstractNumId="49">
    <w:nsid w:val="21FAA2FA"/>
    <w:multiLevelType w:val="hybridMultilevel"/>
    <w:lvl w:ilvl="0">
      <w:lvlJc w:val="left"/>
      <w:lvlText w:val="·"/>
      <w:numFmt w:val="bullet"/>
      <w:start w:val="1"/>
    </w:lvl>
  </w:abstractNum>
  <w:abstractNum w:abstractNumId="50">
    <w:nsid w:val="5451CF49"/>
    <w:multiLevelType w:val="hybridMultilevel"/>
    <w:lvl w:ilvl="0">
      <w:lvlJc w:val="left"/>
      <w:lvlText w:val="·"/>
      <w:numFmt w:val="bullet"/>
      <w:start w:val="1"/>
    </w:lvl>
  </w:abstractNum>
  <w:abstractNum w:abstractNumId="51">
    <w:nsid w:val="6181EF69"/>
    <w:multiLevelType w:val="hybridMultilevel"/>
    <w:lvl w:ilvl="0">
      <w:lvlJc w:val="left"/>
      <w:lvlText w:val="·"/>
      <w:numFmt w:val="bullet"/>
      <w:start w:val="1"/>
    </w:lvl>
  </w:abstractNum>
  <w:abstractNum w:abstractNumId="52">
    <w:nsid w:val="3E6400E6"/>
    <w:multiLevelType w:val="hybridMultilevel"/>
    <w:lvl w:ilvl="0">
      <w:lvlJc w:val="left"/>
      <w:lvlText w:val="·"/>
      <w:numFmt w:val="bullet"/>
      <w:start w:val="1"/>
    </w:lvl>
  </w:abstractNum>
  <w:abstractNum w:abstractNumId="53">
    <w:nsid w:val="14217E23"/>
    <w:multiLevelType w:val="hybridMultilevel"/>
    <w:lvl w:ilvl="0">
      <w:lvlJc w:val="left"/>
      <w:lvlText w:val="·"/>
      <w:numFmt w:val="bullet"/>
      <w:start w:val="1"/>
    </w:lvl>
  </w:abstractNum>
  <w:abstractNum w:abstractNumId="54">
    <w:nsid w:val="710757D0"/>
    <w:multiLevelType w:val="hybridMultilevel"/>
    <w:lvl w:ilvl="0">
      <w:lvlJc w:val="left"/>
      <w:lvlText w:val="·"/>
      <w:numFmt w:val="bullet"/>
      <w:start w:val="1"/>
    </w:lvl>
  </w:abstractNum>
  <w:abstractNum w:abstractNumId="55">
    <w:nsid w:val="5015CD1A"/>
    <w:multiLevelType w:val="hybridMultilevel"/>
    <w:lvl w:ilvl="0">
      <w:lvlJc w:val="left"/>
      <w:lvlText w:val="·"/>
      <w:numFmt w:val="bullet"/>
      <w:start w:val="1"/>
    </w:lvl>
  </w:abstractNum>
  <w:abstractNum w:abstractNumId="56">
    <w:nsid w:val="424479DA"/>
    <w:multiLevelType w:val="hybridMultilevel"/>
    <w:lvl w:ilvl="0">
      <w:lvlJc w:val="left"/>
      <w:lvlText w:val="·"/>
      <w:numFmt w:val="bullet"/>
      <w:start w:val="1"/>
    </w:lvl>
  </w:abstractNum>
  <w:abstractNum w:abstractNumId="57">
    <w:nsid w:val="1A9A9E69"/>
    <w:multiLevelType w:val="hybridMultilevel"/>
    <w:lvl w:ilvl="0">
      <w:lvlJc w:val="left"/>
      <w:lvlText w:val="·"/>
      <w:numFmt w:val="bullet"/>
      <w:start w:val="1"/>
    </w:lvl>
  </w:abstractNum>
  <w:abstractNum w:abstractNumId="58">
    <w:nsid w:val="475E256A"/>
    <w:multiLevelType w:val="hybridMultilevel"/>
    <w:lvl w:ilvl="0">
      <w:lvlJc w:val="left"/>
      <w:lvlText w:val="·"/>
      <w:numFmt w:val="bullet"/>
      <w:start w:val="1"/>
    </w:lvl>
  </w:abstractNum>
  <w:abstractNum w:abstractNumId="59">
    <w:nsid w:val="368DB37E"/>
    <w:multiLevelType w:val="hybridMultilevel"/>
    <w:lvl w:ilvl="0">
      <w:lvlJc w:val="left"/>
      <w:lvlText w:val="·"/>
      <w:numFmt w:val="bullet"/>
      <w:start w:val="1"/>
    </w:lvl>
  </w:abstractNum>
  <w:abstractNum w:abstractNumId="60">
    <w:nsid w:val="6A3B714C"/>
    <w:multiLevelType w:val="hybridMultilevel"/>
    <w:lvl w:ilvl="0">
      <w:lvlJc w:val="left"/>
      <w:lvlText w:val="·"/>
      <w:numFmt w:val="bullet"/>
      <w:start w:val="1"/>
    </w:lvl>
  </w:abstractNum>
  <w:abstractNum w:abstractNumId="61">
    <w:nsid w:val="327B517E"/>
    <w:multiLevelType w:val="hybridMultilevel"/>
    <w:lvl w:ilvl="0">
      <w:lvlJc w:val="left"/>
      <w:lvlText w:val="·"/>
      <w:numFmt w:val="bullet"/>
      <w:start w:val="1"/>
    </w:lvl>
  </w:abstractNum>
  <w:abstractNum w:abstractNumId="62">
    <w:nsid w:val="1F461B51"/>
    <w:multiLevelType w:val="hybridMultilevel"/>
    <w:lvl w:ilvl="0">
      <w:lvlJc w:val="left"/>
      <w:lvlText w:val="·"/>
      <w:numFmt w:val="bullet"/>
      <w:start w:val="1"/>
    </w:lvl>
  </w:abstractNum>
  <w:abstractNum w:abstractNumId="63">
    <w:nsid w:val="29BACF25"/>
    <w:multiLevelType w:val="hybridMultilevel"/>
    <w:lvl w:ilvl="0">
      <w:lvlJc w:val="left"/>
      <w:lvlText w:val="·"/>
      <w:numFmt w:val="bullet"/>
      <w:start w:val="1"/>
    </w:lvl>
  </w:abstractNum>
  <w:abstractNum w:abstractNumId="64">
    <w:nsid w:val="5D5BABB3"/>
    <w:multiLevelType w:val="hybridMultilevel"/>
    <w:lvl w:ilvl="0">
      <w:lvlJc w:val="left"/>
      <w:lvlText w:val="·"/>
      <w:numFmt w:val="bullet"/>
      <w:start w:val="1"/>
    </w:lvl>
  </w:abstractNum>
  <w:abstractNum w:abstractNumId="65">
    <w:nsid w:val="51BF6B48"/>
    <w:multiLevelType w:val="hybridMultilevel"/>
    <w:lvl w:ilvl="0">
      <w:lvlJc w:val="left"/>
      <w:lvlText w:val="(%1)"/>
      <w:numFmt w:val="decimal"/>
      <w:start w:val="1"/>
    </w:lvl>
  </w:abstractNum>
  <w:abstractNum w:abstractNumId="66">
    <w:nsid w:val="7E0F6384"/>
    <w:multiLevelType w:val="hybridMultilevel"/>
    <w:lvl w:ilvl="0">
      <w:lvlJc w:val="left"/>
      <w:lvlText w:val="·"/>
      <w:numFmt w:val="bullet"/>
      <w:start w:val="1"/>
    </w:lvl>
  </w:abstractNum>
  <w:abstractNum w:abstractNumId="67">
    <w:nsid w:val="2B4B8B53"/>
    <w:multiLevelType w:val="hybridMultilevel"/>
    <w:lvl w:ilvl="0">
      <w:lvlJc w:val="left"/>
      <w:lvlText w:val="·"/>
      <w:numFmt w:val="bullet"/>
      <w:start w:val="1"/>
    </w:lvl>
  </w:abstractNum>
  <w:abstractNum w:abstractNumId="68">
    <w:nsid w:val="72E3413A"/>
    <w:multiLevelType w:val="hybridMultilevel"/>
    <w:lvl w:ilvl="0">
      <w:lvlJc w:val="left"/>
      <w:lvlText w:val="·"/>
      <w:numFmt w:val="bullet"/>
      <w:start w:val="1"/>
    </w:lvl>
  </w:abstractNum>
  <w:abstractNum w:abstractNumId="69">
    <w:nsid w:val="116AE494"/>
    <w:multiLevelType w:val="hybridMultilevel"/>
    <w:lvl w:ilvl="0">
      <w:lvlJc w:val="left"/>
      <w:lvlText w:val="•"/>
      <w:numFmt w:val="bullet"/>
      <w:start w:val="1"/>
    </w:lvl>
  </w:abstractNum>
  <w:abstractNum w:abstractNumId="70">
    <w:nsid w:val="3494B2FB"/>
    <w:multiLevelType w:val="hybridMultilevel"/>
    <w:lvl w:ilvl="0">
      <w:lvlJc w:val="left"/>
      <w:lvlText w:val="·"/>
      <w:numFmt w:val="bullet"/>
      <w:start w:val="1"/>
    </w:lvl>
  </w:abstractNum>
  <w:abstractNum w:abstractNumId="71">
    <w:nsid w:val="B13A31"/>
    <w:multiLevelType w:val="hybridMultilevel"/>
    <w:lvl w:ilvl="0">
      <w:lvlJc w:val="left"/>
      <w:lvlText w:val="(%1)"/>
      <w:numFmt w:val="lowerLetter"/>
      <w:start w:val="1"/>
    </w:lvl>
  </w:abstractNum>
  <w:abstractNum w:abstractNumId="72">
    <w:nsid w:val="64429599"/>
    <w:multiLevelType w:val="hybridMultilevel"/>
    <w:lvl w:ilvl="0">
      <w:lvlJc w:val="left"/>
      <w:lvlText w:val="(%1)"/>
      <w:numFmt w:val="decimal"/>
      <w:start w:val="1"/>
    </w:lvl>
  </w:abstractNum>
  <w:abstractNum w:abstractNumId="73">
    <w:nsid w:val="631F1690"/>
    <w:multiLevelType w:val="hybridMultilevel"/>
    <w:lvl w:ilvl="0">
      <w:lvlJc w:val="left"/>
      <w:lvlText w:val="•"/>
      <w:numFmt w:val="bullet"/>
      <w:start w:val="1"/>
    </w:lvl>
  </w:abstractNum>
  <w:abstractNum w:abstractNumId="74">
    <w:nsid w:val="25973E32"/>
    <w:multiLevelType w:val="hybridMultilevel"/>
    <w:lvl w:ilvl="0">
      <w:lvlJc w:val="left"/>
      <w:lvlText w:val="•"/>
      <w:numFmt w:val="bullet"/>
      <w:start w:val="1"/>
    </w:lvl>
  </w:abstractNum>
  <w:abstractNum w:abstractNumId="75">
    <w:nsid w:val="EAD6F57"/>
    <w:multiLevelType w:val="hybridMultilevel"/>
    <w:lvl w:ilvl="0">
      <w:lvlJc w:val="left"/>
      <w:lvlText w:val="·"/>
      <w:numFmt w:val="bullet"/>
      <w:start w:val="1"/>
    </w:lvl>
  </w:abstractNum>
  <w:abstractNum w:abstractNumId="76">
    <w:nsid w:val="6EC9D844"/>
    <w:multiLevelType w:val="hybridMultilevel"/>
    <w:lvl w:ilvl="0">
      <w:lvlJc w:val="left"/>
      <w:lvlText w:val="·"/>
      <w:numFmt w:val="bullet"/>
      <w:start w:val="1"/>
    </w:lvl>
  </w:abstractNum>
  <w:abstractNum w:abstractNumId="77">
    <w:nsid w:val="5C49EAEE"/>
    <w:multiLevelType w:val="hybridMultilevel"/>
    <w:lvl w:ilvl="0">
      <w:lvlJc w:val="left"/>
      <w:lvlText w:val="·"/>
      <w:numFmt w:val="bullet"/>
      <w:start w:val="1"/>
    </w:lvl>
  </w:abstractNum>
  <w:abstractNum w:abstractNumId="78">
    <w:nsid w:val="64AF49B"/>
    <w:multiLevelType w:val="hybridMultilevel"/>
    <w:lvl w:ilvl="0">
      <w:lvlJc w:val="left"/>
      <w:lvlText w:val="·"/>
      <w:numFmt w:val="bullet"/>
      <w:start w:val="1"/>
    </w:lvl>
  </w:abstractNum>
  <w:abstractNum w:abstractNumId="79">
    <w:nsid w:val="397C46BC"/>
    <w:multiLevelType w:val="hybridMultilevel"/>
    <w:lvl w:ilvl="0">
      <w:lvlJc w:val="left"/>
      <w:lvlText w:val="·"/>
      <w:numFmt w:val="bullet"/>
      <w:start w:val="1"/>
    </w:lvl>
  </w:abstractNum>
  <w:abstractNum w:abstractNumId="80">
    <w:nsid w:val="7E448DE9"/>
    <w:multiLevelType w:val="hybridMultilevel"/>
    <w:lvl w:ilvl="0">
      <w:lvlJc w:val="left"/>
      <w:lvlText w:val="·"/>
      <w:numFmt w:val="bullet"/>
      <w:start w:val="1"/>
    </w:lvl>
  </w:abstractNum>
  <w:abstractNum w:abstractNumId="81">
    <w:nsid w:val="5A9CC3E5"/>
    <w:multiLevelType w:val="hybridMultilevel"/>
    <w:lvl w:ilvl="0">
      <w:lvlJc w:val="left"/>
      <w:lvlText w:val="·"/>
      <w:numFmt w:val="bullet"/>
      <w:start w:val="1"/>
    </w:lvl>
  </w:abstractNum>
  <w:abstractNum w:abstractNumId="82">
    <w:nsid w:val="1AFE3625"/>
    <w:multiLevelType w:val="hybridMultilevel"/>
    <w:lvl w:ilvl="0">
      <w:lvlJc w:val="left"/>
      <w:lvlText w:val="·"/>
      <w:numFmt w:val="bullet"/>
      <w:start w:val="1"/>
    </w:lvl>
  </w:abstractNum>
  <w:abstractNum w:abstractNumId="83">
    <w:nsid w:val="3CA88ECF"/>
    <w:multiLevelType w:val="hybridMultilevel"/>
    <w:lvl w:ilvl="0">
      <w:lvlJc w:val="left"/>
      <w:lvlText w:val="·"/>
      <w:numFmt w:val="bullet"/>
      <w:start w:val="1"/>
    </w:lvl>
  </w:abstractNum>
  <w:abstractNum w:abstractNumId="84">
    <w:nsid w:val="6EBE4208"/>
    <w:multiLevelType w:val="hybridMultilevel"/>
    <w:lvl w:ilvl="0">
      <w:lvlJc w:val="left"/>
      <w:lvlText w:val="$"/>
      <w:numFmt w:val="bullet"/>
      <w:start w:val="1"/>
    </w:lvl>
  </w:abstractNum>
  <w:abstractNum w:abstractNumId="85">
    <w:nsid w:val="C058DF5"/>
    <w:multiLevelType w:val="hybridMultilevel"/>
    <w:lvl w:ilvl="0">
      <w:lvlJc w:val="left"/>
      <w:lvlText w:val="%1."/>
      <w:numFmt w:val="lowerLetter"/>
      <w:start w:val="1"/>
    </w:lvl>
  </w:abstractNum>
  <w:abstractNum w:abstractNumId="86">
    <w:nsid w:val="CBE5BE9"/>
    <w:multiLevelType w:val="hybridMultilevel"/>
    <w:lvl w:ilvl="0">
      <w:lvlJc w:val="left"/>
      <w:lvlText w:val="%1."/>
      <w:numFmt w:val="lowerLetter"/>
      <w:start w:val="1"/>
    </w:lvl>
  </w:abstractNum>
  <w:abstractNum w:abstractNumId="87">
    <w:nsid w:val="3102BBE2"/>
    <w:multiLevelType w:val="hybridMultilevel"/>
    <w:lvl w:ilvl="0">
      <w:lvlJc w:val="left"/>
      <w:lvlText w:val="%1."/>
      <w:numFmt w:val="lowerLetter"/>
      <w:start w:val="2"/>
    </w:lvl>
  </w:abstractNum>
  <w:abstractNum w:abstractNumId="88">
    <w:nsid w:val="26A02C5E"/>
    <w:multiLevelType w:val="hybridMultilevel"/>
    <w:lvl w:ilvl="0">
      <w:lvlJc w:val="left"/>
      <w:lvlText w:val="%1."/>
      <w:numFmt w:val="lowerLetter"/>
      <w:start w:val="7"/>
    </w:lvl>
  </w:abstractNum>
  <w:abstractNum w:abstractNumId="89">
    <w:nsid w:val="541C8153"/>
    <w:multiLevelType w:val="hybridMultilevel"/>
    <w:lvl w:ilvl="0">
      <w:lvlJc w:val="left"/>
      <w:lvlText w:val="%1."/>
      <w:numFmt w:val="lowerLetter"/>
      <w:start w:val="10"/>
    </w:lvl>
  </w:abstractNum>
  <w:abstractNum w:abstractNumId="90">
    <w:nsid w:val="67906F60"/>
    <w:multiLevelType w:val="hybridMultilevel"/>
    <w:lvl w:ilvl="0">
      <w:lvlJc w:val="left"/>
      <w:lvlText w:val="%1."/>
      <w:numFmt w:val="lowerLetter"/>
      <w:start w:val="13"/>
    </w:lvl>
  </w:abstractNum>
  <w:abstractNum w:abstractNumId="91">
    <w:nsid w:val="10DB9DAA"/>
    <w:multiLevelType w:val="hybridMultilevel"/>
    <w:lvl w:ilvl="0">
      <w:lvlJc w:val="left"/>
      <w:lvlText w:val="%1."/>
      <w:numFmt w:val="lowerLetter"/>
      <w:start w:val="14"/>
    </w:lvl>
  </w:abstractNum>
  <w:abstractNum w:abstractNumId="92">
    <w:nsid w:val="697D2D2"/>
    <w:multiLevelType w:val="hybridMultilevel"/>
    <w:lvl w:ilvl="0">
      <w:lvlJc w:val="left"/>
      <w:lvlText w:val="%1."/>
      <w:numFmt w:val="lowerLetter"/>
      <w:start w:val="1"/>
    </w:lvl>
  </w:abstractNum>
  <w:abstractNum w:abstractNumId="93">
    <w:nsid w:val="6D68AB2"/>
    <w:multiLevelType w:val="hybridMultilevel"/>
    <w:lvl w:ilvl="0">
      <w:lvlJc w:val="left"/>
      <w:lvlText w:val="%1."/>
      <w:numFmt w:val="lowerLetter"/>
      <w:start w:val="1"/>
    </w:lvl>
  </w:abstractNum>
  <w:abstractNum w:abstractNumId="94">
    <w:nsid w:val="3A966CD0"/>
    <w:multiLevelType w:val="hybridMultilevel"/>
    <w:lvl w:ilvl="0">
      <w:lvlJc w:val="left"/>
      <w:lvlText w:val="%1."/>
      <w:numFmt w:val="lowerLetter"/>
      <w:start w:val="4"/>
    </w:lvl>
  </w:abstractNum>
  <w:abstractNum w:abstractNumId="95">
    <w:nsid w:val="63F37E85"/>
    <w:multiLevelType w:val="hybridMultilevel"/>
    <w:lvl w:ilvl="0">
      <w:lvlJc w:val="left"/>
      <w:lvlText w:val="%1."/>
      <w:numFmt w:val="lowerLetter"/>
      <w:start w:val="1"/>
    </w:lvl>
  </w:abstractNum>
  <w:abstractNum w:abstractNumId="96">
    <w:nsid w:val="5895F5FA"/>
    <w:multiLevelType w:val="hybridMultilevel"/>
    <w:lvl w:ilvl="0">
      <w:lvlJc w:val="left"/>
      <w:lvlText w:val="%1."/>
      <w:numFmt w:val="lowerLetter"/>
      <w:start w:val="3"/>
    </w:lvl>
  </w:abstractNum>
  <w:abstractNum w:abstractNumId="97">
    <w:nsid w:val="38A5D054"/>
    <w:multiLevelType w:val="hybridMultilevel"/>
    <w:lvl w:ilvl="0">
      <w:lvlJc w:val="left"/>
      <w:lvlText w:val="%1."/>
      <w:numFmt w:val="lowerLetter"/>
      <w:start w:val="1"/>
    </w:lvl>
    <w:lvl w:ilvl="1">
      <w:lvlJc w:val="left"/>
      <w:lvlText w:val="%2."/>
      <w:numFmt w:val="decimal"/>
      <w:start w:val="1"/>
    </w:lvl>
  </w:abstractNum>
  <w:abstractNum w:abstractNumId="98">
    <w:nsid w:val="F3F09D8"/>
    <w:multiLevelType w:val="hybridMultilevel"/>
    <w:lvl w:ilvl="0">
      <w:lvlJc w:val="left"/>
      <w:lvlText w:val="%1."/>
      <w:numFmt w:val="decimal"/>
      <w:start w:val="3"/>
    </w:lvl>
  </w:abstractNum>
  <w:abstractNum w:abstractNumId="99">
    <w:nsid w:val="4B793735"/>
    <w:multiLevelType w:val="hybridMultilevel"/>
    <w:lvl w:ilvl="0">
      <w:lvlJc w:val="left"/>
      <w:lvlText w:val="%1"/>
      <w:numFmt w:val="lowerLetter"/>
      <w:start w:val="1"/>
    </w:lvl>
    <w:lvl w:ilvl="1">
      <w:lvlJc w:val="left"/>
      <w:lvlText w:val="$"/>
      <w:numFmt w:val="bullet"/>
      <w:start w:val="1"/>
    </w:lvl>
  </w:abstractNum>
  <w:abstractNum w:abstractNumId="100">
    <w:nsid w:val="4A10B4E8"/>
    <w:multiLevelType w:val="hybridMultilevel"/>
    <w:lvl w:ilvl="0">
      <w:lvlJc w:val="left"/>
      <w:lvlText w:val="%1."/>
      <w:numFmt w:val="lowerLetter"/>
      <w:start w:val="4"/>
    </w:lvl>
  </w:abstractNum>
  <w:abstractNum w:abstractNumId="101">
    <w:nsid w:val="43D3BCD4"/>
    <w:multiLevelType w:val="hybridMultilevel"/>
    <w:lvl w:ilvl="0">
      <w:lvlJc w:val="left"/>
      <w:lvlText w:val="%1."/>
      <w:numFmt w:val="lowerLetter"/>
      <w:start w:val="5"/>
    </w:lvl>
  </w:abstractNum>
  <w:abstractNum w:abstractNumId="102">
    <w:nsid w:val="4C2A7166"/>
    <w:multiLevelType w:val="hybridMultilevel"/>
    <w:lvl w:ilvl="0">
      <w:lvlJc w:val="left"/>
      <w:lvlText w:val="%1."/>
      <w:numFmt w:val="lowerLetter"/>
    </w:lvl>
    <w:lvl w:ilvl="1">
      <w:lvlJc w:val="left"/>
      <w:lvlText w:val="$"/>
      <w:numFmt w:val="bullet"/>
      <w:start w:val="1"/>
    </w:lvl>
  </w:abstractNum>
  <w:abstractNum w:abstractNumId="103">
    <w:nsid w:val="2E534A82"/>
    <w:multiLevelType w:val="hybridMultilevel"/>
    <w:lvl w:ilvl="0">
      <w:lvlJc w:val="left"/>
      <w:lvlText w:val="·"/>
      <w:numFmt w:val="bullet"/>
      <w:start w:val="1"/>
    </w:lvl>
  </w:abstractNum>
  <w:abstractNum w:abstractNumId="104">
    <w:nsid w:val="26F2D364"/>
    <w:multiLevelType w:val="hybridMultilevel"/>
    <w:lvl w:ilvl="0">
      <w:lvlJc w:val="left"/>
      <w:lvlText w:val="·"/>
      <w:numFmt w:val="bullet"/>
      <w:start w:val="1"/>
    </w:lvl>
  </w:abstractNum>
  <w:abstractNum w:abstractNumId="105">
    <w:nsid w:val="71C1AF98"/>
    <w:multiLevelType w:val="hybridMultilevel"/>
    <w:lvl w:ilvl="0">
      <w:lvlJc w:val="left"/>
      <w:lvlText w:val="·"/>
      <w:numFmt w:val="bullet"/>
      <w:start w:val="1"/>
    </w:lvl>
  </w:abstractNum>
  <w:abstractNum w:abstractNumId="106">
    <w:nsid w:val="3D00B9D9"/>
    <w:multiLevelType w:val="hybridMultilevel"/>
    <w:lvl w:ilvl="0">
      <w:lvlJc w:val="left"/>
      <w:lvlText w:val="·"/>
      <w:numFmt w:val="bullet"/>
      <w:start w:val="1"/>
    </w:lvl>
  </w:abstractNum>
  <w:abstractNum w:abstractNumId="107">
    <w:nsid w:val="15BCABA8"/>
    <w:multiLevelType w:val="hybridMultilevel"/>
    <w:lvl w:ilvl="0">
      <w:lvlJc w:val="left"/>
      <w:lvlText w:val="*"/>
      <w:numFmt w:val="bullet"/>
      <w:start w:val="1"/>
    </w:lvl>
  </w:abstractNum>
  <w:abstractNum w:abstractNumId="108">
    <w:nsid w:val="4E0B9A87"/>
    <w:multiLevelType w:val="hybridMultilevel"/>
    <w:lvl w:ilvl="0">
      <w:lvlJc w:val="left"/>
      <w:lvlText w:val="(%1)"/>
      <w:numFmt w:val="lowerLetter"/>
      <w:start w:val="1"/>
    </w:lvl>
  </w:abstractNum>
  <w:abstractNum w:abstractNumId="109">
    <w:nsid w:val="434BAE75"/>
    <w:multiLevelType w:val="hybridMultilevel"/>
    <w:lvl w:ilvl="0">
      <w:lvlJc w:val="left"/>
      <w:lvlText w:val="(%1)"/>
      <w:numFmt w:val="decimal"/>
      <w:start w:val="1"/>
    </w:lvl>
  </w:abstractNum>
  <w:abstractNum w:abstractNumId="110">
    <w:nsid w:val="4F38F265"/>
    <w:multiLevelType w:val="hybridMultilevel"/>
    <w:lvl w:ilvl="0">
      <w:lvlJc w:val="left"/>
      <w:lvlText w:val="%1."/>
      <w:numFmt w:val="decimal"/>
      <w:start w:val="1"/>
    </w:lvl>
  </w:abstractNum>
  <w:abstractNum w:abstractNumId="111">
    <w:nsid w:val="4C502870"/>
    <w:multiLevelType w:val="hybridMultilevel"/>
    <w:lvl w:ilvl="0">
      <w:lvlJc w:val="left"/>
      <w:lvlText w:val="%1."/>
      <w:numFmt w:val="decimal"/>
      <w:start w:val="2"/>
    </w:lvl>
  </w:abstractNum>
  <w:abstractNum w:abstractNumId="112">
    <w:nsid w:val="1DE8725A"/>
    <w:multiLevelType w:val="hybridMultilevel"/>
    <w:lvl w:ilvl="0">
      <w:lvlJc w:val="left"/>
      <w:lvlText w:val="%1."/>
      <w:numFmt w:val="decimal"/>
      <w:start w:val="3"/>
    </w:lvl>
  </w:abstractNum>
  <w:abstractNum w:abstractNumId="113">
    <w:nsid w:val="6A37288A"/>
    <w:multiLevelType w:val="hybridMultilevel"/>
    <w:lvl w:ilvl="0">
      <w:lvlJc w:val="left"/>
      <w:lvlText w:val="%1."/>
      <w:numFmt w:val="decimal"/>
      <w:start w:val="4"/>
    </w:lvl>
  </w:abstractNum>
  <w:abstractNum w:abstractNumId="114">
    <w:nsid w:val="8F8B73F"/>
    <w:multiLevelType w:val="hybridMultilevel"/>
    <w:lvl w:ilvl="0">
      <w:lvlJc w:val="left"/>
      <w:lvlText w:val="%1."/>
      <w:numFmt w:val="decimal"/>
      <w:start w:val="5"/>
    </w:lvl>
  </w:abstractNum>
  <w:abstractNum w:abstractNumId="115">
    <w:nsid w:val="CA6B462"/>
    <w:multiLevelType w:val="hybridMultilevel"/>
    <w:lvl w:ilvl="0">
      <w:lvlJc w:val="left"/>
      <w:lvlText w:val="%1."/>
      <w:numFmt w:val="decimal"/>
      <w:start w:val="6"/>
    </w:lvl>
  </w:abstractNum>
  <w:abstractNum w:abstractNumId="116">
    <w:nsid w:val="763CB680"/>
    <w:multiLevelType w:val="hybridMultilevel"/>
    <w:lvl w:ilvl="0">
      <w:lvlJc w:val="left"/>
      <w:lvlText w:val="%1."/>
      <w:numFmt w:val="decimal"/>
      <w:start w:val="7"/>
    </w:lvl>
  </w:abstractNum>
  <w:abstractNum w:abstractNumId="117">
    <w:nsid w:val="15B71329"/>
    <w:multiLevelType w:val="hybridMultilevel"/>
    <w:lvl w:ilvl="0">
      <w:lvlJc w:val="left"/>
      <w:lvlText w:val="%1."/>
      <w:numFmt w:val="decimal"/>
      <w:start w:val="9"/>
    </w:lvl>
  </w:abstractNum>
  <w:abstractNum w:abstractNumId="118">
    <w:nsid w:val="3DA97044"/>
    <w:multiLevelType w:val="hybridMultilevel"/>
    <w:lvl w:ilvl="0">
      <w:lvlJc w:val="left"/>
      <w:lvlText w:val="%1."/>
      <w:numFmt w:val="decimal"/>
      <w:start w:val="10"/>
    </w:lvl>
  </w:abstractNum>
  <w:abstractNum w:abstractNumId="119">
    <w:nsid w:val="1CDCE2DE"/>
    <w:multiLevelType w:val="hybridMultilevel"/>
    <w:lvl w:ilvl="0">
      <w:lvlJc w:val="left"/>
      <w:lvlText w:val="(%1)"/>
      <w:numFmt w:val="lowerLetter"/>
      <w:start w:val="1"/>
    </w:lvl>
  </w:abstractNum>
  <w:abstractNum w:abstractNumId="120">
    <w:nsid w:val="69D3947C"/>
    <w:multiLevelType w:val="hybridMultilevel"/>
    <w:lvl w:ilvl="0">
      <w:lvlJc w:val="left"/>
      <w:lvlText w:val="(%1)"/>
      <w:numFmt w:val="lowerLetter"/>
      <w:start w:val="1"/>
    </w:lvl>
  </w:abstractNum>
  <w:abstractNum w:abstractNumId="121">
    <w:nsid w:val="2539DFA5"/>
    <w:multiLevelType w:val="hybridMultilevel"/>
    <w:lvl w:ilvl="0">
      <w:lvlJc w:val="left"/>
      <w:lvlText w:val="(%1)"/>
      <w:numFmt w:val="lowerLetter"/>
      <w:start w:val="4"/>
    </w:lvl>
  </w:abstractNum>
  <w:abstractNum w:abstractNumId="122">
    <w:nsid w:val="2DB88089"/>
    <w:multiLevelType w:val="hybridMultilevel"/>
    <w:lvl w:ilvl="0">
      <w:lvlJc w:val="left"/>
      <w:lvlText w:val="%1."/>
      <w:numFmt w:val="decimal"/>
      <w:start w:val="11"/>
    </w:lvl>
  </w:abstractNum>
  <w:abstractNum w:abstractNumId="123">
    <w:nsid w:val="706B674E"/>
    <w:multiLevelType w:val="hybridMultilevel"/>
    <w:lvl w:ilvl="0">
      <w:lvlJc w:val="left"/>
      <w:lvlText w:val="%1."/>
      <w:numFmt w:val="decimal"/>
      <w:start w:val="12"/>
    </w:lvl>
  </w:abstractNum>
  <w:abstractNum w:abstractNumId="124">
    <w:nsid w:val="2C106A57"/>
    <w:multiLevelType w:val="hybridMultilevel"/>
    <w:lvl w:ilvl="0">
      <w:lvlJc w:val="left"/>
      <w:lvlText w:val="%1."/>
      <w:numFmt w:val="decimal"/>
      <w:start w:val="13"/>
    </w:lvl>
  </w:abstractNum>
  <w:abstractNum w:abstractNumId="125">
    <w:nsid w:val="684EED59"/>
    <w:multiLevelType w:val="hybridMultilevel"/>
    <w:lvl w:ilvl="0">
      <w:lvlJc w:val="left"/>
      <w:lvlText w:val="%1."/>
      <w:numFmt w:val="decimal"/>
      <w:start w:val="14"/>
    </w:lvl>
  </w:abstractNum>
  <w:abstractNum w:abstractNumId="126">
    <w:nsid w:val="545EE5D3"/>
    <w:multiLevelType w:val="hybridMultilevel"/>
    <w:lvl w:ilvl="0">
      <w:lvlJc w:val="left"/>
      <w:lvlText w:val="%1."/>
      <w:numFmt w:val="decimal"/>
      <w:start w:val="15"/>
    </w:lvl>
  </w:abstractNum>
  <w:abstractNum w:abstractNumId="127">
    <w:nsid w:val="4A66051"/>
    <w:multiLevelType w:val="hybridMultilevel"/>
    <w:lvl w:ilvl="0">
      <w:lvlJc w:val="left"/>
      <w:lvlText w:val="%1."/>
      <w:numFmt w:val="decimal"/>
      <w:start w:val="16"/>
    </w:lvl>
  </w:abstractNum>
  <w:abstractNum w:abstractNumId="128">
    <w:nsid w:val="20F4BDAD"/>
    <w:multiLevelType w:val="hybridMultilevel"/>
    <w:lvl w:ilvl="0">
      <w:lvlJc w:val="left"/>
      <w:lvlText w:val="%1."/>
      <w:numFmt w:val="decimal"/>
      <w:start w:val="17"/>
    </w:lvl>
  </w:abstractNum>
  <w:abstractNum w:abstractNumId="129">
    <w:nsid w:val="639DEFAC"/>
    <w:multiLevelType w:val="hybridMultilevel"/>
    <w:lvl w:ilvl="0">
      <w:lvlJc w:val="left"/>
      <w:lvlText w:val="%1."/>
      <w:numFmt w:val="decimal"/>
      <w:start w:val="18"/>
    </w:lvl>
  </w:abstractNum>
  <w:abstractNum w:abstractNumId="130">
    <w:nsid w:val="501F9786"/>
    <w:multiLevelType w:val="hybridMultilevel"/>
    <w:lvl w:ilvl="0">
      <w:lvlJc w:val="left"/>
      <w:lvlText w:val="%1."/>
      <w:numFmt w:val="decimal"/>
      <w:start w:val="19"/>
    </w:lvl>
  </w:abstractNum>
  <w:abstractNum w:abstractNumId="131">
    <w:nsid w:val="6B057295"/>
    <w:multiLevelType w:val="hybridMultilevel"/>
    <w:lvl w:ilvl="0">
      <w:lvlJc w:val="left"/>
      <w:lvlText w:val="%1."/>
      <w:numFmt w:val="decimal"/>
      <w:start w:val="20"/>
    </w:lvl>
  </w:abstractNum>
  <w:abstractNum w:abstractNumId="132">
    <w:nsid w:val="2771AC80"/>
    <w:multiLevelType w:val="hybridMultilevel"/>
    <w:lvl w:ilvl="0">
      <w:lvlJc w:val="left"/>
      <w:lvlText w:val="%1."/>
      <w:numFmt w:val="decimal"/>
      <w:start w:val="21"/>
    </w:lvl>
  </w:abstractNum>
  <w:abstractNum w:abstractNumId="133">
    <w:nsid w:val="1C4A08EC"/>
    <w:multiLevelType w:val="hybridMultilevel"/>
    <w:lvl w:ilvl="0">
      <w:lvlJc w:val="left"/>
      <w:lvlText w:val="%1."/>
      <w:numFmt w:val="decimal"/>
      <w:start w:val="22"/>
    </w:lvl>
  </w:abstractNum>
  <w:abstractNum w:abstractNumId="134">
    <w:nsid w:val="1958BD17"/>
    <w:multiLevelType w:val="hybridMultilevel"/>
    <w:lvl w:ilvl="0">
      <w:lvlJc w:val="left"/>
      <w:lvlText w:val="%1."/>
      <w:numFmt w:val="decimal"/>
      <w:start w:val="23"/>
    </w:lvl>
  </w:abstractNum>
  <w:abstractNum w:abstractNumId="135">
    <w:nsid w:val="4E647FE4"/>
    <w:multiLevelType w:val="hybridMultilevel"/>
    <w:lvl w:ilvl="0">
      <w:lvlJc w:val="left"/>
      <w:lvlText w:val="%1."/>
      <w:numFmt w:val="decimal"/>
      <w:start w:val="24"/>
    </w:lvl>
  </w:abstractNum>
  <w:abstractNum w:abstractNumId="136">
    <w:nsid w:val="E0BB885"/>
    <w:multiLevelType w:val="hybridMultilevel"/>
    <w:lvl w:ilvl="0">
      <w:lvlJc w:val="left"/>
      <w:lvlText w:val="(%1)"/>
      <w:numFmt w:val="lowerRoman"/>
      <w:start w:val="3"/>
    </w:lvl>
  </w:abstractNum>
  <w:abstractNum w:abstractNumId="137">
    <w:nsid w:val="565976F1"/>
    <w:multiLevelType w:val="hybridMultilevel"/>
    <w:lvl w:ilvl="0">
      <w:lvlJc w:val="left"/>
      <w:lvlText w:val="%1."/>
      <w:numFmt w:val="decimal"/>
      <w:start w:val="25"/>
    </w:lvl>
  </w:abstractNum>
  <w:abstractNum w:abstractNumId="138">
    <w:nsid w:val="64212B8C"/>
    <w:multiLevelType w:val="hybridMultilevel"/>
    <w:lvl w:ilvl="0">
      <w:lvlJc w:val="left"/>
      <w:lvlText w:val="%1."/>
      <w:numFmt w:val="decimal"/>
      <w:start w:val="26"/>
    </w:lvl>
  </w:abstractNum>
  <w:abstractNum w:abstractNumId="139">
    <w:nsid w:val="5C17530C"/>
    <w:multiLevelType w:val="hybridMultilevel"/>
    <w:lvl w:ilvl="0">
      <w:lvlJc w:val="left"/>
      <w:lvlText w:val="(%1)"/>
      <w:numFmt w:val="lowerLetter"/>
      <w:start w:val="1"/>
    </w:lvl>
  </w:abstractNum>
  <w:abstractNum w:abstractNumId="140">
    <w:nsid w:val="19A52566"/>
    <w:multiLevelType w:val="hybridMultilevel"/>
    <w:lvl w:ilvl="0">
      <w:lvlJc w:val="left"/>
      <w:lvlText w:val="%1."/>
      <w:numFmt w:val="decimal"/>
      <w:start w:val="27"/>
    </w:lvl>
  </w:abstractNum>
  <w:abstractNum w:abstractNumId="141">
    <w:nsid w:val="335A1DF1"/>
    <w:multiLevelType w:val="hybridMultilevel"/>
    <w:lvl w:ilvl="0">
      <w:lvlJc w:val="left"/>
      <w:lvlText w:val="%1."/>
      <w:numFmt w:val="decimal"/>
      <w:start w:val="28"/>
    </w:lvl>
  </w:abstractNum>
  <w:abstractNum w:abstractNumId="142">
    <w:nsid w:val="28677B7C"/>
    <w:multiLevelType w:val="hybridMultilevel"/>
    <w:lvl w:ilvl="0">
      <w:lvlJc w:val="left"/>
      <w:lvlText w:val="(%1)"/>
      <w:numFmt w:val="lowerLetter"/>
      <w:start w:val="1"/>
    </w:lvl>
  </w:abstractNum>
  <w:abstractNum w:abstractNumId="143">
    <w:nsid w:val="378D97C0"/>
    <w:multiLevelType w:val="hybridMultilevel"/>
    <w:lvl w:ilvl="0">
      <w:lvlJc w:val="left"/>
      <w:lvlText w:val="%1."/>
      <w:numFmt w:val="decimal"/>
      <w:start w:val="29"/>
    </w:lvl>
  </w:abstractNum>
  <w:abstractNum w:abstractNumId="144">
    <w:nsid w:val="1D91467C"/>
    <w:multiLevelType w:val="hybridMultilevel"/>
    <w:lvl w:ilvl="0">
      <w:lvlJc w:val="left"/>
      <w:lvlText w:val="%1."/>
      <w:numFmt w:val="decimal"/>
      <w:start w:val="31"/>
    </w:lvl>
  </w:abstractNum>
  <w:abstractNum w:abstractNumId="145">
    <w:nsid w:val="316032BB"/>
    <w:multiLevelType w:val="hybridMultilevel"/>
    <w:lvl w:ilvl="0">
      <w:lvlJc w:val="left"/>
      <w:lvlText w:val="%1."/>
      <w:numFmt w:val="decimal"/>
      <w:start w:val="32"/>
    </w:lvl>
  </w:abstractNum>
  <w:abstractNum w:abstractNumId="146">
    <w:nsid w:val="44344C22"/>
    <w:multiLevelType w:val="hybridMultilevel"/>
    <w:lvl w:ilvl="0">
      <w:lvlJc w:val="left"/>
      <w:lvlText w:val="%1."/>
      <w:numFmt w:val="decimal"/>
      <w:start w:val="33"/>
    </w:lvl>
  </w:abstractNum>
  <w:abstractNum w:abstractNumId="147">
    <w:nsid w:val="13CDFCFC"/>
    <w:multiLevelType w:val="hybridMultilevel"/>
    <w:lvl w:ilvl="0">
      <w:lvlJc w:val="left"/>
      <w:lvlText w:val="%1."/>
      <w:numFmt w:val="decimal"/>
      <w:start w:val="34"/>
    </w:lvl>
  </w:abstractNum>
  <w:abstractNum w:abstractNumId="148">
    <w:nsid w:val="471745E4"/>
    <w:multiLevelType w:val="hybridMultilevel"/>
    <w:lvl w:ilvl="0">
      <w:lvlJc w:val="left"/>
      <w:lvlText w:val="%1."/>
      <w:numFmt w:val="decimal"/>
      <w:start w:val="35"/>
    </w:lvl>
  </w:abstractNum>
  <w:abstractNum w:abstractNumId="149">
    <w:nsid w:val="1DDBC66"/>
    <w:multiLevelType w:val="hybridMultilevel"/>
    <w:lvl w:ilvl="0">
      <w:lvlJc w:val="left"/>
      <w:lvlText w:val="%1."/>
      <w:numFmt w:val="decimal"/>
      <w:start w:val="36"/>
    </w:lvl>
  </w:abstractNum>
  <w:abstractNum w:abstractNumId="150">
    <w:nsid w:val="30AADFDA"/>
    <w:multiLevelType w:val="hybridMultilevel"/>
    <w:lvl w:ilvl="0">
      <w:lvlJc w:val="left"/>
      <w:lvlText w:val="%1."/>
      <w:numFmt w:val="decimal"/>
      <w:start w:val="37"/>
    </w:lvl>
  </w:abstractNum>
  <w:abstractNum w:abstractNumId="151">
    <w:nsid w:val="30EADA61"/>
    <w:multiLevelType w:val="hybridMultilevel"/>
    <w:lvl w:ilvl="0">
      <w:lvlJc w:val="left"/>
      <w:lvlText w:val="%1."/>
      <w:numFmt w:val="decimal"/>
      <w:start w:val="38"/>
    </w:lvl>
  </w:abstractNum>
  <w:abstractNum w:abstractNumId="152">
    <w:nsid w:val="27179C0B"/>
    <w:multiLevelType w:val="hybridMultilevel"/>
    <w:lvl w:ilvl="0">
      <w:lvlJc w:val="left"/>
      <w:lvlText w:val="%1."/>
      <w:numFmt w:val="decimal"/>
      <w:start w:val="39"/>
    </w:lvl>
  </w:abstractNum>
  <w:abstractNum w:abstractNumId="153">
    <w:nsid w:val="5E636063"/>
    <w:multiLevelType w:val="hybridMultilevel"/>
    <w:lvl w:ilvl="0">
      <w:lvlJc w:val="left"/>
      <w:lvlText w:val="%1."/>
      <w:numFmt w:val="decimal"/>
      <w:start w:val="40"/>
    </w:lvl>
  </w:abstractNum>
  <w:abstractNum w:abstractNumId="154">
    <w:nsid w:val="215641AF"/>
    <w:multiLevelType w:val="hybridMultilevel"/>
    <w:lvl w:ilvl="0">
      <w:lvlJc w:val="left"/>
      <w:lvlText w:val="%1."/>
      <w:numFmt w:val="decimal"/>
      <w:start w:val="41"/>
    </w:lvl>
  </w:abstractNum>
  <w:abstractNum w:abstractNumId="155">
    <w:nsid w:val="53280662"/>
    <w:multiLevelType w:val="hybridMultilevel"/>
    <w:lvl w:ilvl="0">
      <w:lvlJc w:val="left"/>
      <w:lvlText w:val="%1."/>
      <w:numFmt w:val="decimal"/>
      <w:start w:val="42"/>
    </w:lvl>
  </w:abstractNum>
  <w:abstractNum w:abstractNumId="156">
    <w:nsid w:val="46B24DBC"/>
    <w:multiLevelType w:val="hybridMultilevel"/>
    <w:lvl w:ilvl="0">
      <w:lvlJc w:val="left"/>
      <w:lvlText w:val="%1."/>
      <w:numFmt w:val="decimal"/>
      <w:start w:val="43"/>
    </w:lvl>
  </w:abstractNum>
  <w:abstractNum w:abstractNumId="157">
    <w:nsid w:val="75B52783"/>
    <w:multiLevelType w:val="hybridMultilevel"/>
    <w:lvl w:ilvl="0">
      <w:lvlJc w:val="left"/>
      <w:lvlText w:val="%1."/>
      <w:numFmt w:val="decimal"/>
      <w:start w:val="44"/>
    </w:lvl>
  </w:abstractNum>
  <w:abstractNum w:abstractNumId="158">
    <w:nsid w:val="57CE66B4"/>
    <w:multiLevelType w:val="hybridMultilevel"/>
    <w:lvl w:ilvl="0">
      <w:lvlJc w:val="left"/>
      <w:lvlText w:val="%1."/>
      <w:numFmt w:val="decimal"/>
      <w:start w:val="45"/>
    </w:lvl>
  </w:abstractNum>
  <w:abstractNum w:abstractNumId="159">
    <w:nsid w:val="67A70B69"/>
    <w:multiLevelType w:val="hybridMultilevel"/>
    <w:lvl w:ilvl="0">
      <w:lvlJc w:val="left"/>
      <w:lvlText w:val="☐"/>
      <w:numFmt w:val="bullet"/>
      <w:start w:val="1"/>
    </w:lvl>
  </w:abstractNum>
  <w:abstractNum w:abstractNumId="160">
    <w:nsid w:val="5953172F"/>
    <w:multiLevelType w:val="hybridMultilevel"/>
    <w:lvl w:ilvl="0">
      <w:lvlJc w:val="left"/>
      <w:lvlText w:val="☐"/>
      <w:numFmt w:val="bullet"/>
      <w:start w:val="1"/>
    </w:lvl>
  </w:abstractNum>
  <w:abstractNum w:abstractNumId="161">
    <w:nsid w:val="27EDFE3A"/>
    <w:multiLevelType w:val="hybridMultilevel"/>
    <w:lvl w:ilvl="0">
      <w:lvlJc w:val="left"/>
      <w:lvlText w:val="(*)"/>
      <w:numFmt w:val="bullet"/>
      <w:start w:val="1"/>
    </w:lvl>
  </w:abstractNum>
  <w:abstractNum w:abstractNumId="162">
    <w:nsid w:val="52AC7DFF"/>
    <w:multiLevelType w:val="hybridMultilevel"/>
    <w:lvl w:ilvl="0">
      <w:lvlJc w:val="left"/>
      <w:lvlText w:val="(**)"/>
      <w:numFmt w:val="bullet"/>
      <w:start w:val="1"/>
    </w:lvl>
  </w:abstractNum>
  <w:abstractNum w:abstractNumId="163">
    <w:nsid w:val="C4C3AF"/>
    <w:multiLevelType w:val="hybridMultilevel"/>
    <w:lvl w:ilvl="0">
      <w:lvlJc w:val="left"/>
      <w:lvlText w:val="(***)"/>
      <w:numFmt w:val="bullet"/>
      <w:start w:val="1"/>
    </w:lvl>
  </w:abstractNum>
  <w:abstractNum w:abstractNumId="164">
    <w:nsid w:val="44380727"/>
    <w:multiLevelType w:val="hybridMultilevel"/>
    <w:lvl w:ilvl="0">
      <w:lvlJc w:val="left"/>
      <w:lvlText w:val="%1."/>
      <w:numFmt w:val="decimal"/>
      <w:start w:val="46"/>
    </w:lvl>
  </w:abstractNum>
  <w:abstractNum w:abstractNumId="165">
    <w:nsid w:val="6C053B16"/>
    <w:multiLevelType w:val="hybridMultilevel"/>
    <w:lvl w:ilvl="0">
      <w:lvlJc w:val="left"/>
      <w:lvlText w:val="%1."/>
      <w:numFmt w:val="decimal"/>
      <w:start w:val="47"/>
    </w:lvl>
  </w:abstractNum>
  <w:abstractNum w:abstractNumId="166">
    <w:nsid w:val="4F294393"/>
    <w:multiLevelType w:val="hybridMultilevel"/>
    <w:lvl w:ilvl="0">
      <w:lvlJc w:val="left"/>
      <w:lvlText w:val="%1."/>
      <w:numFmt w:val="decimal"/>
      <w:start w:val="48"/>
    </w:lvl>
  </w:abstractNum>
  <w:abstractNum w:abstractNumId="167">
    <w:nsid w:val="5243BFAC"/>
    <w:multiLevelType w:val="hybridMultilevel"/>
    <w:lvl w:ilvl="0">
      <w:lvlJc w:val="left"/>
      <w:lvlText w:val="%1."/>
      <w:numFmt w:val="decimal"/>
      <w:start w:val="49"/>
    </w:lvl>
  </w:abstractNum>
  <w:abstractNum w:abstractNumId="168">
    <w:nsid w:val="425EB207"/>
    <w:multiLevelType w:val="hybridMultilevel"/>
    <w:lvl w:ilvl="0">
      <w:lvlJc w:val="left"/>
      <w:lvlText w:val="%1."/>
      <w:numFmt w:val="decimal"/>
      <w:start w:val="50"/>
    </w:lvl>
  </w:abstractNum>
  <w:abstractNum w:abstractNumId="169">
    <w:nsid w:val="334A6F1F"/>
    <w:multiLevelType w:val="hybridMultilevel"/>
    <w:lvl w:ilvl="0">
      <w:lvlJc w:val="left"/>
      <w:lvlText w:val="(%1)"/>
      <w:numFmt w:val="lowerLetter"/>
      <w:start w:val="1"/>
    </w:lvl>
  </w:abstractNum>
  <w:abstractNum w:abstractNumId="170">
    <w:nsid w:val="2E5B12B8"/>
    <w:multiLevelType w:val="hybridMultilevel"/>
    <w:lvl w:ilvl="0">
      <w:lvlJc w:val="left"/>
      <w:lvlText w:val="%1"/>
      <w:numFmt w:val="decimal"/>
      <w:start w:val="1"/>
    </w:lvl>
    <w:lvl w:ilvl="1">
      <w:lvlJc w:val="left"/>
      <w:lvlText w:val="(%2)"/>
      <w:numFmt w:val="lowerLetter"/>
      <w:start w:val="3"/>
    </w:lvl>
  </w:abstractNum>
  <w:abstractNum w:abstractNumId="171">
    <w:nsid w:val="5C03D76D"/>
    <w:multiLevelType w:val="hybridMultilevel"/>
    <w:lvl w:ilvl="0">
      <w:lvlJc w:val="left"/>
      <w:lvlText w:val="%1."/>
      <w:numFmt w:val="decimal"/>
      <w:start w:val="51"/>
    </w:lvl>
    <w:lvl w:ilvl="1">
      <w:lvlJc w:val="left"/>
      <w:lvlText w:val="%2"/>
      <w:numFmt w:val="lowerLetter"/>
      <w:start w:val="1"/>
    </w:lvl>
  </w:abstractNum>
  <w:abstractNum w:abstractNumId="172">
    <w:nsid w:val="66A48D11"/>
    <w:multiLevelType w:val="hybridMultilevel"/>
    <w:lvl w:ilvl="0">
      <w:lvlJc w:val="left"/>
      <w:lvlText w:val="%1"/>
      <w:numFmt w:val="decimal"/>
      <w:start w:val="1"/>
    </w:lvl>
    <w:lvl w:ilvl="1">
      <w:lvlJc w:val="left"/>
      <w:lvlText w:val="(%2)"/>
      <w:numFmt w:val="lowerLetter"/>
      <w:start w:val="1"/>
    </w:lvl>
  </w:abstractNum>
  <w:abstractNum w:abstractNumId="173">
    <w:nsid w:val="56C28E34"/>
    <w:multiLevelType w:val="hybridMultilevel"/>
    <w:lvl w:ilvl="0">
      <w:lvlJc w:val="left"/>
      <w:lvlText w:val="%1."/>
      <w:numFmt w:val="decimal"/>
      <w:start w:val="52"/>
    </w:lvl>
    <w:lvl w:ilvl="1">
      <w:lvlJc w:val="left"/>
      <w:lvlText w:val="%2"/>
      <w:numFmt w:val="lowerLetter"/>
      <w:start w:val="1"/>
    </w:lvl>
  </w:abstractNum>
  <w:abstractNum w:abstractNumId="174">
    <w:nsid w:val="13916F2D"/>
    <w:multiLevelType w:val="hybridMultilevel"/>
    <w:lvl w:ilvl="0">
      <w:lvlJc w:val="left"/>
      <w:lvlText w:val="%1."/>
      <w:numFmt w:val="decimal"/>
      <w:start w:val="53"/>
    </w:lvl>
  </w:abstractNum>
  <w:abstractNum w:abstractNumId="175">
    <w:nsid w:val="435D38D"/>
    <w:multiLevelType w:val="hybridMultilevel"/>
    <w:lvl w:ilvl="0">
      <w:lvlJc w:val="left"/>
      <w:lvlText w:val="%1."/>
      <w:numFmt w:val="decimal"/>
      <w:start w:val="54"/>
    </w:lvl>
  </w:abstractNum>
  <w:abstractNum w:abstractNumId="176">
    <w:nsid w:val="822C0EF"/>
    <w:multiLevelType w:val="hybridMultilevel"/>
    <w:lvl w:ilvl="0">
      <w:lvlJc w:val="left"/>
      <w:lvlText w:val="%1"/>
      <w:numFmt w:val="decimal"/>
      <w:start w:val="1"/>
    </w:lvl>
    <w:lvl w:ilvl="1">
      <w:lvlJc w:val="left"/>
      <w:lvlText w:val="(%2)"/>
      <w:numFmt w:val="decimal"/>
      <w:start w:val="2"/>
    </w:lvl>
  </w:abstractNum>
  <w:abstractNum w:abstractNumId="177">
    <w:nsid w:val="57C5BB4F"/>
    <w:multiLevelType w:val="hybridMultilevel"/>
    <w:lvl w:ilvl="0">
      <w:lvlJc w:val="left"/>
      <w:lvlText w:val="%1."/>
      <w:numFmt w:val="decimal"/>
      <w:start w:val="55"/>
    </w:lvl>
    <w:lvl w:ilvl="1">
      <w:lvlJc w:val="left"/>
      <w:lvlText w:val="%2"/>
      <w:numFmt w:val="decimal"/>
      <w:start w:val="1"/>
    </w:lvl>
  </w:abstractNum>
  <w:abstractNum w:abstractNumId="178">
    <w:nsid w:val="1803D089"/>
    <w:multiLevelType w:val="hybridMultilevel"/>
    <w:lvl w:ilvl="0">
      <w:lvlJc w:val="left"/>
      <w:lvlText w:val="%1."/>
      <w:numFmt w:val="decimal"/>
      <w:start w:val="56"/>
    </w:lvl>
  </w:abstractNum>
  <w:abstractNum w:abstractNumId="179">
    <w:nsid w:val="4F3A06D4"/>
    <w:multiLevelType w:val="hybridMultilevel"/>
    <w:lvl w:ilvl="0">
      <w:lvlJc w:val="left"/>
      <w:lvlText w:val="%1."/>
      <w:numFmt w:val="decimal"/>
      <w:start w:val="57"/>
    </w:lvl>
  </w:abstractNum>
  <w:abstractNum w:abstractNumId="180">
    <w:nsid w:val="59A377B6"/>
    <w:multiLevelType w:val="hybridMultilevel"/>
    <w:lvl w:ilvl="0">
      <w:lvlJc w:val="left"/>
      <w:lvlText w:val="%1."/>
      <w:numFmt w:val="decimal"/>
      <w:start w:val="58"/>
    </w:lvl>
  </w:abstractNum>
  <w:abstractNum w:abstractNumId="181">
    <w:nsid w:val="48AEB063"/>
    <w:multiLevelType w:val="hybridMultilevel"/>
    <w:lvl w:ilvl="0">
      <w:lvlJc w:val="left"/>
      <w:lvlText w:val="%1."/>
      <w:numFmt w:val="decimal"/>
      <w:start w:val="59"/>
    </w:lvl>
  </w:abstractNum>
  <w:abstractNum w:abstractNumId="182">
    <w:nsid w:val="24E135"/>
    <w:multiLevelType w:val="hybridMultilevel"/>
    <w:lvl w:ilvl="0">
      <w:lvlJc w:val="left"/>
      <w:lvlText w:val="%1."/>
      <w:numFmt w:val="decimal"/>
      <w:start w:val="60"/>
    </w:lvl>
  </w:abstractNum>
  <w:abstractNum w:abstractNumId="183">
    <w:nsid w:val="BB13C1"/>
    <w:multiLevelType w:val="hybridMultilevel"/>
    <w:lvl w:ilvl="0">
      <w:lvlJc w:val="left"/>
      <w:lvlText w:val="%1."/>
      <w:numFmt w:val="decimal"/>
      <w:start w:val="61"/>
    </w:lvl>
  </w:abstractNum>
  <w:abstractNum w:abstractNumId="184">
    <w:nsid w:val="271210C7"/>
    <w:multiLevelType w:val="hybridMultilevel"/>
    <w:lvl w:ilvl="0">
      <w:lvlJc w:val="left"/>
      <w:lvlText w:val="%1."/>
      <w:numFmt w:val="decimal"/>
      <w:start w:val="62"/>
    </w:lvl>
  </w:abstractNum>
  <w:abstractNum w:abstractNumId="185">
    <w:nsid w:val="217B22E4"/>
    <w:multiLevelType w:val="hybridMultilevel"/>
    <w:lvl w:ilvl="0">
      <w:lvlJc w:val="left"/>
      <w:lvlText w:val="%1."/>
      <w:numFmt w:val="decimal"/>
      <w:start w:val="63"/>
    </w:lvl>
  </w:abstractNum>
  <w:abstractNum w:abstractNumId="186">
    <w:nsid w:val="53E31A24"/>
    <w:multiLevelType w:val="hybridMultilevel"/>
    <w:lvl w:ilvl="0">
      <w:lvlJc w:val="left"/>
      <w:lvlText w:val="%1."/>
      <w:numFmt w:val="decimal"/>
      <w:start w:val="64"/>
    </w:lvl>
  </w:abstractNum>
  <w:abstractNum w:abstractNumId="187">
    <w:nsid w:val="6DC45E83"/>
    <w:multiLevelType w:val="hybridMultilevel"/>
    <w:lvl w:ilvl="0">
      <w:lvlJc w:val="left"/>
      <w:lvlText w:val="%1."/>
      <w:numFmt w:val="decimal"/>
      <w:start w:val="65"/>
    </w:lvl>
  </w:abstractNum>
  <w:abstractNum w:abstractNumId="188">
    <w:nsid w:val="17304A67"/>
    <w:multiLevelType w:val="hybridMultilevel"/>
    <w:lvl w:ilvl="0">
      <w:lvlJc w:val="left"/>
      <w:lvlText w:val="%1."/>
      <w:numFmt w:val="decimal"/>
      <w:start w:val="66"/>
    </w:lvl>
  </w:abstractNum>
  <w:abstractNum w:abstractNumId="189">
    <w:nsid w:val="2BB180D8"/>
    <w:multiLevelType w:val="hybridMultilevel"/>
    <w:lvl w:ilvl="0">
      <w:lvlJc w:val="left"/>
      <w:lvlText w:val="%1."/>
      <w:numFmt w:val="decimal"/>
      <w:start w:val="67"/>
    </w:lvl>
  </w:abstractNum>
  <w:abstractNum w:abstractNumId="190">
    <w:nsid w:val="556B69ED"/>
    <w:multiLevelType w:val="hybridMultilevel"/>
    <w:lvl w:ilvl="0">
      <w:lvlJc w:val="left"/>
      <w:lvlText w:val="%1."/>
      <w:numFmt w:val="decimal"/>
      <w:start w:val="68"/>
    </w:lvl>
  </w:abstractNum>
  <w:abstractNum w:abstractNumId="191">
    <w:nsid w:val="70836196"/>
    <w:multiLevelType w:val="hybridMultilevel"/>
    <w:lvl w:ilvl="0">
      <w:lvlJc w:val="left"/>
      <w:lvlText w:val="%1."/>
      <w:numFmt w:val="decimal"/>
      <w:start w:val="69"/>
    </w:lvl>
  </w:abstractNum>
  <w:abstractNum w:abstractNumId="192">
    <w:nsid w:val="539F7F12"/>
    <w:multiLevelType w:val="hybridMultilevel"/>
    <w:lvl w:ilvl="0">
      <w:lvlJc w:val="left"/>
      <w:lvlText w:val="%1."/>
      <w:numFmt w:val="decimal"/>
      <w:start w:val="70"/>
    </w:lvl>
  </w:abstractNum>
  <w:abstractNum w:abstractNumId="193">
    <w:nsid w:val="2817E7EC"/>
    <w:multiLevelType w:val="hybridMultilevel"/>
    <w:lvl w:ilvl="0">
      <w:lvlJc w:val="left"/>
      <w:lvlText w:val="%1."/>
      <w:numFmt w:val="decimal"/>
      <w:start w:val="71"/>
    </w:lvl>
  </w:abstractNum>
  <w:abstractNum w:abstractNumId="194">
    <w:nsid w:val="71482545"/>
    <w:multiLevelType w:val="hybridMultilevel"/>
    <w:lvl w:ilvl="0">
      <w:lvlJc w:val="left"/>
      <w:lvlText w:val="%1."/>
      <w:numFmt w:val="decimal"/>
      <w:start w:val="72"/>
    </w:lvl>
  </w:abstractNum>
  <w:abstractNum w:abstractNumId="195">
    <w:nsid w:val="17D78639"/>
    <w:multiLevelType w:val="hybridMultilevel"/>
    <w:lvl w:ilvl="0">
      <w:lvlJc w:val="left"/>
      <w:lvlText w:val="%1."/>
      <w:numFmt w:val="decimal"/>
      <w:start w:val="73"/>
    </w:lvl>
  </w:abstractNum>
  <w:abstractNum w:abstractNumId="196">
    <w:nsid w:val="141D2302"/>
    <w:multiLevelType w:val="hybridMultilevel"/>
    <w:lvl w:ilvl="0">
      <w:lvlJc w:val="left"/>
      <w:lvlText w:val="%1."/>
      <w:numFmt w:val="decimal"/>
      <w:start w:val="74"/>
    </w:lvl>
  </w:abstractNum>
  <w:abstractNum w:abstractNumId="197">
    <w:nsid w:val="407168D8"/>
    <w:multiLevelType w:val="hybridMultilevel"/>
    <w:lvl w:ilvl="0">
      <w:lvlJc w:val="left"/>
      <w:lvlText w:val="%1."/>
      <w:numFmt w:val="decimal"/>
      <w:start w:val="75"/>
    </w:lvl>
  </w:abstractNum>
  <w:abstractNum w:abstractNumId="198">
    <w:nsid w:val="6A1B45E5"/>
    <w:multiLevelType w:val="hybridMultilevel"/>
    <w:lvl w:ilvl="0">
      <w:lvlJc w:val="left"/>
      <w:lvlText w:val="%1."/>
      <w:numFmt w:val="decimal"/>
      <w:start w:val="76"/>
    </w:lvl>
  </w:abstractNum>
  <w:abstractNum w:abstractNumId="199">
    <w:nsid w:val="567BD50A"/>
    <w:multiLevelType w:val="hybridMultilevel"/>
    <w:lvl w:ilvl="0">
      <w:lvlJc w:val="left"/>
      <w:lvlText w:val="%1."/>
      <w:numFmt w:val="decimal"/>
      <w:start w:val="77"/>
    </w:lvl>
  </w:abstractNum>
  <w:abstractNum w:abstractNumId="200">
    <w:nsid w:val="73BBD7F8"/>
    <w:multiLevelType w:val="hybridMultilevel"/>
    <w:lvl w:ilvl="0">
      <w:lvlJc w:val="left"/>
      <w:lvlText w:val="%1."/>
      <w:numFmt w:val="decimal"/>
      <w:start w:val="78"/>
    </w:lvl>
  </w:abstractNum>
  <w:abstractNum w:abstractNumId="201">
    <w:nsid w:val="1876589D"/>
    <w:multiLevelType w:val="hybridMultilevel"/>
    <w:lvl w:ilvl="0">
      <w:lvlJc w:val="left"/>
      <w:lvlText w:val="%1."/>
      <w:numFmt w:val="decimal"/>
      <w:start w:val="79"/>
    </w:lvl>
  </w:abstractNum>
  <w:abstractNum w:abstractNumId="202">
    <w:nsid w:val="327FAC77"/>
    <w:multiLevelType w:val="hybridMultilevel"/>
    <w:lvl w:ilvl="0">
      <w:lvlJc w:val="left"/>
      <w:lvlText w:val="%1."/>
      <w:numFmt w:val="decimal"/>
      <w:start w:val="80"/>
    </w:lvl>
  </w:abstractNum>
  <w:abstractNum w:abstractNumId="203">
    <w:nsid w:val="5A606509"/>
    <w:multiLevelType w:val="hybridMultilevel"/>
    <w:lvl w:ilvl="0">
      <w:lvlJc w:val="left"/>
      <w:lvlText w:val="%1."/>
      <w:numFmt w:val="decimal"/>
      <w:start w:val="81"/>
    </w:lvl>
  </w:abstractNum>
  <w:abstractNum w:abstractNumId="204">
    <w:nsid w:val="6F38E6D1"/>
    <w:multiLevelType w:val="hybridMultilevel"/>
    <w:lvl w:ilvl="0">
      <w:lvlJc w:val="left"/>
      <w:lvlText w:val="%1."/>
      <w:numFmt w:val="decimal"/>
      <w:start w:val="82"/>
    </w:lvl>
  </w:abstractNum>
  <w:abstractNum w:abstractNumId="205">
    <w:nsid w:val="46111BA5"/>
    <w:multiLevelType w:val="hybridMultilevel"/>
    <w:lvl w:ilvl="0">
      <w:lvlJc w:val="left"/>
      <w:lvlText w:val="%1."/>
      <w:numFmt w:val="decimal"/>
      <w:start w:val="83"/>
    </w:lvl>
  </w:abstractNum>
  <w:abstractNum w:abstractNumId="206">
    <w:nsid w:val="5E963896"/>
    <w:multiLevelType w:val="hybridMultilevel"/>
    <w:lvl w:ilvl="0">
      <w:lvlJc w:val="left"/>
      <w:lvlText w:val="%1."/>
      <w:numFmt w:val="decimal"/>
      <w:start w:val="84"/>
    </w:lvl>
  </w:abstractNum>
  <w:abstractNum w:abstractNumId="207">
    <w:nsid w:val="775BA7C1"/>
    <w:multiLevelType w:val="hybridMultilevel"/>
    <w:lvl w:ilvl="0">
      <w:lvlJc w:val="left"/>
      <w:lvlText w:val="%1."/>
      <w:numFmt w:val="decimal"/>
      <w:start w:val="85"/>
    </w:lvl>
  </w:abstractNum>
  <w:abstractNum w:abstractNumId="208">
    <w:nsid w:val="1DD6D6F4"/>
    <w:multiLevelType w:val="hybridMultilevel"/>
    <w:lvl w:ilvl="0">
      <w:lvlJc w:val="left"/>
      <w:lvlText w:val="%1."/>
      <w:numFmt w:val="decimal"/>
      <w:start w:val="86"/>
    </w:lvl>
  </w:abstractNum>
  <w:abstractNum w:abstractNumId="209">
    <w:nsid w:val="769A091F"/>
    <w:multiLevelType w:val="hybridMultilevel"/>
    <w:lvl w:ilvl="0">
      <w:lvlJc w:val="left"/>
      <w:lvlText w:val="%1."/>
      <w:numFmt w:val="decimal"/>
      <w:start w:val="87"/>
    </w:lvl>
  </w:abstractNum>
  <w:abstractNum w:abstractNumId="210">
    <w:nsid w:val="4695AE95"/>
    <w:multiLevelType w:val="hybridMultilevel"/>
    <w:lvl w:ilvl="0">
      <w:lvlJc w:val="left"/>
      <w:lvlText w:val="%1."/>
      <w:numFmt w:val="decimal"/>
      <w:start w:val="88"/>
    </w:lvl>
  </w:abstractNum>
  <w:abstractNum w:abstractNumId="211">
    <w:nsid w:val="777A4EAA"/>
    <w:multiLevelType w:val="hybridMultilevel"/>
    <w:lvl w:ilvl="0">
      <w:lvlJc w:val="left"/>
      <w:lvlText w:val="%1."/>
      <w:numFmt w:val="decimal"/>
      <w:start w:val="89"/>
    </w:lvl>
  </w:abstractNum>
  <w:abstractNum w:abstractNumId="212">
    <w:nsid w:val="3F48B982"/>
    <w:multiLevelType w:val="hybridMultilevel"/>
    <w:lvl w:ilvl="0">
      <w:lvlJc w:val="left"/>
      <w:lvlText w:val="%1."/>
      <w:numFmt w:val="decimal"/>
      <w:start w:val="90"/>
    </w:lvl>
  </w:abstractNum>
  <w:abstractNum w:abstractNumId="213">
    <w:nsid w:val="46BA8FCA"/>
    <w:multiLevelType w:val="hybridMultilevel"/>
    <w:lvl w:ilvl="0">
      <w:lvlJc w:val="left"/>
      <w:lvlText w:val="%1."/>
      <w:numFmt w:val="decimal"/>
      <w:start w:val="91"/>
    </w:lvl>
  </w:abstractNum>
  <w:abstractNum w:abstractNumId="214">
    <w:nsid w:val="7835626C"/>
    <w:multiLevelType w:val="hybridMultilevel"/>
    <w:lvl w:ilvl="0">
      <w:lvlJc w:val="left"/>
      <w:lvlText w:val="%1."/>
      <w:numFmt w:val="decimal"/>
      <w:start w:val="92"/>
    </w:lvl>
  </w:abstractNum>
  <w:abstractNum w:abstractNumId="215">
    <w:nsid w:val="665ACA49"/>
    <w:multiLevelType w:val="hybridMultilevel"/>
    <w:lvl w:ilvl="0">
      <w:lvlJc w:val="left"/>
      <w:lvlText w:val="(%1)"/>
      <w:numFmt w:val="lowerLetter"/>
      <w:start w:val="1"/>
    </w:lvl>
  </w:abstractNum>
  <w:abstractNum w:abstractNumId="216">
    <w:nsid w:val="6835B2AE"/>
    <w:multiLevelType w:val="hybridMultilevel"/>
    <w:lvl w:ilvl="0">
      <w:lvlJc w:val="left"/>
      <w:lvlText w:val="%1."/>
      <w:numFmt w:val="decimal"/>
      <w:start w:val="93"/>
    </w:lvl>
  </w:abstractNum>
  <w:abstractNum w:abstractNumId="217">
    <w:nsid w:val="4C187C90"/>
    <w:multiLevelType w:val="hybridMultilevel"/>
    <w:lvl w:ilvl="0">
      <w:lvlJc w:val="left"/>
      <w:lvlText w:val="%1."/>
      <w:numFmt w:val="decimal"/>
      <w:start w:val="94"/>
    </w:lvl>
  </w:abstractNum>
  <w:abstractNum w:abstractNumId="218">
    <w:nsid w:val="541F28CD"/>
    <w:multiLevelType w:val="hybridMultilevel"/>
    <w:lvl w:ilvl="0">
      <w:lvlJc w:val="left"/>
      <w:lvlText w:val="%1."/>
      <w:numFmt w:val="decimal"/>
      <w:start w:val="95"/>
    </w:lvl>
  </w:abstractNum>
  <w:abstractNum w:abstractNumId="219">
    <w:nsid w:val="7F65FD16"/>
    <w:multiLevelType w:val="hybridMultilevel"/>
    <w:lvl w:ilvl="0">
      <w:lvlJc w:val="left"/>
      <w:lvlText w:val="%1."/>
      <w:numFmt w:val="decimal"/>
      <w:start w:val="96"/>
    </w:lvl>
  </w:abstractNum>
  <w:abstractNum w:abstractNumId="220">
    <w:nsid w:val="77C9FD68"/>
    <w:multiLevelType w:val="hybridMultilevel"/>
    <w:lvl w:ilvl="0">
      <w:lvlJc w:val="left"/>
      <w:lvlText w:val="%1."/>
      <w:numFmt w:val="decimal"/>
      <w:start w:val="97"/>
    </w:lvl>
  </w:abstractNum>
  <w:abstractNum w:abstractNumId="221">
    <w:nsid w:val="298A92BA"/>
    <w:multiLevelType w:val="hybridMultilevel"/>
    <w:lvl w:ilvl="0">
      <w:lvlJc w:val="left"/>
      <w:lvlText w:val="%1."/>
      <w:numFmt w:val="decimal"/>
      <w:start w:val="98"/>
    </w:lvl>
  </w:abstractNum>
  <w:abstractNum w:abstractNumId="222">
    <w:nsid w:val="6FE95EAC"/>
    <w:multiLevelType w:val="hybridMultilevel"/>
    <w:lvl w:ilvl="0">
      <w:lvlJc w:val="left"/>
      <w:lvlText w:val="%1."/>
      <w:numFmt w:val="decimal"/>
      <w:start w:val="99"/>
    </w:lvl>
  </w:abstractNum>
  <w:abstractNum w:abstractNumId="223">
    <w:nsid w:val="4B697C7A"/>
    <w:multiLevelType w:val="hybridMultilevel"/>
    <w:lvl w:ilvl="0">
      <w:lvlJc w:val="left"/>
      <w:lvlText w:val="%1."/>
      <w:numFmt w:val="decimal"/>
      <w:start w:val="102"/>
    </w:lvl>
  </w:abstractNum>
  <w:abstractNum w:abstractNumId="224">
    <w:nsid w:val="51A27AA6"/>
    <w:multiLevelType w:val="hybridMultilevel"/>
    <w:lvl w:ilvl="0">
      <w:lvlJc w:val="left"/>
      <w:lvlText w:val="(%1)"/>
      <w:numFmt w:val="upperLetter"/>
      <w:start w:val="1"/>
    </w:lvl>
  </w:abstractNum>
  <w:abstractNum w:abstractNumId="225">
    <w:nsid w:val="613183F2"/>
    <w:multiLevelType w:val="hybridMultilevel"/>
    <w:lvl w:ilvl="0">
      <w:lvlJc w:val="left"/>
      <w:lvlText w:val="%1."/>
      <w:numFmt w:val="decimal"/>
      <w:start w:val="1"/>
    </w:lvl>
    <w:lvl w:ilvl="1">
      <w:lvlJc w:val="left"/>
      <w:lvlText w:val="(%2)"/>
      <w:numFmt w:val="lowerRoman"/>
      <w:start w:val="1"/>
    </w:lvl>
  </w:abstractNum>
  <w:abstractNum w:abstractNumId="226">
    <w:nsid w:val="634102B4"/>
    <w:multiLevelType w:val="hybridMultilevel"/>
    <w:lvl w:ilvl="0">
      <w:lvlJc w:val="left"/>
      <w:lvlText w:val="%1."/>
      <w:numFmt w:val="decimal"/>
      <w:start w:val="2"/>
    </w:lvl>
    <w:lvl w:ilvl="1">
      <w:lvlJc w:val="left"/>
      <w:lvlText w:val="%2."/>
      <w:numFmt w:val="decimal"/>
      <w:start w:val="3"/>
    </w:lvl>
  </w:abstractNum>
  <w:abstractNum w:abstractNumId="227">
    <w:nsid w:val="65BF9DA8"/>
    <w:multiLevelType w:val="hybridMultilevel"/>
    <w:lvl w:ilvl="0">
      <w:lvlJc w:val="left"/>
      <w:lvlText w:val="%1."/>
      <w:numFmt w:val="decimal"/>
      <w:start w:val="4"/>
    </w:lvl>
  </w:abstractNum>
  <w:abstractNum w:abstractNumId="228">
    <w:nsid w:val="21A2ECCA"/>
    <w:multiLevelType w:val="hybridMultilevel"/>
    <w:lvl w:ilvl="0">
      <w:lvlJc w:val="left"/>
      <w:lvlText w:val="-"/>
      <w:numFmt w:val="bullet"/>
      <w:start w:val="1"/>
    </w:lvl>
  </w:abstractNum>
  <w:abstractNum w:abstractNumId="229">
    <w:nsid w:val="4D5C4899"/>
    <w:multiLevelType w:val="hybridMultilevel"/>
    <w:lvl w:ilvl="0">
      <w:lvlJc w:val="left"/>
      <w:lvlText w:val="%1."/>
      <w:numFmt w:val="decimal"/>
      <w:start w:val="5"/>
    </w:lvl>
  </w:abstractNum>
  <w:abstractNum w:abstractNumId="230">
    <w:nsid w:val="3C3B72B2"/>
    <w:multiLevelType w:val="hybridMultilevel"/>
    <w:lvl w:ilvl="0">
      <w:lvlJc w:val="left"/>
      <w:lvlText w:val="%1."/>
      <w:numFmt w:val="decimal"/>
      <w:start w:val="6"/>
    </w:lvl>
  </w:abstractNum>
  <w:abstractNum w:abstractNumId="231">
    <w:nsid w:val="155EC4C2"/>
    <w:multiLevelType w:val="hybridMultilevel"/>
    <w:lvl w:ilvl="0">
      <w:lvlJc w:val="left"/>
      <w:lvlText w:val="%1."/>
      <w:numFmt w:val="decimal"/>
      <w:start w:val="7"/>
    </w:lvl>
  </w:abstractNum>
  <w:abstractNum w:abstractNumId="232">
    <w:nsid w:val="65D2A137"/>
    <w:multiLevelType w:val="hybridMultilevel"/>
    <w:lvl w:ilvl="0">
      <w:lvlJc w:val="left"/>
      <w:lvlText w:val="%1"/>
      <w:numFmt w:val="decimal"/>
      <w:start w:val="1"/>
    </w:lvl>
    <w:lvl w:ilvl="1">
      <w:lvlJc w:val="left"/>
      <w:lvlText w:val="%2."/>
      <w:numFmt w:val="decimal"/>
      <w:start w:val="8"/>
    </w:lvl>
  </w:abstractNum>
  <w:abstractNum w:abstractNumId="233">
    <w:nsid w:val="6EBB1F2A"/>
    <w:multiLevelType w:val="hybridMultilevel"/>
    <w:lvl w:ilvl="0">
      <w:lvlJc w:val="left"/>
      <w:lvlText w:val="%1."/>
      <w:numFmt w:val="decimal"/>
      <w:start w:val="13"/>
    </w:lvl>
    <w:lvl w:ilvl="1">
      <w:lvlJc w:val="left"/>
      <w:lvlText w:val="%2"/>
      <w:numFmt w:val="decimal"/>
      <w:start w:val="1"/>
    </w:lvl>
  </w:abstractNum>
  <w:abstractNum w:abstractNumId="234">
    <w:nsid w:val="6FBF29CB"/>
    <w:multiLevelType w:val="hybridMultilevel"/>
    <w:lvl w:ilvl="0">
      <w:lvlJc w:val="left"/>
      <w:lvlText w:val="%1"/>
      <w:numFmt w:val="decimal"/>
      <w:start w:val="1"/>
    </w:lvl>
    <w:lvl w:ilvl="1">
      <w:lvlJc w:val="left"/>
      <w:lvlText w:val="%2."/>
      <w:numFmt w:val="decimal"/>
      <w:start w:val="14"/>
    </w:lvl>
  </w:abstractNum>
  <w:abstractNum w:abstractNumId="235">
    <w:nsid w:val="550B8808"/>
    <w:multiLevelType w:val="hybridMultilevel"/>
    <w:lvl w:ilvl="0">
      <w:lvlJc w:val="left"/>
      <w:lvlText w:val="%1."/>
      <w:numFmt w:val="decimal"/>
      <w:start w:val="22"/>
    </w:lvl>
    <w:lvl w:ilvl="1">
      <w:lvlJc w:val="left"/>
      <w:lvlText w:val="%2"/>
      <w:numFmt w:val="decimal"/>
      <w:start w:val="1"/>
    </w:lvl>
  </w:abstractNum>
  <w:abstractNum w:abstractNumId="236">
    <w:nsid w:val="34CC3ACF"/>
    <w:multiLevelType w:val="hybridMultilevel"/>
    <w:lvl w:ilvl="0">
      <w:lvlJc w:val="left"/>
      <w:lvlText w:val="%1"/>
      <w:numFmt w:val="decimal"/>
      <w:start w:val="1"/>
    </w:lvl>
    <w:lvl w:ilvl="1">
      <w:lvlJc w:val="left"/>
      <w:lvlText w:val="%2."/>
      <w:numFmt w:val="decimal"/>
      <w:start w:val="23"/>
    </w:lvl>
  </w:abstractNum>
  <w:abstractNum w:abstractNumId="237">
    <w:nsid w:val="4E556261"/>
    <w:multiLevelType w:val="hybridMultilevel"/>
    <w:lvl w:ilvl="0">
      <w:lvlJc w:val="left"/>
      <w:lvlText w:val="%1."/>
      <w:numFmt w:val="decimal"/>
      <w:start w:val="24"/>
    </w:lvl>
    <w:lvl w:ilvl="1">
      <w:lvlJc w:val="left"/>
      <w:lvlText w:val="%2"/>
      <w:numFmt w:val="decimal"/>
      <w:start w:val="1"/>
    </w:lvl>
  </w:abstractNum>
  <w:abstractNum w:abstractNumId="238">
    <w:nsid w:val="4C672FC9"/>
    <w:multiLevelType w:val="hybridMultilevel"/>
    <w:lvl w:ilvl="0">
      <w:lvlJc w:val="left"/>
      <w:lvlText w:val="%1."/>
      <w:numFmt w:val="decimal"/>
      <w:start w:val="1"/>
    </w:lvl>
    <w:lvl w:ilvl="1">
      <w:lvlJc w:val="left"/>
      <w:lvlText w:val="%2."/>
      <w:numFmt w:val="lowerLetter"/>
      <w:start w:val="1"/>
    </w:lvl>
  </w:abstractNum>
  <w:abstractNum w:abstractNumId="239">
    <w:nsid w:val="52A311C3"/>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2"/>
    </w:lvl>
    <w:lvl w:ilvl="3">
      <w:lvlJc w:val="left"/>
      <w:lvlText w:val="%4."/>
      <w:numFmt w:val="lowerLetter"/>
      <w:start w:val="1"/>
    </w:lvl>
  </w:abstractNum>
  <w:abstractNum w:abstractNumId="240">
    <w:nsid w:val="44EF6B80"/>
    <w:multiLevelType w:val="hybridMultilevel"/>
    <w:lvl w:ilvl="0">
      <w:lvlJc w:val="left"/>
      <w:lvlText w:val="%1."/>
      <w:numFmt w:val="lowerLetter"/>
      <w:start w:val="6"/>
    </w:lvl>
  </w:abstractNum>
  <w:abstractNum w:abstractNumId="241">
    <w:nsid w:val="12FCDE5E"/>
    <w:multiLevelType w:val="hybridMultilevel"/>
    <w:lvl w:ilvl="0">
      <w:lvlJc w:val="left"/>
      <w:lvlText w:val="%1."/>
      <w:numFmt w:val="decimal"/>
      <w:start w:val="1"/>
    </w:lvl>
  </w:abstractNum>
  <w:abstractNum w:abstractNumId="242">
    <w:nsid w:val="4A1D606E"/>
    <w:multiLevelType w:val="hybridMultilevel"/>
    <w:lvl w:ilvl="0">
      <w:lvlJc w:val="left"/>
      <w:lvlText w:val="%1."/>
      <w:numFmt w:val="decimal"/>
      <w:start w:val="1"/>
    </w:lvl>
    <w:lvl w:ilvl="1">
      <w:lvlJc w:val="left"/>
      <w:lvlText w:val="%2."/>
      <w:numFmt w:val="lowerLetter"/>
      <w:start w:val="1"/>
    </w:lvl>
  </w:abstractNum>
  <w:abstractNum w:abstractNumId="243">
    <w:nsid w:val="4382503"/>
    <w:multiLevelType w:val="hybridMultilevel"/>
    <w:lvl w:ilvl="0">
      <w:lvlJc w:val="left"/>
      <w:lvlText w:val="%1."/>
      <w:numFmt w:val="decimal"/>
      <w:start w:val="5"/>
    </w:lvl>
    <w:lvl w:ilvl="1">
      <w:lvlJc w:val="left"/>
      <w:lvlText w:val="%2."/>
      <w:numFmt w:val="lowerLetter"/>
      <w:start w:val="1"/>
    </w:lvl>
  </w:abstractNum>
  <w:abstractNum w:abstractNumId="244">
    <w:nsid w:val="59B76E28"/>
    <w:multiLevelType w:val="hybridMultilevel"/>
    <w:lvl w:ilvl="0">
      <w:lvlJc w:val="left"/>
      <w:lvlText w:val="%1"/>
      <w:numFmt w:val="decimal"/>
      <w:start w:val="1"/>
    </w:lvl>
    <w:lvl w:ilvl="1">
      <w:lvlJc w:val="left"/>
      <w:lvlText w:val="%2."/>
      <w:numFmt w:val="lowerLetter"/>
      <w:start w:val="4"/>
    </w:lvl>
  </w:abstractNum>
  <w:abstractNum w:abstractNumId="245">
    <w:nsid w:val="4252C2DA"/>
    <w:multiLevelType w:val="hybridMultilevel"/>
    <w:lvl w:ilvl="0">
      <w:lvlJc w:val="left"/>
      <w:lvlText w:val="%1."/>
      <w:numFmt w:val="decimal"/>
      <w:start w:val="9"/>
    </w:lvl>
    <w:lvl w:ilvl="1">
      <w:lvlJc w:val="left"/>
      <w:lvlText w:val="%2"/>
      <w:numFmt w:val="lowerLetter"/>
      <w:start w:val="1"/>
    </w:lvl>
  </w:abstractNum>
  <w:abstractNum w:abstractNumId="246">
    <w:nsid w:val="6A92EF4C"/>
    <w:multiLevelType w:val="hybridMultilevel"/>
    <w:lvl w:ilvl="0">
      <w:lvlJc w:val="left"/>
      <w:lvlText w:val="%1."/>
      <w:numFmt w:val="decimal"/>
      <w:start w:val="1"/>
    </w:lvl>
  </w:abstractNum>
  <w:abstractNum w:abstractNumId="247">
    <w:nsid w:val="41ED20D7"/>
    <w:multiLevelType w:val="hybridMultilevel"/>
    <w:lvl w:ilvl="0">
      <w:lvlJc w:val="left"/>
      <w:lvlText w:val="%1."/>
      <w:numFmt w:val="decimal"/>
      <w:start w:val="4"/>
    </w:lvl>
  </w:abstractNum>
  <w:abstractNum w:abstractNumId="248">
    <w:nsid w:val="E6B3F6A"/>
    <w:multiLevelType w:val="hybridMultilevel"/>
    <w:lvl w:ilvl="0">
      <w:lvlJc w:val="left"/>
      <w:lvlText w:val="%1."/>
      <w:numFmt w:val="decimal"/>
      <w:start w:val="5"/>
    </w:lvl>
  </w:abstractNum>
  <w:abstractNum w:abstractNumId="249">
    <w:nsid w:val="3EB21819"/>
    <w:multiLevelType w:val="hybridMultilevel"/>
    <w:lvl w:ilvl="0">
      <w:lvlJc w:val="left"/>
      <w:lvlText w:val="%1."/>
      <w:numFmt w:val="decimal"/>
      <w:start w:val="6"/>
    </w:lvl>
  </w:abstractNum>
  <w:abstractNum w:abstractNumId="250">
    <w:nsid w:val="41531DED"/>
    <w:multiLevelType w:val="hybridMultilevel"/>
    <w:lvl w:ilvl="0">
      <w:lvlJc w:val="left"/>
      <w:lvlText w:val="%1."/>
      <w:numFmt w:val="decimal"/>
      <w:start w:val="7"/>
    </w:lvl>
  </w:abstractNum>
  <w:abstractNum w:abstractNumId="251">
    <w:nsid w:val="6353CD2"/>
    <w:multiLevelType w:val="hybridMultilevel"/>
    <w:lvl w:ilvl="0">
      <w:lvlJc w:val="left"/>
      <w:lvlText w:val="%1."/>
      <w:numFmt w:val="decimal"/>
      <w:start w:val="8"/>
    </w:lvl>
    <w:lvl w:ilvl="1">
      <w:lvlJc w:val="left"/>
      <w:lvlText w:val="·"/>
      <w:numFmt w:val="bullet"/>
      <w:start w:val="1"/>
    </w:lvl>
  </w:abstractNum>
  <w:abstractNum w:abstractNumId="252">
    <w:nsid w:val="683CAAD3"/>
    <w:multiLevelType w:val="hybridMultilevel"/>
    <w:lvl w:ilvl="0">
      <w:lvlJc w:val="left"/>
      <w:lvlText w:val="·"/>
      <w:numFmt w:val="bullet"/>
      <w:start w:val="1"/>
    </w:lvl>
  </w:abstractNum>
  <w:abstractNum w:abstractNumId="253">
    <w:nsid w:val="313C7C99"/>
    <w:multiLevelType w:val="hybridMultilevel"/>
    <w:lvl w:ilvl="0">
      <w:lvlJc w:val="left"/>
      <w:lvlText w:val="%1."/>
      <w:numFmt w:val="decimal"/>
      <w:start w:val="9"/>
    </w:lvl>
  </w:abstractNum>
  <w:abstractNum w:abstractNumId="254">
    <w:nsid w:val="519EB94C"/>
    <w:multiLevelType w:val="hybridMultilevel"/>
    <w:lvl w:ilvl="0">
      <w:lvlJc w:val="left"/>
      <w:lvlText w:val="%1."/>
      <w:numFmt w:val="decimal"/>
      <w:start w:val="10"/>
    </w:lvl>
  </w:abstractNum>
  <w:abstractNum w:abstractNumId="255">
    <w:nsid w:val="39DF2579"/>
    <w:multiLevelType w:val="hybridMultilevel"/>
    <w:lvl w:ilvl="0">
      <w:lvlJc w:val="left"/>
      <w:lvlText w:val="%1."/>
      <w:numFmt w:val="decimal"/>
      <w:start w:val="11"/>
    </w:lvl>
  </w:abstractNum>
  <w:abstractNum w:abstractNumId="256">
    <w:nsid w:val="126E008B"/>
    <w:multiLevelType w:val="hybridMultilevel"/>
    <w:lvl w:ilvl="0">
      <w:lvlJc w:val="left"/>
      <w:lvlText w:val="%1."/>
      <w:numFmt w:val="decimal"/>
      <w:start w:val="12"/>
    </w:lvl>
  </w:abstractNum>
  <w:abstractNum w:abstractNumId="257">
    <w:nsid w:val="34DFBC00"/>
    <w:multiLevelType w:val="hybridMultilevel"/>
    <w:lvl w:ilvl="0">
      <w:lvlJc w:val="left"/>
      <w:lvlText w:val="%1."/>
      <w:numFmt w:val="decimal"/>
      <w:start w:val="14"/>
    </w:lvl>
  </w:abstractNum>
  <w:abstractNum w:abstractNumId="258">
    <w:nsid w:val="1F9EC322"/>
    <w:multiLevelType w:val="hybridMultilevel"/>
    <w:lvl w:ilvl="0">
      <w:lvlJc w:val="left"/>
      <w:lvlText w:val="%1."/>
      <w:numFmt w:val="decimal"/>
      <w:start w:val="15"/>
    </w:lvl>
    <w:lvl w:ilvl="1">
      <w:lvlJc w:val="left"/>
      <w:lvlText w:val="·"/>
      <w:numFmt w:val="bullet"/>
      <w:start w:val="1"/>
    </w:lvl>
  </w:abstractNum>
  <w:abstractNum w:abstractNumId="259">
    <w:nsid w:val="3410ED56"/>
    <w:multiLevelType w:val="hybridMultilevel"/>
    <w:lvl w:ilvl="0">
      <w:lvlJc w:val="left"/>
      <w:lvlText w:val="%1."/>
      <w:numFmt w:val="decimal"/>
      <w:start w:val="18"/>
    </w:lvl>
  </w:abstractNum>
  <w:abstractNum w:abstractNumId="260">
    <w:nsid w:val="23C049A"/>
    <w:multiLevelType w:val="hybridMultilevel"/>
    <w:lvl w:ilvl="0">
      <w:lvlJc w:val="left"/>
      <w:lvlText w:val="%1."/>
      <w:numFmt w:val="decimal"/>
      <w:start w:val="20"/>
    </w:lvl>
  </w:abstractNum>
  <w:abstractNum w:abstractNumId="261">
    <w:nsid w:val="5BDA35D4"/>
    <w:multiLevelType w:val="hybridMultilevel"/>
    <w:lvl w:ilvl="0">
      <w:lvlJc w:val="left"/>
      <w:lvlText w:val="%1."/>
      <w:numFmt w:val="decimal"/>
      <w:start w:val="21"/>
    </w:lvl>
  </w:abstractNum>
  <w:abstractNum w:abstractNumId="262">
    <w:nsid w:val="496FB218"/>
    <w:multiLevelType w:val="hybridMultilevel"/>
    <w:lvl w:ilvl="0">
      <w:lvlJc w:val="left"/>
      <w:lvlText w:val="%1."/>
      <w:numFmt w:val="decimal"/>
      <w:start w:val="22"/>
    </w:lvl>
  </w:abstractNum>
  <w:abstractNum w:abstractNumId="263">
    <w:nsid w:val="680EA5D1"/>
    <w:multiLevelType w:val="hybridMultilevel"/>
    <w:lvl w:ilvl="0">
      <w:lvlJc w:val="left"/>
      <w:lvlText w:val="%1."/>
      <w:numFmt w:val="decimal"/>
      <w:start w:val="23"/>
    </w:lvl>
  </w:abstractNum>
  <w:abstractNum w:abstractNumId="264">
    <w:nsid w:val="4A9554FE"/>
    <w:multiLevelType w:val="hybridMultilevel"/>
    <w:lvl w:ilvl="0">
      <w:lvlJc w:val="left"/>
      <w:lvlText w:val="%1."/>
      <w:numFmt w:val="decimal"/>
      <w:start w:val="26"/>
    </w:lvl>
  </w:abstractNum>
  <w:abstractNum w:abstractNumId="265">
    <w:nsid w:val="392EDBE4"/>
    <w:multiLevelType w:val="hybridMultilevel"/>
    <w:lvl w:ilvl="0">
      <w:lvlJc w:val="left"/>
      <w:lvlText w:val="%1."/>
      <w:numFmt w:val="decimal"/>
      <w:start w:val="27"/>
    </w:lvl>
  </w:abstractNum>
  <w:abstractNum w:abstractNumId="266">
    <w:nsid w:val="3D1A2DD9"/>
    <w:multiLevelType w:val="hybridMultilevel"/>
    <w:lvl w:ilvl="0">
      <w:lvlJc w:val="left"/>
      <w:lvlText w:val="%1."/>
      <w:numFmt w:val="decimal"/>
      <w:start w:val="29"/>
    </w:lvl>
  </w:abstractNum>
  <w:abstractNum w:abstractNumId="267">
    <w:nsid w:val="7F618FCD"/>
    <w:multiLevelType w:val="hybridMultilevel"/>
    <w:lvl w:ilvl="0">
      <w:lvlJc w:val="left"/>
      <w:lvlText w:val="%1."/>
      <w:numFmt w:val="decimal"/>
      <w:start w:val="30"/>
    </w:lvl>
  </w:abstractNum>
  <w:abstractNum w:abstractNumId="268">
    <w:nsid w:val="7843E45"/>
    <w:multiLevelType w:val="hybridMultilevel"/>
    <w:lvl w:ilvl="0">
      <w:lvlJc w:val="left"/>
      <w:lvlText w:val="%1."/>
      <w:numFmt w:val="decimal"/>
      <w:start w:val="31"/>
    </w:lvl>
  </w:abstractNum>
  <w:abstractNum w:abstractNumId="269">
    <w:nsid w:val="9815DA3"/>
    <w:multiLevelType w:val="hybridMultilevel"/>
    <w:lvl w:ilvl="0">
      <w:lvlJc w:val="left"/>
      <w:lvlText w:val="%1."/>
      <w:numFmt w:val="decimal"/>
      <w:start w:val="32"/>
    </w:lvl>
  </w:abstractNum>
  <w:abstractNum w:abstractNumId="270">
    <w:nsid w:val="5204A191"/>
    <w:multiLevelType w:val="hybridMultilevel"/>
    <w:lvl w:ilvl="0">
      <w:lvlJc w:val="left"/>
      <w:lvlText w:val="%1."/>
      <w:numFmt w:val="decimal"/>
      <w:start w:val="33"/>
    </w:lvl>
  </w:abstractNum>
  <w:abstractNum w:abstractNumId="271">
    <w:nsid w:val="4C73A9C6"/>
    <w:multiLevelType w:val="hybridMultilevel"/>
    <w:lvl w:ilvl="0">
      <w:lvlJc w:val="left"/>
      <w:lvlText w:val="%1."/>
      <w:numFmt w:val="decimal"/>
      <w:start w:val="34"/>
    </w:lvl>
  </w:abstractNum>
  <w:abstractNum w:abstractNumId="272">
    <w:nsid w:val="1C7E3C01"/>
    <w:multiLevelType w:val="hybridMultilevel"/>
    <w:lvl w:ilvl="0">
      <w:lvlJc w:val="left"/>
      <w:lvlText w:val="%1."/>
      <w:numFmt w:val="decimal"/>
      <w:start w:val="35"/>
    </w:lvl>
  </w:abstractNum>
  <w:abstractNum w:abstractNumId="273">
    <w:nsid w:val="1C2201FF"/>
    <w:multiLevelType w:val="hybridMultilevel"/>
    <w:lvl w:ilvl="0">
      <w:lvlJc w:val="left"/>
      <w:lvlText w:val="%1."/>
      <w:numFmt w:val="decimal"/>
      <w:start w:val="36"/>
    </w:lvl>
  </w:abstractNum>
  <w:abstractNum w:abstractNumId="274">
    <w:nsid w:val="50ABCEC9"/>
    <w:multiLevelType w:val="hybridMultilevel"/>
    <w:lvl w:ilvl="0">
      <w:lvlJc w:val="left"/>
      <w:lvlText w:val="%1."/>
      <w:numFmt w:val="decimal"/>
      <w:start w:val="37"/>
    </w:lvl>
  </w:abstractNum>
  <w:abstractNum w:abstractNumId="275">
    <w:nsid w:val="7635AA2A"/>
    <w:multiLevelType w:val="hybridMultilevel"/>
    <w:lvl w:ilvl="0">
      <w:lvlJc w:val="left"/>
      <w:lvlText w:val="%1."/>
      <w:numFmt w:val="decimal"/>
      <w:start w:val="38"/>
    </w:lvl>
  </w:abstractNum>
  <w:abstractNum w:abstractNumId="276">
    <w:nsid w:val="5E74C4D9"/>
    <w:multiLevelType w:val="hybridMultilevel"/>
    <w:lvl w:ilvl="0">
      <w:lvlJc w:val="left"/>
      <w:lvlText w:val="%1."/>
      <w:numFmt w:val="decimal"/>
      <w:start w:val="40"/>
    </w:lvl>
  </w:abstractNum>
  <w:abstractNum w:abstractNumId="277">
    <w:nsid w:val="3B3EBE15"/>
    <w:multiLevelType w:val="hybridMultilevel"/>
    <w:lvl w:ilvl="0">
      <w:lvlJc w:val="left"/>
      <w:lvlText w:val="%1."/>
      <w:numFmt w:val="decimal"/>
      <w:start w:val="41"/>
    </w:lvl>
  </w:abstractNum>
  <w:abstractNum w:abstractNumId="278">
    <w:nsid w:val="3822CB01"/>
    <w:multiLevelType w:val="hybridMultilevel"/>
    <w:lvl w:ilvl="0">
      <w:lvlJc w:val="left"/>
      <w:lvlText w:val="%1."/>
      <w:numFmt w:val="decimal"/>
      <w:start w:val="42"/>
    </w:lvl>
  </w:abstractNum>
  <w:abstractNum w:abstractNumId="279">
    <w:nsid w:val="6CE00443"/>
    <w:multiLevelType w:val="hybridMultilevel"/>
    <w:lvl w:ilvl="0">
      <w:lvlJc w:val="left"/>
      <w:lvlText w:val="%1."/>
      <w:numFmt w:val="decimal"/>
      <w:start w:val="43"/>
    </w:lvl>
    <w:lvl w:ilvl="1">
      <w:lvlJc w:val="left"/>
      <w:lvlText w:val="·"/>
      <w:numFmt w:val="bullet"/>
      <w:start w:val="1"/>
    </w:lvl>
  </w:abstractNum>
  <w:abstractNum w:abstractNumId="280">
    <w:nsid w:val="79F0D62F"/>
    <w:multiLevelType w:val="hybridMultilevel"/>
    <w:lvl w:ilvl="0">
      <w:lvlJc w:val="left"/>
      <w:lvlText w:val="·"/>
      <w:numFmt w:val="bullet"/>
      <w:start w:val="1"/>
    </w:lvl>
  </w:abstractNum>
  <w:abstractNum w:abstractNumId="281">
    <w:nsid w:val="7975E8EE"/>
    <w:multiLevelType w:val="hybridMultilevel"/>
    <w:lvl w:ilvl="0">
      <w:lvlJc w:val="left"/>
      <w:lvlText w:val="·"/>
      <w:numFmt w:val="bullet"/>
      <w:start w:val="1"/>
    </w:lvl>
  </w:abstractNum>
  <w:abstractNum w:abstractNumId="282">
    <w:nsid w:val="73154115"/>
    <w:multiLevelType w:val="hybridMultilevel"/>
    <w:lvl w:ilvl="0">
      <w:lvlJc w:val="left"/>
      <w:lvlText w:val="%1."/>
      <w:numFmt w:val="decimal"/>
      <w:start w:val="45"/>
    </w:lvl>
  </w:abstractNum>
  <w:abstractNum w:abstractNumId="283">
    <w:nsid w:val="622D8102"/>
    <w:multiLevelType w:val="hybridMultilevel"/>
    <w:lvl w:ilvl="0">
      <w:lvlJc w:val="left"/>
      <w:lvlText w:val="%1."/>
      <w:numFmt w:val="decimal"/>
      <w:start w:val="47"/>
    </w:lvl>
    <w:lvl w:ilvl="1">
      <w:lvlJc w:val="left"/>
      <w:lvlText w:val="·"/>
      <w:numFmt w:val="bullet"/>
      <w:start w:val="1"/>
    </w:lvl>
  </w:abstractNum>
  <w:abstractNum w:abstractNumId="284">
    <w:nsid w:val="2AB26587"/>
    <w:multiLevelType w:val="hybridMultilevel"/>
    <w:lvl w:ilvl="0">
      <w:lvlJc w:val="left"/>
      <w:lvlText w:val="%1."/>
      <w:numFmt w:val="decimal"/>
      <w:start w:val="48"/>
    </w:lvl>
  </w:abstractNum>
  <w:abstractNum w:abstractNumId="285">
    <w:nsid w:val="44B3FA61"/>
    <w:multiLevelType w:val="hybridMultilevel"/>
    <w:lvl w:ilvl="0">
      <w:lvlJc w:val="left"/>
      <w:lvlText w:val="%1."/>
      <w:numFmt w:val="decimal"/>
      <w:start w:val="50"/>
    </w:lvl>
  </w:abstractNum>
  <w:abstractNum w:abstractNumId="286">
    <w:nsid w:val="1C0CA67C"/>
    <w:multiLevelType w:val="hybridMultilevel"/>
    <w:lvl w:ilvl="0">
      <w:lvlJc w:val="left"/>
      <w:lvlText w:val="·"/>
      <w:numFmt w:val="bullet"/>
      <w:start w:val="1"/>
    </w:lvl>
  </w:abstractNum>
  <w:abstractNum w:abstractNumId="287">
    <w:nsid w:val="3D206613"/>
    <w:multiLevelType w:val="hybridMultilevel"/>
    <w:lvl w:ilvl="0">
      <w:lvlJc w:val="left"/>
      <w:lvlText w:val="·"/>
      <w:numFmt w:val="bullet"/>
      <w:start w:val="1"/>
    </w:lvl>
  </w:abstractNum>
  <w:abstractNum w:abstractNumId="288">
    <w:nsid w:val="7993B662"/>
    <w:multiLevelType w:val="hybridMultilevel"/>
    <w:lvl w:ilvl="0">
      <w:lvlJc w:val="left"/>
      <w:lvlText w:val="·"/>
      <w:numFmt w:val="bullet"/>
      <w:start w:val="1"/>
    </w:lvl>
  </w:abstractNum>
  <w:abstractNum w:abstractNumId="289">
    <w:nsid w:val="3BAB699E"/>
    <w:multiLevelType w:val="hybridMultilevel"/>
    <w:lvl w:ilvl="0">
      <w:lvlJc w:val="left"/>
      <w:lvlText w:val="%1."/>
      <w:numFmt w:val="decimal"/>
      <w:start w:val="52"/>
    </w:lvl>
    <w:lvl w:ilvl="1">
      <w:lvlJc w:val="left"/>
      <w:lvlText w:val="·"/>
      <w:numFmt w:val="bullet"/>
      <w:start w:val="1"/>
    </w:lvl>
  </w:abstractNum>
  <w:abstractNum w:abstractNumId="290">
    <w:nsid w:val="71315369"/>
    <w:multiLevelType w:val="hybridMultilevel"/>
    <w:lvl w:ilvl="0">
      <w:lvlJc w:val="left"/>
      <w:lvlText w:val="%1."/>
      <w:numFmt w:val="decimal"/>
      <w:start w:val="53"/>
    </w:lvl>
  </w:abstractNum>
  <w:abstractNum w:abstractNumId="291">
    <w:nsid w:val="7BCFBAFC"/>
    <w:multiLevelType w:val="hybridMultilevel"/>
    <w:lvl w:ilvl="0">
      <w:lvlJc w:val="left"/>
      <w:lvlText w:val="%1."/>
      <w:numFmt w:val="decimal"/>
      <w:start w:val="54"/>
    </w:lvl>
    <w:lvl w:ilvl="1">
      <w:lvlJc w:val="left"/>
      <w:lvlText w:val="·"/>
      <w:numFmt w:val="bullet"/>
      <w:start w:val="1"/>
    </w:lvl>
  </w:abstractNum>
  <w:abstractNum w:abstractNumId="292">
    <w:nsid w:val="17859F72"/>
    <w:multiLevelType w:val="hybridMultilevel"/>
    <w:lvl w:ilvl="0">
      <w:lvlJc w:val="left"/>
      <w:lvlText w:val="%1."/>
      <w:numFmt w:val="decimal"/>
      <w:start w:val="55"/>
    </w:lvl>
  </w:abstractNum>
  <w:abstractNum w:abstractNumId="293">
    <w:nsid w:val="3AA10581"/>
    <w:multiLevelType w:val="hybridMultilevel"/>
    <w:lvl w:ilvl="0">
      <w:lvlJc w:val="left"/>
      <w:lvlText w:val="%1."/>
      <w:numFmt w:val="decimal"/>
      <w:start w:val="56"/>
    </w:lvl>
  </w:abstractNum>
  <w:abstractNum w:abstractNumId="294">
    <w:nsid w:val="63DE60CD"/>
    <w:multiLevelType w:val="hybridMultilevel"/>
    <w:lvl w:ilvl="0">
      <w:lvlJc w:val="left"/>
      <w:lvlText w:val="%1."/>
      <w:numFmt w:val="decimal"/>
      <w:start w:val="57"/>
    </w:lvl>
  </w:abstractNum>
  <w:abstractNum w:abstractNumId="295">
    <w:nsid w:val="621AF471"/>
    <w:multiLevelType w:val="hybridMultilevel"/>
    <w:lvl w:ilvl="0">
      <w:lvlJc w:val="left"/>
      <w:lvlText w:val="%1."/>
      <w:numFmt w:val="decimal"/>
      <w:start w:val="59"/>
    </w:lvl>
  </w:abstractNum>
  <w:abstractNum w:abstractNumId="296">
    <w:nsid w:val="73CFE165"/>
    <w:multiLevelType w:val="hybridMultilevel"/>
    <w:lvl w:ilvl="0">
      <w:lvlJc w:val="left"/>
      <w:lvlText w:val="%1."/>
      <w:numFmt w:val="decimal"/>
      <w:start w:val="61"/>
    </w:lvl>
    <w:lvl w:ilvl="1">
      <w:lvlJc w:val="left"/>
      <w:lvlText w:val="·"/>
      <w:numFmt w:val="bullet"/>
      <w:start w:val="1"/>
    </w:lvl>
  </w:abstractNum>
  <w:abstractNum w:abstractNumId="297">
    <w:nsid w:val="20F88EA6"/>
    <w:multiLevelType w:val="hybridMultilevel"/>
    <w:lvl w:ilvl="0">
      <w:lvlJc w:val="left"/>
      <w:lvlText w:val="·"/>
      <w:numFmt w:val="bullet"/>
      <w:start w:val="1"/>
    </w:lvl>
  </w:abstractNum>
  <w:abstractNum w:abstractNumId="298">
    <w:nsid w:val="617C843E"/>
    <w:multiLevelType w:val="hybridMultilevel"/>
    <w:lvl w:ilvl="0">
      <w:lvlJc w:val="left"/>
      <w:lvlText w:val="%1."/>
      <w:numFmt w:val="decimal"/>
      <w:start w:val="62"/>
    </w:lvl>
  </w:abstractNum>
  <w:abstractNum w:abstractNumId="299">
    <w:nsid w:val="7B541FAB"/>
    <w:multiLevelType w:val="hybridMultilevel"/>
    <w:lvl w:ilvl="0">
      <w:lvlJc w:val="left"/>
      <w:lvlText w:val="%1."/>
      <w:numFmt w:val="decimal"/>
      <w:start w:val="63"/>
    </w:lvl>
  </w:abstractNum>
  <w:abstractNum w:abstractNumId="300">
    <w:nsid w:val="2A79EC49"/>
    <w:multiLevelType w:val="hybridMultilevel"/>
    <w:lvl w:ilvl="0">
      <w:lvlJc w:val="left"/>
      <w:lvlText w:val="%1."/>
      <w:numFmt w:val="decimal"/>
      <w:start w:val="64"/>
    </w:lvl>
  </w:abstractNum>
  <w:abstractNum w:abstractNumId="301">
    <w:nsid w:val="338125C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2019-12-08T05:18:34Z</dcterms:created>
  <dcterms:modified xsi:type="dcterms:W3CDTF">2019-12-08T05:18:34Z</dcterms:modified>
</cp:coreProperties>
</file>