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6"/>
          <w:szCs w:val="16"/>
          <w:b w:val="1"/>
          <w:bCs w:val="1"/>
          <w:color w:val="auto"/>
        </w:rPr>
        <w:t>PROSPECTUS</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Rule 424(b)(4)</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333-186003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333-188747</w:t>
      </w:r>
    </w:p>
    <w:p>
      <w:pPr>
        <w:spacing w:after="0" w:line="172" w:lineRule="exact"/>
        <w:rPr>
          <w:sz w:val="24"/>
          <w:szCs w:val="24"/>
          <w:color w:val="auto"/>
        </w:rPr>
      </w:pPr>
    </w:p>
    <w:p>
      <w:pPr>
        <w:ind w:left="80"/>
        <w:spacing w:after="0"/>
        <w:rPr>
          <w:sz w:val="20"/>
          <w:szCs w:val="20"/>
          <w:color w:val="auto"/>
        </w:rPr>
      </w:pPr>
      <w:r>
        <w:rPr>
          <w:rFonts w:ascii="Arial" w:cs="Arial" w:eastAsia="Arial" w:hAnsi="Arial"/>
          <w:sz w:val="29"/>
          <w:szCs w:val="29"/>
          <w:color w:val="auto"/>
        </w:rPr>
        <w:t>3,125,000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wp:posOffset>
            </wp:positionH>
            <wp:positionV relativeFrom="paragraph">
              <wp:posOffset>218440</wp:posOffset>
            </wp:positionV>
            <wp:extent cx="1296670" cy="396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6670" cy="396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1" w:lineRule="exact"/>
        <w:rPr>
          <w:sz w:val="24"/>
          <w:szCs w:val="24"/>
          <w:color w:val="auto"/>
        </w:rPr>
      </w:pPr>
    </w:p>
    <w:p>
      <w:pPr>
        <w:ind w:right="120"/>
        <w:spacing w:after="0" w:line="277" w:lineRule="auto"/>
        <w:rPr>
          <w:sz w:val="20"/>
          <w:szCs w:val="20"/>
          <w:color w:val="auto"/>
        </w:rPr>
      </w:pPr>
      <w:r>
        <w:rPr>
          <w:rFonts w:ascii="Arial" w:cs="Arial" w:eastAsia="Arial" w:hAnsi="Arial"/>
          <w:sz w:val="16"/>
          <w:szCs w:val="16"/>
          <w:color w:val="auto"/>
        </w:rPr>
        <w:t>Alcobra Ltd. is offering its ordinary shares in an initial public offering. No public market currently exists for our ordinary shares. The initial public offering price of our ordinary shares is $8.00 per share.</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Our ordinary shares have been approved for listing on The NASDAQ Capital Market under the symbol “ADHD”.</w:t>
      </w:r>
    </w:p>
    <w:p>
      <w:pPr>
        <w:spacing w:after="0" w:line="200" w:lineRule="exact"/>
        <w:rPr>
          <w:sz w:val="24"/>
          <w:szCs w:val="24"/>
          <w:color w:val="auto"/>
        </w:rPr>
      </w:pPr>
    </w:p>
    <w:p>
      <w:pPr>
        <w:ind w:right="320"/>
        <w:spacing w:after="0" w:line="27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will be subject to reduced public company reporting requirements.</w:t>
      </w:r>
    </w:p>
    <w:p>
      <w:pPr>
        <w:spacing w:after="0" w:line="148" w:lineRule="exact"/>
        <w:rPr>
          <w:sz w:val="24"/>
          <w:szCs w:val="24"/>
          <w:color w:val="auto"/>
        </w:rPr>
      </w:pPr>
    </w:p>
    <w:p>
      <w:pPr>
        <w:ind w:right="20"/>
        <w:spacing w:after="0" w:line="282" w:lineRule="auto"/>
        <w:rPr>
          <w:sz w:val="20"/>
          <w:szCs w:val="20"/>
          <w:color w:val="auto"/>
        </w:rPr>
      </w:pPr>
      <w:r>
        <w:rPr>
          <w:rFonts w:ascii="Arial" w:cs="Arial" w:eastAsia="Arial" w:hAnsi="Arial"/>
          <w:sz w:val="16"/>
          <w:szCs w:val="16"/>
          <w:b w:val="1"/>
          <w:bCs w:val="1"/>
          <w:color w:val="auto"/>
        </w:rPr>
        <w:t>Investing in our ordinary shares involves a high degree of risk. See “Risk Factors” beginning on page 5 of this prospectus for a discussion of information that should be considered in connection with an investment in our ordinary shares.</w:t>
      </w:r>
    </w:p>
    <w:p>
      <w:pPr>
        <w:spacing w:after="0" w:line="144" w:lineRule="exact"/>
        <w:rPr>
          <w:sz w:val="24"/>
          <w:szCs w:val="24"/>
          <w:color w:val="auto"/>
        </w:rPr>
      </w:pPr>
    </w:p>
    <w:p>
      <w:pPr>
        <w:ind w:right="16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b w:val="1"/>
                <w:bCs w:val="1"/>
                <w:color w:val="auto"/>
              </w:rPr>
              <w:t>Per Share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Total</w:t>
            </w:r>
          </w:p>
        </w:tc>
      </w:tr>
      <w:tr>
        <w:trPr>
          <w:trHeight w:val="192"/>
        </w:trPr>
        <w:tc>
          <w:tcPr>
            <w:tcW w:w="50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340" w:type="dxa"/>
            <w:vAlign w:val="bottom"/>
          </w:tcPr>
          <w:p>
            <w:pPr>
              <w:spacing w:after="0"/>
              <w:rPr>
                <w:sz w:val="16"/>
                <w:szCs w:val="16"/>
                <w:color w:val="auto"/>
              </w:rPr>
            </w:pPr>
          </w:p>
        </w:tc>
        <w:tc>
          <w:tcPr>
            <w:tcW w:w="1440" w:type="dxa"/>
            <w:vAlign w:val="bottom"/>
            <w:tcBorders>
              <w:top w:val="single" w:sz="8" w:color="auto"/>
            </w:tcBorders>
          </w:tcPr>
          <w:p>
            <w:pPr>
              <w:jc w:val="right"/>
              <w:ind w:right="128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320" w:type="dxa"/>
            <w:vAlign w:val="bottom"/>
          </w:tcPr>
          <w:p>
            <w:pPr>
              <w:spacing w:after="0"/>
              <w:rPr>
                <w:sz w:val="16"/>
                <w:szCs w:val="16"/>
                <w:color w:val="auto"/>
              </w:rPr>
            </w:pPr>
          </w:p>
        </w:tc>
        <w:tc>
          <w:tcPr>
            <w:tcW w:w="44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25,000,000</w:t>
            </w:r>
          </w:p>
        </w:tc>
        <w:tc>
          <w:tcPr>
            <w:tcW w:w="120" w:type="dxa"/>
            <w:vAlign w:val="bottom"/>
          </w:tcPr>
          <w:p>
            <w:pPr>
              <w:spacing w:after="0"/>
              <w:rPr>
                <w:sz w:val="16"/>
                <w:szCs w:val="16"/>
                <w:color w:val="auto"/>
              </w:rPr>
            </w:pPr>
          </w:p>
        </w:tc>
      </w:tr>
      <w:tr>
        <w:trPr>
          <w:trHeight w:val="192"/>
        </w:trPr>
        <w:tc>
          <w:tcPr>
            <w:tcW w:w="50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w:t>
            </w:r>
          </w:p>
        </w:tc>
        <w:tc>
          <w:tcPr>
            <w:tcW w:w="3780" w:type="dxa"/>
            <w:vAlign w:val="bottom"/>
            <w:gridSpan w:val="2"/>
            <w:shd w:val="clear" w:color="auto" w:fill="CCFFCC"/>
          </w:tcPr>
          <w:p>
            <w:pPr>
              <w:jc w:val="right"/>
              <w:ind w:right="1282"/>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0.56</w:t>
            </w:r>
          </w:p>
        </w:tc>
        <w:tc>
          <w:tcPr>
            <w:tcW w:w="440" w:type="dxa"/>
            <w:vAlign w:val="bottom"/>
            <w:shd w:val="clear" w:color="auto" w:fill="CCFFCC"/>
          </w:tcPr>
          <w:p>
            <w:pPr>
              <w:jc w:val="right"/>
              <w:ind w:right="260"/>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1,750,000</w:t>
            </w:r>
          </w:p>
        </w:tc>
      </w:tr>
      <w:tr>
        <w:trPr>
          <w:trHeight w:val="205"/>
        </w:trPr>
        <w:tc>
          <w:tcPr>
            <w:tcW w:w="500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780" w:type="dxa"/>
            <w:vAlign w:val="bottom"/>
            <w:gridSpan w:val="2"/>
          </w:tcPr>
          <w:p>
            <w:pPr>
              <w:jc w:val="right"/>
              <w:ind w:right="1282"/>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7.44</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23,250,000</w:t>
            </w:r>
          </w:p>
        </w:tc>
      </w:tr>
    </w:tbl>
    <w:p>
      <w:pPr>
        <w:spacing w:after="0" w:line="167" w:lineRule="exact"/>
        <w:rPr>
          <w:sz w:val="24"/>
          <w:szCs w:val="24"/>
          <w:color w:val="auto"/>
        </w:rPr>
      </w:pPr>
    </w:p>
    <w:p>
      <w:pPr>
        <w:ind w:right="360"/>
        <w:spacing w:after="0" w:line="277" w:lineRule="auto"/>
        <w:rPr>
          <w:sz w:val="20"/>
          <w:szCs w:val="20"/>
          <w:color w:val="auto"/>
        </w:rPr>
      </w:pPr>
      <w:r>
        <w:rPr>
          <w:rFonts w:ascii="Arial" w:cs="Arial" w:eastAsia="Arial" w:hAnsi="Arial"/>
          <w:sz w:val="16"/>
          <w:szCs w:val="16"/>
          <w:color w:val="auto"/>
        </w:rPr>
        <w:t>The underwriters will receive compensation in addition to the underwriting discounts and commissions. See “Underwriting” for a description of compensation payable to the underwriters.</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We have granted a 45-day option to the underwriters to purchase up to 458,125 additional ordinary shares solely to cover over-allotments, if any.</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underwriters expect to deliver the shares to purchasers in the offering on or about May 28, 2013.</w:t>
      </w: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8060" w:type="dxa"/>
            <w:vAlign w:val="bottom"/>
            <w:gridSpan w:val="2"/>
          </w:tcPr>
          <w:p>
            <w:pPr>
              <w:jc w:val="center"/>
              <w:ind w:right="3280"/>
              <w:spacing w:after="0"/>
              <w:rPr>
                <w:sz w:val="20"/>
                <w:szCs w:val="20"/>
                <w:color w:val="auto"/>
              </w:rPr>
            </w:pPr>
            <w:r>
              <w:rPr>
                <w:rFonts w:ascii="Arial" w:cs="Arial" w:eastAsia="Arial" w:hAnsi="Arial"/>
                <w:sz w:val="16"/>
                <w:szCs w:val="16"/>
                <w:i w:val="1"/>
                <w:iCs w:val="1"/>
                <w:color w:val="auto"/>
                <w:w w:val="90"/>
              </w:rPr>
              <w:t>Sole Book-Running Manager</w:t>
            </w:r>
          </w:p>
        </w:tc>
      </w:tr>
      <w:tr>
        <w:trPr>
          <w:trHeight w:val="531"/>
        </w:trPr>
        <w:tc>
          <w:tcPr>
            <w:tcW w:w="3380" w:type="dxa"/>
            <w:vAlign w:val="bottom"/>
          </w:tcPr>
          <w:p>
            <w:pPr>
              <w:spacing w:after="0"/>
              <w:rPr>
                <w:sz w:val="24"/>
                <w:szCs w:val="24"/>
                <w:color w:val="auto"/>
              </w:rPr>
            </w:pPr>
          </w:p>
        </w:tc>
        <w:tc>
          <w:tcPr>
            <w:tcW w:w="8060" w:type="dxa"/>
            <w:vAlign w:val="bottom"/>
            <w:gridSpan w:val="2"/>
          </w:tcPr>
          <w:p>
            <w:pPr>
              <w:jc w:val="center"/>
              <w:ind w:right="3280"/>
              <w:spacing w:after="0"/>
              <w:rPr>
                <w:sz w:val="20"/>
                <w:szCs w:val="20"/>
                <w:color w:val="auto"/>
              </w:rPr>
            </w:pPr>
            <w:r>
              <w:rPr>
                <w:rFonts w:ascii="Arial" w:cs="Arial" w:eastAsia="Arial" w:hAnsi="Arial"/>
                <w:sz w:val="29"/>
                <w:szCs w:val="29"/>
                <w:b w:val="1"/>
                <w:bCs w:val="1"/>
                <w:color w:val="auto"/>
                <w:w w:val="91"/>
              </w:rPr>
              <w:t>Aegis Capital Corp</w:t>
            </w:r>
          </w:p>
        </w:tc>
      </w:tr>
      <w:tr>
        <w:trPr>
          <w:trHeight w:val="154"/>
        </w:trPr>
        <w:tc>
          <w:tcPr>
            <w:tcW w:w="33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5720" w:type="dxa"/>
            <w:vAlign w:val="bottom"/>
          </w:tcPr>
          <w:p>
            <w:pPr>
              <w:spacing w:after="0"/>
              <w:rPr>
                <w:sz w:val="13"/>
                <w:szCs w:val="13"/>
                <w:color w:val="auto"/>
              </w:rPr>
            </w:pPr>
          </w:p>
        </w:tc>
      </w:tr>
      <w:tr>
        <w:trPr>
          <w:trHeight w:val="569"/>
        </w:trPr>
        <w:tc>
          <w:tcPr>
            <w:tcW w:w="3380" w:type="dxa"/>
            <w:vAlign w:val="bottom"/>
          </w:tcPr>
          <w:p>
            <w:pPr>
              <w:spacing w:after="0"/>
              <w:rPr>
                <w:sz w:val="24"/>
                <w:szCs w:val="24"/>
                <w:color w:val="auto"/>
              </w:rPr>
            </w:pPr>
          </w:p>
        </w:tc>
        <w:tc>
          <w:tcPr>
            <w:tcW w:w="8060" w:type="dxa"/>
            <w:vAlign w:val="bottom"/>
            <w:gridSpan w:val="2"/>
          </w:tcPr>
          <w:p>
            <w:pPr>
              <w:jc w:val="center"/>
              <w:ind w:right="3280"/>
              <w:spacing w:after="0"/>
              <w:rPr>
                <w:sz w:val="20"/>
                <w:szCs w:val="20"/>
                <w:color w:val="auto"/>
              </w:rPr>
            </w:pPr>
            <w:r>
              <w:rPr>
                <w:rFonts w:ascii="Arial" w:cs="Arial" w:eastAsia="Arial" w:hAnsi="Arial"/>
                <w:sz w:val="16"/>
                <w:szCs w:val="16"/>
                <w:i w:val="1"/>
                <w:iCs w:val="1"/>
                <w:color w:val="auto"/>
                <w:w w:val="92"/>
              </w:rPr>
              <w:t>Co-Managers</w:t>
            </w:r>
          </w:p>
        </w:tc>
      </w:tr>
      <w:tr>
        <w:trPr>
          <w:trHeight w:val="480"/>
        </w:trPr>
        <w:tc>
          <w:tcPr>
            <w:tcW w:w="3380" w:type="dxa"/>
            <w:vAlign w:val="bottom"/>
          </w:tcPr>
          <w:p>
            <w:pPr>
              <w:spacing w:after="0"/>
              <w:rPr>
                <w:sz w:val="20"/>
                <w:szCs w:val="20"/>
                <w:color w:val="auto"/>
              </w:rPr>
            </w:pPr>
            <w:r>
              <w:rPr>
                <w:rFonts w:ascii="Arial" w:cs="Arial" w:eastAsia="Arial" w:hAnsi="Arial"/>
                <w:sz w:val="24"/>
                <w:szCs w:val="24"/>
                <w:b w:val="1"/>
                <w:bCs w:val="1"/>
                <w:color w:val="auto"/>
              </w:rPr>
              <w:t>Sunrise Securities Corp.</w:t>
            </w:r>
          </w:p>
        </w:tc>
        <w:tc>
          <w:tcPr>
            <w:tcW w:w="2340" w:type="dxa"/>
            <w:vAlign w:val="bottom"/>
          </w:tcPr>
          <w:p>
            <w:pPr>
              <w:spacing w:after="0"/>
              <w:rPr>
                <w:sz w:val="24"/>
                <w:szCs w:val="24"/>
                <w:color w:val="auto"/>
              </w:rPr>
            </w:pPr>
          </w:p>
        </w:tc>
        <w:tc>
          <w:tcPr>
            <w:tcW w:w="5720" w:type="dxa"/>
            <w:vAlign w:val="bottom"/>
          </w:tcPr>
          <w:p>
            <w:pPr>
              <w:ind w:left="3920"/>
              <w:spacing w:after="0"/>
              <w:rPr>
                <w:sz w:val="20"/>
                <w:szCs w:val="20"/>
                <w:color w:val="auto"/>
              </w:rPr>
            </w:pPr>
            <w:r>
              <w:rPr>
                <w:rFonts w:ascii="Arial" w:cs="Arial" w:eastAsia="Arial" w:hAnsi="Arial"/>
                <w:sz w:val="24"/>
                <w:szCs w:val="24"/>
                <w:b w:val="1"/>
                <w:bCs w:val="1"/>
                <w:color w:val="auto"/>
                <w:w w:val="93"/>
              </w:rPr>
              <w:t>Feltl &amp; Company</w:t>
            </w:r>
          </w:p>
        </w:tc>
      </w:tr>
      <w:tr>
        <w:trPr>
          <w:trHeight w:val="565"/>
        </w:trPr>
        <w:tc>
          <w:tcPr>
            <w:tcW w:w="3380" w:type="dxa"/>
            <w:vAlign w:val="bottom"/>
          </w:tcPr>
          <w:p>
            <w:pPr>
              <w:spacing w:after="0"/>
              <w:rPr>
                <w:sz w:val="24"/>
                <w:szCs w:val="24"/>
                <w:color w:val="auto"/>
              </w:rPr>
            </w:pPr>
          </w:p>
        </w:tc>
        <w:tc>
          <w:tcPr>
            <w:tcW w:w="8060" w:type="dxa"/>
            <w:vAlign w:val="bottom"/>
            <w:gridSpan w:val="2"/>
          </w:tcPr>
          <w:p>
            <w:pPr>
              <w:jc w:val="center"/>
              <w:ind w:right="3260"/>
              <w:spacing w:after="0"/>
              <w:rPr>
                <w:sz w:val="20"/>
                <w:szCs w:val="20"/>
                <w:color w:val="auto"/>
              </w:rPr>
            </w:pPr>
            <w:r>
              <w:rPr>
                <w:rFonts w:ascii="Arial" w:cs="Arial" w:eastAsia="Arial" w:hAnsi="Arial"/>
                <w:sz w:val="16"/>
                <w:szCs w:val="16"/>
                <w:color w:val="auto"/>
                <w:w w:val="90"/>
              </w:rPr>
              <w:t>The date of this prospectus is May 21, 2013.</w:t>
            </w:r>
          </w:p>
        </w:tc>
      </w:tr>
      <w:tr>
        <w:trPr>
          <w:trHeight w:val="589"/>
        </w:trPr>
        <w:tc>
          <w:tcPr>
            <w:tcW w:w="3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19" w:right="21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531495</wp:posOffset>
            </wp:positionV>
            <wp:extent cx="7261860" cy="6461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646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878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r>
      <w:tr>
        <w:trPr>
          <w:trHeight w:val="372"/>
        </w:trPr>
        <w:tc>
          <w:tcPr>
            <w:tcW w:w="8780" w:type="dxa"/>
            <w:vAlign w:val="bottom"/>
          </w:tcPr>
          <w:p>
            <w:pPr>
              <w:spacing w:after="0"/>
              <w:rPr>
                <w:sz w:val="24"/>
                <w:szCs w:val="24"/>
                <w:color w:val="auto"/>
              </w:rPr>
            </w:pPr>
          </w:p>
        </w:tc>
        <w:tc>
          <w:tcPr>
            <w:tcW w:w="2660" w:type="dxa"/>
            <w:vAlign w:val="bottom"/>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Prospectus Summary</w:t>
            </w:r>
          </w:p>
        </w:tc>
        <w:tc>
          <w:tcPr>
            <w:tcW w:w="2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Risk Factors</w:t>
            </w:r>
          </w:p>
        </w:tc>
        <w:tc>
          <w:tcPr>
            <w:tcW w:w="2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Use of Proceeds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Dividend Policy</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Capitalization</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Business</w:t>
            </w:r>
          </w:p>
        </w:tc>
        <w:tc>
          <w:tcPr>
            <w:tcW w:w="2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w:t>
            </w:r>
          </w:p>
        </w:tc>
        <w:tc>
          <w:tcPr>
            <w:tcW w:w="2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Principal Shareholders</w:t>
            </w:r>
          </w:p>
        </w:tc>
        <w:tc>
          <w:tcPr>
            <w:tcW w:w="2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Description of Share Capital</w:t>
            </w:r>
          </w:p>
        </w:tc>
        <w:tc>
          <w:tcPr>
            <w:tcW w:w="2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Shares Eligible for Future Sale</w:t>
            </w:r>
          </w:p>
        </w:tc>
        <w:tc>
          <w:tcPr>
            <w:tcW w:w="2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Taxation</w:t>
            </w:r>
          </w:p>
        </w:tc>
        <w:tc>
          <w:tcPr>
            <w:tcW w:w="2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Underwriting</w:t>
            </w:r>
          </w:p>
        </w:tc>
        <w:tc>
          <w:tcPr>
            <w:tcW w:w="2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Expenses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Legal Matters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Experts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Enforceability of Civil Liabilities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2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Index of 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305435</wp:posOffset>
            </wp:positionV>
            <wp:extent cx="2700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00" w:firstLine="357"/>
        <w:spacing w:after="0" w:line="26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65"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Until and including June 15, 2013, 25 days after the date of this prospectus, all dealers that buy, sell or trade our ordinary shares,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62"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171450</wp:posOffset>
            </wp:positionV>
            <wp:extent cx="2700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prospectus, “we,” “us,” “our,” the “Company” and “Alcobra” refer to Alcobra Ltd.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reporting currency and functional currency is the U.S. dollar.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0" w:right="140" w:firstLine="352"/>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Our Company</w:t>
      </w:r>
    </w:p>
    <w:p>
      <w:pPr>
        <w:spacing w:after="0" w:line="204" w:lineRule="exact"/>
        <w:rPr>
          <w:sz w:val="20"/>
          <w:szCs w:val="20"/>
          <w:color w:val="auto"/>
        </w:rPr>
      </w:pPr>
    </w:p>
    <w:p>
      <w:pPr>
        <w:ind w:left="20" w:right="20" w:firstLine="346"/>
        <w:spacing w:after="0" w:line="27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0" w:lineRule="exact"/>
        <w:rPr>
          <w:sz w:val="20"/>
          <w:szCs w:val="20"/>
          <w:color w:val="auto"/>
        </w:rPr>
      </w:pPr>
    </w:p>
    <w:p>
      <w:pPr>
        <w:ind w:left="20" w:right="20" w:firstLine="346"/>
        <w:spacing w:after="0" w:line="254" w:lineRule="auto"/>
        <w:rPr>
          <w:sz w:val="20"/>
          <w:szCs w:val="20"/>
          <w:color w:val="auto"/>
        </w:rPr>
      </w:pPr>
      <w:r>
        <w:rPr>
          <w:rFonts w:ascii="Arial" w:cs="Arial" w:eastAsia="Arial" w:hAnsi="Arial"/>
          <w:sz w:val="16"/>
          <w:szCs w:val="16"/>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2" w:lineRule="exact"/>
        <w:rPr>
          <w:sz w:val="20"/>
          <w:szCs w:val="20"/>
          <w:color w:val="auto"/>
        </w:rPr>
      </w:pPr>
    </w:p>
    <w:p>
      <w:pPr>
        <w:ind w:left="20"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left="20" w:firstLine="346"/>
        <w:spacing w:after="0" w:line="271"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4" w:lineRule="exact"/>
        <w:rPr>
          <w:sz w:val="20"/>
          <w:szCs w:val="20"/>
          <w:color w:val="auto"/>
        </w:rPr>
      </w:pPr>
    </w:p>
    <w:p>
      <w:pPr>
        <w:ind w:left="20" w:firstLine="346"/>
        <w:spacing w:after="0" w:line="256"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left="20" w:firstLine="335"/>
        <w:spacing w:after="0" w:line="278" w:lineRule="auto"/>
        <w:rPr>
          <w:sz w:val="20"/>
          <w:szCs w:val="20"/>
          <w:color w:val="auto"/>
        </w:rPr>
      </w:pPr>
      <w:r>
        <w:rPr>
          <w:rFonts w:ascii="Arial" w:cs="Arial" w:eastAsia="Arial" w:hAnsi="Arial"/>
          <w:sz w:val="15"/>
          <w:szCs w:val="15"/>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20" w:top="820"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6"/>
          <w:szCs w:val="16"/>
          <w:color w:val="auto"/>
        </w:rPr>
        <w:t>To achieve these objectives, we plan to:</w:t>
      </w:r>
    </w:p>
    <w:p>
      <w:pPr>
        <w:spacing w:after="0" w:line="200" w:lineRule="exact"/>
        <w:rPr>
          <w:sz w:val="20"/>
          <w:szCs w:val="20"/>
          <w:color w:val="auto"/>
        </w:rPr>
      </w:pPr>
    </w:p>
    <w:p>
      <w:pPr>
        <w:ind w:left="580" w:right="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51" w:lineRule="exact"/>
        <w:rPr>
          <w:rFonts w:ascii="Arial" w:cs="Arial" w:eastAsia="Arial" w:hAnsi="Arial"/>
          <w:sz w:val="16"/>
          <w:szCs w:val="16"/>
          <w:color w:val="A6A6A6"/>
        </w:rPr>
      </w:pPr>
    </w:p>
    <w:p>
      <w:pPr>
        <w:ind w:left="580" w:right="2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51" w:lineRule="exact"/>
        <w:rPr>
          <w:rFonts w:ascii="Arial" w:cs="Arial" w:eastAsia="Arial" w:hAnsi="Arial"/>
          <w:sz w:val="16"/>
          <w:szCs w:val="16"/>
          <w:color w:val="A6A6A6"/>
        </w:rPr>
      </w:pPr>
    </w:p>
    <w:p>
      <w:pPr>
        <w:ind w:left="580" w:right="4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clinical trials in Japan for both adult and pediatric ADHD, and, if successful, file for marketing approval of such uses in that country.</w:t>
      </w:r>
    </w:p>
    <w:p>
      <w:pPr>
        <w:spacing w:after="0" w:line="151"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After receipt of marketing approval, 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6" w:lineRule="exact"/>
        <w:rPr>
          <w:sz w:val="20"/>
          <w:szCs w:val="20"/>
          <w:color w:val="auto"/>
        </w:rPr>
      </w:pPr>
    </w:p>
    <w:p>
      <w:pPr>
        <w:jc w:val="both"/>
        <w:ind w:right="260" w:firstLine="360"/>
        <w:spacing w:after="0" w:line="241" w:lineRule="auto"/>
        <w:rPr>
          <w:sz w:val="20"/>
          <w:szCs w:val="20"/>
          <w:color w:val="auto"/>
        </w:rPr>
      </w:pPr>
      <w:r>
        <w:rPr>
          <w:rFonts w:ascii="Arial" w:cs="Arial" w:eastAsia="Arial" w:hAnsi="Arial"/>
          <w:sz w:val="15"/>
          <w:szCs w:val="15"/>
          <w:color w:val="auto"/>
        </w:rPr>
        <w:t>We are an Israeli corporation based in Tel Aviv and were incorporated in 2008. Our principal executive offices are located at 35 Ehad Ha-Am Street,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Tel-Aviv,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204" w:lineRule="exact"/>
        <w:rPr>
          <w:sz w:val="20"/>
          <w:szCs w:val="20"/>
          <w:color w:val="auto"/>
        </w:rPr>
      </w:pPr>
    </w:p>
    <w:p>
      <w:pPr>
        <w:ind w:right="180" w:firstLine="352"/>
        <w:spacing w:after="0" w:line="277" w:lineRule="auto"/>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 You should read these risks before you invest in our ordinary shares. In particular, our risks include, but are not limited to, the following:</w:t>
      </w:r>
    </w:p>
    <w:p>
      <w:pPr>
        <w:spacing w:after="0" w:line="152" w:lineRule="exact"/>
        <w:rPr>
          <w:sz w:val="20"/>
          <w:szCs w:val="20"/>
          <w:color w:val="auto"/>
        </w:rPr>
      </w:pPr>
    </w:p>
    <w:p>
      <w:pPr>
        <w:ind w:left="580" w:hanging="296"/>
        <w:spacing w:after="0" w:line="278" w:lineRule="auto"/>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54" w:lineRule="exact"/>
        <w:rPr>
          <w:rFonts w:ascii="Arial" w:cs="Arial" w:eastAsia="Arial" w:hAnsi="Arial"/>
          <w:sz w:val="15"/>
          <w:szCs w:val="15"/>
          <w:color w:val="A6A6A6"/>
        </w:rPr>
      </w:pPr>
    </w:p>
    <w:p>
      <w:pPr>
        <w:ind w:left="580" w:hanging="296"/>
        <w:spacing w:after="0"/>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Our data from future clinical trials may not satisfy the FDA, or the FDA may require additional time or studies to assess the safety and efficacy of MG01CI.</w:t>
      </w:r>
    </w:p>
    <w:p>
      <w:pPr>
        <w:spacing w:after="0" w:line="211" w:lineRule="exact"/>
        <w:rPr>
          <w:rFonts w:ascii="Arial" w:cs="Arial" w:eastAsia="Arial" w:hAnsi="Arial"/>
          <w:sz w:val="15"/>
          <w:szCs w:val="15"/>
          <w:color w:val="A6A6A6"/>
        </w:rPr>
      </w:pPr>
    </w:p>
    <w:p>
      <w:pPr>
        <w:ind w:left="580" w:hanging="296"/>
        <w:spacing w:after="0" w:line="259"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66" w:lineRule="exact"/>
        <w:rPr>
          <w:rFonts w:ascii="Arial" w:cs="Arial" w:eastAsia="Arial" w:hAnsi="Arial"/>
          <w:sz w:val="16"/>
          <w:szCs w:val="16"/>
          <w:color w:val="A6A6A6"/>
        </w:rPr>
      </w:pPr>
    </w:p>
    <w:p>
      <w:pPr>
        <w:ind w:left="580" w:right="1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We have no sources of revenue and will need to raise substantial additional capital to successfully commercialize MG01CI, and such capital may not be available to us or available only on unfavorable terms.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 w:name="page6"/>
    <w:bookmarkEnd w:id="5"/>
    <w:p>
      <w:pPr>
        <w:ind w:left="580" w:right="80" w:hanging="296"/>
        <w:spacing w:after="0" w:line="282" w:lineRule="auto"/>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We do not have any issued patents relating to our MG01CI technology, but one of our patent applications has been allowed by the U.S. Patent and Trademark Office, or U.S. PTO.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50" w:lineRule="exact"/>
        <w:rPr>
          <w:rFonts w:ascii="Arial" w:cs="Arial" w:eastAsia="Arial" w:hAnsi="Arial"/>
          <w:sz w:val="15"/>
          <w:szCs w:val="15"/>
          <w:color w:val="A6A6A6"/>
        </w:rPr>
      </w:pPr>
    </w:p>
    <w:p>
      <w:pPr>
        <w:ind w:left="580" w:right="40" w:hanging="296"/>
        <w:spacing w:after="0" w:line="277"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As a public company following the conclusion of this offering, we will need to comply with extensive additional governmental regulations, which will be expensive and which will require significant management attention.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6"/>
                <w:szCs w:val="16"/>
                <w:b w:val="1"/>
                <w:bCs w:val="1"/>
                <w:color w:val="auto"/>
              </w:rPr>
              <w:t>THE OFFERING</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Ordinary shares offered by us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3,125,000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Ordinary shares to be outstanding after this offering</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11,126,884 shares</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Over-allotment option</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The underwriters have an option for a period of 45 days to purchase up to 458,125 additional ordinary shares</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to cover over-allotments, if any.</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Use of proceeds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We expect to receive approximately $22.2 million in net proceeds from the sale of 3,125,000 ordinary shares</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5"/>
              </w:rPr>
              <w:t>offered by us in this offering (approximately $25.6 million if the underwriters exercise their over-allotment</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6"/>
              </w:rPr>
              <w:t>option in full), after deducting estimated underwriting discounts and commissions and offering expenses</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payable by us. We currently expect to use the net proceeds from this offering for:</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2"/>
              </w:rPr>
              <w:t>completing at least two advanced clinical trials of MG01CI for adult ADHD, estimated at $6,000,000</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each;</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completing a Phase I/II clinical study in children for MG01CI, estimated at $1,000,000 to</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$2,000,000;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3"/>
              </w:rPr>
              <w:t>preparing for our proposed studies in adults and children for MG01CI, including engaging the FDA</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in discussions related to protocols for the trials, estimated at $1,000,000 to $3,000,000;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4"/>
              </w:rPr>
              <w:t>evaluating MG01CI in Phase II clinical trials of additional disorders of cognitive function estimated</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Arial" w:cs="Arial" w:eastAsia="Arial" w:hAnsi="Arial"/>
                <w:sz w:val="16"/>
                <w:szCs w:val="16"/>
                <w:color w:val="auto"/>
              </w:rPr>
              <w:t>at $1,000,000 to $2,000,000; and</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the remainder for working capital and general corporate purposes.</w:t>
            </w:r>
          </w:p>
        </w:tc>
      </w:tr>
      <w:tr>
        <w:trPr>
          <w:trHeight w:val="564"/>
        </w:trPr>
        <w:tc>
          <w:tcPr>
            <w:tcW w:w="3820" w:type="dxa"/>
            <w:vAlign w:val="bottom"/>
          </w:tcPr>
          <w:p>
            <w:pPr>
              <w:spacing w:after="0"/>
              <w:rPr>
                <w:sz w:val="20"/>
                <w:szCs w:val="20"/>
                <w:color w:val="auto"/>
              </w:rPr>
            </w:pPr>
            <w:r>
              <w:rPr>
                <w:rFonts w:ascii="Arial" w:cs="Arial" w:eastAsia="Arial" w:hAnsi="Arial"/>
                <w:sz w:val="16"/>
                <w:szCs w:val="16"/>
                <w:color w:val="auto"/>
              </w:rPr>
              <w:t>Risk factors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You should read the “Risk Factors” section starting on page 5 of this prospectus for a discussion of factors to</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consider carefully before deciding to invest in ordinary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NASDAQ Capital Market Symbol</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“ADHD"</w:t>
            </w:r>
          </w:p>
        </w:tc>
      </w:tr>
    </w:tbl>
    <w:p>
      <w:pPr>
        <w:spacing w:after="0" w:line="180" w:lineRule="exact"/>
        <w:rPr>
          <w:sz w:val="20"/>
          <w:szCs w:val="20"/>
          <w:color w:val="auto"/>
        </w:rPr>
      </w:pPr>
    </w:p>
    <w:p>
      <w:pPr>
        <w:ind w:firstLine="357"/>
        <w:spacing w:after="0" w:line="257"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April 1, 2013 (giving prospective effect to the issuance on May 19, 2013 of bonus shares equivalent to a stock split described below) and includes also: (i) 122,436 shares resulting from the mandatory conversion of our outstanding convertible notes upon closing of this offering and (ii) 85,192 shares issued contingent upon the closing of this offering consequent to cashless exercise of 129,257 warrants outstanding as of April 1, 2013 having a weighted average exercise price of $2.73 per share, at an offering price of $8.00 per share, or, the Warrant Cashless Exercise. This number excludes:</w:t>
      </w:r>
    </w:p>
    <w:p>
      <w:pPr>
        <w:spacing w:after="0" w:line="168" w:lineRule="exact"/>
        <w:rPr>
          <w:sz w:val="20"/>
          <w:szCs w:val="20"/>
          <w:color w:val="auto"/>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information in this prospectus assumes or gives effect to:</w:t>
      </w:r>
    </w:p>
    <w:p>
      <w:pPr>
        <w:spacing w:after="0" w:line="200" w:lineRule="exact"/>
        <w:rPr>
          <w:sz w:val="20"/>
          <w:szCs w:val="20"/>
          <w:color w:val="auto"/>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filing of our amended and restated articles of association, which will occur immediately prior to the completion of this offering;</w:t>
      </w:r>
    </w:p>
    <w:p>
      <w:pPr>
        <w:spacing w:after="0" w:line="200" w:lineRule="exact"/>
        <w:rPr>
          <w:rFonts w:ascii="Arial" w:cs="Arial" w:eastAsia="Arial" w:hAnsi="Arial"/>
          <w:sz w:val="16"/>
          <w:szCs w:val="16"/>
          <w:color w:val="A6A6A6"/>
        </w:rPr>
      </w:pPr>
    </w:p>
    <w:p>
      <w:pPr>
        <w:ind w:left="580" w:right="20" w:hanging="296"/>
        <w:spacing w:after="0" w:line="277" w:lineRule="auto"/>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issuance on May 19, 2013 of bonus shares under Israeli law to all of our shareholders on a basis of 4.87 bonus shares for each ordinary share outstanding (equivalent to a 5.87-for-1 stock split) and the customary adjustments to our outstanding options and warrants;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no exercise of the underwriters’ over-allotment option.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6"/>
          <w:szCs w:val="16"/>
          <w:b w:val="1"/>
          <w:bCs w:val="1"/>
          <w:color w:val="auto"/>
        </w:rPr>
        <w:t>SUMMARY FINANCIAL DATA</w:t>
      </w:r>
    </w:p>
    <w:p>
      <w:pPr>
        <w:spacing w:after="0" w:line="204" w:lineRule="exact"/>
        <w:rPr>
          <w:sz w:val="20"/>
          <w:szCs w:val="20"/>
          <w:color w:val="auto"/>
        </w:rPr>
      </w:pPr>
    </w:p>
    <w:p>
      <w:pPr>
        <w:ind w:left="4"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9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818</w:t>
            </w:r>
          </w:p>
        </w:tc>
        <w:tc>
          <w:tcPr>
            <w:tcW w:w="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78</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Loss attributable to holders of ordinary shares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1,579</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Weighted average number of ordinary shares used in computing basic and diluted net loss per share (1)</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7,791,932</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7,843,388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_____________</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 w:hanging="344"/>
        <w:spacing w:after="0" w:line="277"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20"/>
              <w:spacing w:after="0" w:line="168" w:lineRule="exact"/>
              <w:rPr>
                <w:sz w:val="20"/>
                <w:szCs w:val="20"/>
                <w:color w:val="auto"/>
              </w:rPr>
            </w:pPr>
            <w:r>
              <w:rPr>
                <w:rFonts w:ascii="Arial" w:cs="Arial" w:eastAsia="Arial" w:hAnsi="Arial"/>
                <w:sz w:val="16"/>
                <w:szCs w:val="16"/>
                <w:b w:val="1"/>
                <w:bCs w:val="1"/>
                <w:color w:val="auto"/>
                <w:w w:val="89"/>
              </w:rPr>
              <w:t>As Adjusted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6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(unaudited)(1)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22,286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4" w:hanging="344"/>
        <w:spacing w:after="0" w:line="264" w:lineRule="auto"/>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3,125,000 ordinary shares in this offering at an initial public offering price of $8.00 per share,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ind w:firstLine="370"/>
        <w:spacing w:after="0" w:line="25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Regulatory Approval and Commercialization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2" w:lineRule="exact"/>
        <w:rPr>
          <w:sz w:val="20"/>
          <w:szCs w:val="20"/>
          <w:color w:val="auto"/>
        </w:rPr>
      </w:pPr>
    </w:p>
    <w:p>
      <w:pPr>
        <w:jc w:val="both"/>
        <w:ind w:right="160" w:firstLine="370"/>
        <w:spacing w:after="0" w:line="289" w:lineRule="auto"/>
        <w:rPr>
          <w:sz w:val="20"/>
          <w:szCs w:val="20"/>
          <w:color w:val="auto"/>
        </w:rPr>
      </w:pPr>
      <w:r>
        <w:rPr>
          <w:rFonts w:ascii="Arial" w:cs="Arial" w:eastAsia="Arial" w:hAnsi="Arial"/>
          <w:sz w:val="15"/>
          <w:szCs w:val="15"/>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46" w:lineRule="exact"/>
        <w:rPr>
          <w:sz w:val="20"/>
          <w:szCs w:val="20"/>
          <w:color w:val="auto"/>
        </w:rPr>
      </w:pPr>
    </w:p>
    <w:p>
      <w:pPr>
        <w:ind w:right="40" w:firstLine="370"/>
        <w:spacing w:after="0" w:line="299" w:lineRule="auto"/>
        <w:rPr>
          <w:sz w:val="20"/>
          <w:szCs w:val="20"/>
          <w:color w:val="auto"/>
        </w:rPr>
      </w:pPr>
      <w:r>
        <w:rPr>
          <w:rFonts w:ascii="Arial" w:cs="Arial" w:eastAsia="Arial" w:hAnsi="Arial"/>
          <w:sz w:val="14"/>
          <w:szCs w:val="14"/>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42" w:lineRule="exact"/>
        <w:rPr>
          <w:sz w:val="20"/>
          <w:szCs w:val="20"/>
          <w:color w:val="auto"/>
        </w:rPr>
      </w:pPr>
    </w:p>
    <w:p>
      <w:pPr>
        <w:ind w:right="20" w:firstLine="370"/>
        <w:spacing w:after="0" w:line="273" w:lineRule="auto"/>
        <w:rPr>
          <w:sz w:val="20"/>
          <w:szCs w:val="20"/>
          <w:color w:val="auto"/>
        </w:rPr>
      </w:pPr>
      <w:r>
        <w:rPr>
          <w:rFonts w:ascii="Arial" w:cs="Arial" w:eastAsia="Arial" w:hAnsi="Arial"/>
          <w:sz w:val="15"/>
          <w:szCs w:val="15"/>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60"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commencement and completion of clinical trials can be delayed or prevented for a number of reasons.</w:t>
      </w:r>
    </w:p>
    <w:p>
      <w:pPr>
        <w:spacing w:after="0" w:line="200" w:lineRule="exact"/>
        <w:rPr>
          <w:sz w:val="20"/>
          <w:szCs w:val="20"/>
          <w:color w:val="auto"/>
        </w:rPr>
      </w:pPr>
    </w:p>
    <w:p>
      <w:pPr>
        <w:ind w:right="360" w:firstLine="370"/>
        <w:spacing w:after="0" w:line="351" w:lineRule="auto"/>
        <w:rPr>
          <w:sz w:val="20"/>
          <w:szCs w:val="20"/>
          <w:color w:val="auto"/>
        </w:rPr>
      </w:pPr>
      <w:r>
        <w:rPr>
          <w:rFonts w:ascii="Arial" w:cs="Arial" w:eastAsia="Arial" w:hAnsi="Arial"/>
          <w:sz w:val="14"/>
          <w:szCs w:val="14"/>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06" w:lineRule="exact"/>
        <w:rPr>
          <w:sz w:val="20"/>
          <w:szCs w:val="20"/>
          <w:color w:val="auto"/>
        </w:rPr>
      </w:pPr>
    </w:p>
    <w:p>
      <w:pPr>
        <w:ind w:left="580" w:right="18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difficulties obtaining regulatory approval to commence a clinical trial or complying with conditions imposed by a regulatory authority regarding the scope or term of a clinical trial;</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 w:name="page9"/>
    <w:bookmarkEnd w:id="8"/>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insufficient or inadequate supply or quality of a product candidate or other materials necessary to conduct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difficulties obtaining institutional review board, or IRB, approval to conduct a clinical trial at a prospective site; and</w:t>
      </w:r>
    </w:p>
    <w:p>
      <w:pPr>
        <w:spacing w:after="0" w:line="200" w:lineRule="exact"/>
        <w:rPr>
          <w:rFonts w:ascii="Arial" w:cs="Arial" w:eastAsia="Arial" w:hAnsi="Arial"/>
          <w:sz w:val="16"/>
          <w:szCs w:val="16"/>
          <w:color w:val="A6A6A6"/>
        </w:rPr>
      </w:pPr>
    </w:p>
    <w:p>
      <w:pPr>
        <w:ind w:left="580" w:hanging="296"/>
        <w:spacing w:after="0" w:line="264"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ind w:right="120" w:firstLine="370"/>
        <w:spacing w:after="0" w:line="264" w:lineRule="auto"/>
        <w:rPr>
          <w:sz w:val="20"/>
          <w:szCs w:val="20"/>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2" w:lineRule="exact"/>
        <w:rPr>
          <w:sz w:val="20"/>
          <w:szCs w:val="20"/>
          <w:color w:val="auto"/>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failure to conduct the clinical trial in accordance with regulatory requirements or our clinical protocols;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inspection of the clinical trial operations or trial sites by the FDA or other regulatory authorities;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unforeseen safety issues or lack of effectiveness;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lack of adequate funding to continue the clinical trial.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2"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Obtaining approval of an NDA even after clinical trials that are believed to be successful is an uncertain process.</w:t>
      </w:r>
    </w:p>
    <w:p>
      <w:pPr>
        <w:spacing w:after="0" w:line="200" w:lineRule="exact"/>
        <w:rPr>
          <w:sz w:val="20"/>
          <w:szCs w:val="20"/>
          <w:color w:val="auto"/>
        </w:rPr>
      </w:pPr>
    </w:p>
    <w:p>
      <w:pPr>
        <w:ind w:right="220" w:firstLine="369"/>
        <w:spacing w:after="0" w:line="312" w:lineRule="auto"/>
        <w:rPr>
          <w:sz w:val="20"/>
          <w:szCs w:val="20"/>
          <w:color w:val="auto"/>
        </w:rPr>
      </w:pPr>
      <w:r>
        <w:rPr>
          <w:rFonts w:ascii="Arial" w:cs="Arial" w:eastAsia="Arial" w:hAnsi="Arial"/>
          <w:sz w:val="15"/>
          <w:szCs w:val="15"/>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28"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we may not be able to demonstrate to the satisfaction of the FDA that MG01CI is safe and effective for any indication;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results of clinical trials may not meet the level of statistical significance or clinical significance required by the FDA for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the number, design, size, conduct or implementation of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5"/>
          <w:szCs w:val="15"/>
          <w:color w:val="A6A6A6"/>
        </w:rPr>
      </w:pPr>
      <w:r>
        <w:rPr>
          <w:rFonts w:ascii="Arial" w:cs="Arial" w:eastAsia="Arial" w:hAnsi="Arial"/>
          <w:sz w:val="15"/>
          <w:szCs w:val="15"/>
          <w:color w:val="auto"/>
        </w:rPr>
        <w:t>the FDA may not find the data from preclinical studies and clinical trials sufficient to demonstrate that MG01CI’s clinical and other benefits outweigh its safety risks;</w:t>
      </w:r>
    </w:p>
    <w:p>
      <w:pPr>
        <w:spacing w:after="0" w:line="211" w:lineRule="exact"/>
        <w:rPr>
          <w:rFonts w:ascii="Arial" w:cs="Arial" w:eastAsia="Arial" w:hAnsi="Arial"/>
          <w:sz w:val="15"/>
          <w:szCs w:val="15"/>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our interpretation of data from preclinical studies or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not accept data generated at our clinical trial sites;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data collected from preclinical studies and clinical trials of MG01CI may not be sufficient to support the submission of an NDA;</w:t>
      </w:r>
    </w:p>
    <w:p>
      <w:pPr>
        <w:spacing w:after="0" w:line="200" w:lineRule="exact"/>
        <w:rPr>
          <w:rFonts w:ascii="Arial" w:cs="Arial" w:eastAsia="Arial" w:hAnsi="Arial"/>
          <w:sz w:val="16"/>
          <w:szCs w:val="16"/>
          <w:color w:val="A6A6A6"/>
        </w:rPr>
      </w:pPr>
    </w:p>
    <w:p>
      <w:pPr>
        <w:ind w:left="580" w:right="400" w:hanging="296"/>
        <w:spacing w:after="0" w:line="264" w:lineRule="auto"/>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require development of a risk evaluation and mitigation strategy as a condition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 w:name="page10"/>
    <w:bookmarkEnd w:id="9"/>
    <w:p>
      <w:pPr>
        <w:ind w:left="580" w:right="62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identify deficiencies in the manufacturing processes or facilities of third party manufacturers with which we enter into agreements for clinical and commercial supplies;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change its approval policies or adopt new regulations; and</w:t>
      </w:r>
    </w:p>
    <w:p>
      <w:pPr>
        <w:spacing w:after="0" w:line="200" w:lineRule="exact"/>
        <w:rPr>
          <w:rFonts w:ascii="Arial" w:cs="Arial" w:eastAsia="Arial" w:hAnsi="Arial"/>
          <w:sz w:val="16"/>
          <w:szCs w:val="16"/>
          <w:color w:val="A6A6A6"/>
        </w:rPr>
      </w:pPr>
    </w:p>
    <w:p>
      <w:pPr>
        <w:ind w:left="580" w:right="26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require simultaneous approval for both adults and children delaying needed approvals, or we may have successful clinical trial results for adults but not children, or vice versa.</w:t>
      </w:r>
    </w:p>
    <w:p>
      <w:pPr>
        <w:spacing w:after="0" w:line="152" w:lineRule="exact"/>
        <w:rPr>
          <w:sz w:val="20"/>
          <w:szCs w:val="20"/>
          <w:color w:val="auto"/>
        </w:rPr>
      </w:pPr>
    </w:p>
    <w:p>
      <w:pPr>
        <w:ind w:firstLine="256"/>
        <w:spacing w:after="0" w:line="274" w:lineRule="auto"/>
        <w:rPr>
          <w:sz w:val="20"/>
          <w:szCs w:val="20"/>
          <w:color w:val="auto"/>
        </w:rPr>
      </w:pPr>
      <w:r>
        <w:rPr>
          <w:rFonts w:ascii="Arial" w:cs="Arial" w:eastAsia="Arial" w:hAnsi="Arial"/>
          <w:sz w:val="15"/>
          <w:szCs w:val="15"/>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59" w:lineRule="exact"/>
        <w:rPr>
          <w:sz w:val="20"/>
          <w:szCs w:val="20"/>
          <w:color w:val="auto"/>
        </w:rPr>
      </w:pPr>
    </w:p>
    <w:p>
      <w:pPr>
        <w:jc w:val="both"/>
        <w:ind w:right="480" w:firstLine="370"/>
        <w:spacing w:after="0" w:line="264" w:lineRule="auto"/>
        <w:rPr>
          <w:sz w:val="20"/>
          <w:szCs w:val="20"/>
          <w:color w:val="auto"/>
        </w:rPr>
      </w:pPr>
      <w:r>
        <w:rPr>
          <w:rFonts w:ascii="Arial" w:cs="Arial" w:eastAsia="Arial" w:hAnsi="Arial"/>
          <w:sz w:val="16"/>
          <w:szCs w:val="16"/>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MG01CI may produce undesirable side effects after approval of an NDA.</w:t>
      </w:r>
    </w:p>
    <w:p>
      <w:pPr>
        <w:spacing w:after="0" w:line="200" w:lineRule="exact"/>
        <w:rPr>
          <w:sz w:val="20"/>
          <w:szCs w:val="20"/>
          <w:color w:val="auto"/>
        </w:rPr>
      </w:pPr>
    </w:p>
    <w:p>
      <w:pPr>
        <w:ind w:right="420" w:firstLine="369"/>
        <w:spacing w:after="0" w:line="277"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52" w:lineRule="exact"/>
        <w:rPr>
          <w:sz w:val="20"/>
          <w:szCs w:val="20"/>
          <w:color w:val="auto"/>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suspend or withdraw their approval of the product;</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us to issue specific communications to healthcare professionals, such as “Dear Doctor”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issue negative publicity regarding the affected product, including safety communications;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4"/>
          <w:szCs w:val="14"/>
          <w:color w:val="A6A6A6"/>
        </w:rPr>
      </w:pPr>
      <w:r>
        <w:rPr>
          <w:rFonts w:ascii="Arial" w:cs="Arial" w:eastAsia="Arial" w:hAnsi="Arial"/>
          <w:sz w:val="14"/>
          <w:szCs w:val="14"/>
          <w:color w:val="auto"/>
        </w:rPr>
        <w:t>we may be required to change the way the product is administered, conduct additional preclinical studies or clinical trials or restrict the distribution or use of the product;</w:t>
      </w:r>
    </w:p>
    <w:p>
      <w:pPr>
        <w:spacing w:after="0" w:line="223" w:lineRule="exact"/>
        <w:rPr>
          <w:rFonts w:ascii="Arial" w:cs="Arial" w:eastAsia="Arial" w:hAnsi="Arial"/>
          <w:sz w:val="14"/>
          <w:szCs w:val="14"/>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we could be sued and held liable for harm caused to patients;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our reputation may suffer.</w:t>
      </w:r>
    </w:p>
    <w:p>
      <w:pPr>
        <w:spacing w:after="0" w:line="200" w:lineRule="exact"/>
        <w:rPr>
          <w:sz w:val="20"/>
          <w:szCs w:val="20"/>
          <w:color w:val="auto"/>
        </w:rPr>
      </w:pPr>
    </w:p>
    <w:p>
      <w:pPr>
        <w:ind w:right="20" w:firstLine="31"/>
        <w:spacing w:after="0" w:line="277"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commercialization costs or even force us to cease operations.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2"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2" w:lineRule="exact"/>
        <w:rPr>
          <w:sz w:val="20"/>
          <w:szCs w:val="20"/>
          <w:color w:val="auto"/>
        </w:rPr>
      </w:pPr>
    </w:p>
    <w:p>
      <w:pPr>
        <w:jc w:val="both"/>
        <w:ind w:right="220" w:firstLine="370"/>
        <w:spacing w:after="0" w:line="264"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62" w:lineRule="exact"/>
        <w:rPr>
          <w:sz w:val="20"/>
          <w:szCs w:val="20"/>
          <w:color w:val="auto"/>
        </w:rPr>
      </w:pPr>
    </w:p>
    <w:p>
      <w:pPr>
        <w:ind w:right="500"/>
        <w:spacing w:after="0" w:line="351" w:lineRule="auto"/>
        <w:rPr>
          <w:sz w:val="20"/>
          <w:szCs w:val="20"/>
          <w:color w:val="auto"/>
        </w:rPr>
      </w:pPr>
      <w:r>
        <w:rPr>
          <w:rFonts w:ascii="Arial" w:cs="Arial" w:eastAsia="Arial" w:hAnsi="Arial"/>
          <w:sz w:val="14"/>
          <w:szCs w:val="14"/>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06" w:lineRule="exact"/>
        <w:rPr>
          <w:sz w:val="20"/>
          <w:szCs w:val="20"/>
          <w:color w:val="auto"/>
        </w:rPr>
      </w:pPr>
    </w:p>
    <w:p>
      <w:pPr>
        <w:ind w:right="140" w:firstLine="370"/>
        <w:spacing w:after="0" w:line="259" w:lineRule="auto"/>
        <w:rPr>
          <w:sz w:val="20"/>
          <w:szCs w:val="20"/>
          <w:color w:val="auto"/>
        </w:rPr>
      </w:pPr>
      <w:r>
        <w:rPr>
          <w:rFonts w:ascii="Arial" w:cs="Arial" w:eastAsia="Arial" w:hAnsi="Arial"/>
          <w:sz w:val="16"/>
          <w:szCs w:val="16"/>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2" w:lineRule="exact"/>
        <w:rPr>
          <w:sz w:val="20"/>
          <w:szCs w:val="20"/>
          <w:color w:val="auto"/>
        </w:rPr>
      </w:pPr>
    </w:p>
    <w:p>
      <w:pPr>
        <w:jc w:val="both"/>
        <w:ind w:right="160" w:firstLine="370"/>
        <w:spacing w:after="0" w:line="26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2"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firstLine="370"/>
        <w:spacing w:after="0" w:line="29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43" w:lineRule="exact"/>
        <w:rPr>
          <w:sz w:val="20"/>
          <w:szCs w:val="20"/>
          <w:color w:val="auto"/>
        </w:rPr>
      </w:pPr>
    </w:p>
    <w:p>
      <w:pPr>
        <w:ind w:right="80" w:firstLine="370"/>
        <w:spacing w:after="0" w:line="273" w:lineRule="auto"/>
        <w:rPr>
          <w:sz w:val="20"/>
          <w:szCs w:val="20"/>
          <w:color w:val="auto"/>
        </w:rPr>
      </w:pPr>
      <w:r>
        <w:rPr>
          <w:rFonts w:ascii="Arial" w:cs="Arial" w:eastAsia="Arial" w:hAnsi="Arial"/>
          <w:sz w:val="15"/>
          <w:szCs w:val="15"/>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2"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our drug products or the manufacturing facilities for our drug products fail to comply with applicable regulatory requirements, a regulatory agency may: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1" w:name="page12"/>
    <w:bookmarkEnd w:id="11"/>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issue warning letters or untitled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seek an injunction or impose civil or criminal penalties or monetary fines;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withdraw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any ongoing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approve pending applications or supplements to applications;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impose restrictions on operations, including costly new manufacturing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seize or detain products, refuse to permit the import or export of products or request that we initiate a product recall;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allow us to enter into supply contracts, including government contracts.</w:t>
      </w:r>
    </w:p>
    <w:p>
      <w:pPr>
        <w:spacing w:after="0" w:line="200" w:lineRule="exact"/>
        <w:rPr>
          <w:sz w:val="20"/>
          <w:szCs w:val="20"/>
          <w:color w:val="auto"/>
        </w:rPr>
      </w:pPr>
    </w:p>
    <w:p>
      <w:pPr>
        <w:ind w:right="60" w:firstLine="40"/>
        <w:spacing w:after="0" w:line="277" w:lineRule="auto"/>
        <w:rPr>
          <w:sz w:val="20"/>
          <w:szCs w:val="20"/>
          <w:color w:val="auto"/>
        </w:rPr>
      </w:pPr>
      <w:r>
        <w:rPr>
          <w:rFonts w:ascii="Arial" w:cs="Arial" w:eastAsia="Arial" w:hAnsi="Arial"/>
          <w:sz w:val="16"/>
          <w:szCs w:val="16"/>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2" w:lineRule="exact"/>
        <w:rPr>
          <w:sz w:val="20"/>
          <w:szCs w:val="20"/>
          <w:color w:val="auto"/>
        </w:rPr>
      </w:pPr>
    </w:p>
    <w:p>
      <w:pPr>
        <w:ind w:right="440" w:firstLine="392"/>
        <w:spacing w:after="0" w:line="312" w:lineRule="auto"/>
        <w:rPr>
          <w:sz w:val="20"/>
          <w:szCs w:val="20"/>
          <w:color w:val="auto"/>
        </w:rPr>
      </w:pPr>
      <w:r>
        <w:rPr>
          <w:rFonts w:ascii="Arial" w:cs="Arial" w:eastAsia="Arial" w:hAnsi="Arial"/>
          <w:sz w:val="15"/>
          <w:szCs w:val="15"/>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28"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regulatory requirements for drug approvals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differing United States and foreign drug import and export rules;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reduced protection for intellectual property rights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unexpected changes in tariffs, trade barriers and regulatory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reimbursement systems;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economic weakness, including inflation, or political instability in particular foreign economies and markets;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compliance with tax, employment, immigration and labor laws for employees living or traveling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taxes, including withholding of payroll taxes;</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workforce uncertainty in countries where labor unrest is more common than in the United States;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production shortages resulting from any events affecting raw material supply or manufacturing capabilities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potential liability resulting from development work conducted by these distributors;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business interruptions resulting from geopolitical actions, including war and terrorism, or natural disasters.</w:t>
      </w:r>
    </w:p>
    <w:p>
      <w:pPr>
        <w:spacing w:after="0" w:line="200" w:lineRule="exact"/>
        <w:rPr>
          <w:sz w:val="20"/>
          <w:szCs w:val="20"/>
          <w:color w:val="auto"/>
        </w:rPr>
      </w:pPr>
    </w:p>
    <w:p>
      <w:pPr>
        <w:ind w:right="20" w:firstLine="392"/>
        <w:spacing w:after="0" w:line="289"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receive marketing approval for MG01CI, sales will be limited unless the product achieves broad market acceptance.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2" w:name="page13"/>
    <w:bookmarkEnd w:id="12"/>
    <w:p>
      <w:pPr>
        <w:jc w:val="both"/>
        <w:ind w:right="220" w:firstLine="369"/>
        <w:spacing w:after="0" w:line="264" w:lineRule="auto"/>
        <w:rPr>
          <w:sz w:val="20"/>
          <w:szCs w:val="20"/>
          <w:color w:val="auto"/>
        </w:rPr>
      </w:pPr>
      <w:r>
        <w:rPr>
          <w:rFonts w:ascii="Arial" w:cs="Arial" w:eastAsia="Arial" w:hAnsi="Arial"/>
          <w:sz w:val="16"/>
          <w:szCs w:val="16"/>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62"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demonstration of clinical safety and efficacy compared to other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relative convenience and ease of administration;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prevalence and severity of any adverse side effects;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limitations or warnings contained in the product’s approved labeling;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availability of alternative treatments, including, in the case of MG01CI, a number of competitive products already approved for the treatment of ADHD or expected to be commercially launched in the near future;</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pricing and cost effectiveness;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effectiveness of our or any future collaborators’ sales and marketing strategies;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our ability to obtain sufficient third-party coverage or reimbursement;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willingness of patients to pay for drugs out of pocket in the absence of third-party coverage.</w:t>
      </w:r>
    </w:p>
    <w:p>
      <w:pPr>
        <w:spacing w:after="0" w:line="200" w:lineRule="exact"/>
        <w:rPr>
          <w:sz w:val="20"/>
          <w:szCs w:val="20"/>
          <w:color w:val="auto"/>
        </w:rPr>
      </w:pPr>
    </w:p>
    <w:p>
      <w:pPr>
        <w:jc w:val="both"/>
        <w:ind w:right="20" w:firstLine="370"/>
        <w:spacing w:after="0" w:line="264" w:lineRule="auto"/>
        <w:rPr>
          <w:sz w:val="20"/>
          <w:szCs w:val="20"/>
          <w:color w:val="auto"/>
        </w:rPr>
      </w:pPr>
      <w:r>
        <w:rPr>
          <w:rFonts w:ascii="Arial" w:cs="Arial" w:eastAsia="Arial" w:hAnsi="Arial"/>
          <w:sz w:val="16"/>
          <w:szCs w:val="16"/>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2"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will be difficult for us to profitably sell MG01CI if reimbursement for the product is limited.</w:t>
      </w:r>
    </w:p>
    <w:p>
      <w:pPr>
        <w:spacing w:after="0" w:line="200" w:lineRule="exact"/>
        <w:rPr>
          <w:sz w:val="20"/>
          <w:szCs w:val="20"/>
          <w:color w:val="auto"/>
        </w:rPr>
      </w:pPr>
    </w:p>
    <w:p>
      <w:pPr>
        <w:ind w:right="20" w:firstLine="370"/>
        <w:spacing w:after="0" w:line="274" w:lineRule="auto"/>
        <w:rPr>
          <w:sz w:val="20"/>
          <w:szCs w:val="20"/>
          <w:color w:val="auto"/>
        </w:rPr>
      </w:pPr>
      <w:r>
        <w:rPr>
          <w:rFonts w:ascii="Arial" w:cs="Arial" w:eastAsia="Arial" w:hAnsi="Arial"/>
          <w:sz w:val="15"/>
          <w:szCs w:val="15"/>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59" w:lineRule="exact"/>
        <w:rPr>
          <w:sz w:val="20"/>
          <w:szCs w:val="20"/>
          <w:color w:val="auto"/>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 covered benefit under its health plan;</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safe, effective, and medically necessary;</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appropriate for the specific patient;</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cost effective; and</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neither experimental nor investigational.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 w:name="page14"/>
    <w:bookmarkEnd w:id="13"/>
    <w:p>
      <w:pPr>
        <w:ind w:firstLine="392"/>
        <w:spacing w:after="0" w:line="278" w:lineRule="auto"/>
        <w:rPr>
          <w:sz w:val="20"/>
          <w:szCs w:val="20"/>
          <w:color w:val="auto"/>
        </w:rPr>
      </w:pPr>
      <w:r>
        <w:rPr>
          <w:rFonts w:ascii="Arial" w:cs="Arial" w:eastAsia="Arial" w:hAnsi="Arial"/>
          <w:sz w:val="15"/>
          <w:szCs w:val="15"/>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00"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50"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primarily on third parties to market and sell MG01CI.</w:t>
      </w:r>
    </w:p>
    <w:p>
      <w:pPr>
        <w:spacing w:after="0" w:line="200"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67" w:lineRule="exact"/>
        <w:rPr>
          <w:sz w:val="20"/>
          <w:szCs w:val="20"/>
          <w:color w:val="auto"/>
        </w:rPr>
      </w:pPr>
    </w:p>
    <w:p>
      <w:pPr>
        <w:ind w:right="920"/>
        <w:spacing w:after="0" w:line="277" w:lineRule="auto"/>
        <w:rPr>
          <w:sz w:val="20"/>
          <w:szCs w:val="20"/>
          <w:color w:val="auto"/>
        </w:rPr>
      </w:pPr>
      <w:r>
        <w:rPr>
          <w:rFonts w:ascii="Arial" w:cs="Arial" w:eastAsia="Arial" w:hAnsi="Arial"/>
          <w:sz w:val="16"/>
          <w:szCs w:val="16"/>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2" w:lineRule="exact"/>
        <w:rPr>
          <w:sz w:val="20"/>
          <w:szCs w:val="20"/>
          <w:color w:val="auto"/>
        </w:rPr>
      </w:pPr>
    </w:p>
    <w:p>
      <w:pPr>
        <w:ind w:right="20" w:firstLine="369"/>
        <w:spacing w:after="0" w:line="254"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70" w:lineRule="exact"/>
        <w:rPr>
          <w:sz w:val="20"/>
          <w:szCs w:val="20"/>
          <w:color w:val="auto"/>
        </w:rPr>
      </w:pPr>
    </w:p>
    <w:p>
      <w:pPr>
        <w:ind w:right="20" w:firstLine="400"/>
        <w:spacing w:after="0" w:line="274" w:lineRule="auto"/>
        <w:rPr>
          <w:sz w:val="20"/>
          <w:szCs w:val="20"/>
          <w:color w:val="auto"/>
        </w:rPr>
      </w:pPr>
      <w:r>
        <w:rPr>
          <w:rFonts w:ascii="Arial" w:cs="Arial" w:eastAsia="Arial" w:hAnsi="Arial"/>
          <w:sz w:val="15"/>
          <w:szCs w:val="15"/>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We face potential product liability exposure, and, if claims are brought against us, we may incur substantial liability.</w:t>
      </w:r>
    </w:p>
    <w:p>
      <w:pPr>
        <w:spacing w:after="0" w:line="200"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62" w:lineRule="exact"/>
        <w:rPr>
          <w:sz w:val="20"/>
          <w:szCs w:val="20"/>
          <w:color w:val="auto"/>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decreased demand for MG01CI or any other product candidate for which we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impairment of our business reputation and exposure to adverse publicity;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increased warnings on product labels;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withdrawal of clinical trial participants;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costs of related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distraction of management’s attention from our primary business;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substantial monetary awards to patients or other claimants;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loss of revenue;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the inability to successfully commercialize MG01CI or any other product candidate for which we obtain marketing approval.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successfully brought against us, our insurance may be inadequate.</w:t>
      </w:r>
    </w:p>
    <w:p>
      <w:pPr>
        <w:spacing w:after="0" w:line="200" w:lineRule="exact"/>
        <w:rPr>
          <w:sz w:val="20"/>
          <w:szCs w:val="20"/>
          <w:color w:val="auto"/>
        </w:rPr>
      </w:pPr>
    </w:p>
    <w:p>
      <w:pPr>
        <w:ind w:right="20" w:firstLine="370"/>
        <w:spacing w:after="0" w:line="297" w:lineRule="auto"/>
        <w:rPr>
          <w:sz w:val="20"/>
          <w:szCs w:val="20"/>
          <w:color w:val="auto"/>
        </w:rPr>
      </w:pPr>
      <w:r>
        <w:rPr>
          <w:rFonts w:ascii="Arial" w:cs="Arial" w:eastAsia="Arial" w:hAnsi="Arial"/>
          <w:sz w:val="14"/>
          <w:szCs w:val="14"/>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43"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2" w:lineRule="exact"/>
        <w:rPr>
          <w:sz w:val="20"/>
          <w:szCs w:val="20"/>
          <w:color w:val="auto"/>
        </w:rPr>
      </w:pPr>
    </w:p>
    <w:p>
      <w:pPr>
        <w:ind w:firstLine="370"/>
        <w:spacing w:after="0" w:line="254"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5" w:name="page16"/>
    <w:bookmarkEnd w:id="15"/>
    <w:p>
      <w:pPr>
        <w:ind w:firstLine="370"/>
        <w:spacing w:after="0" w:line="302" w:lineRule="auto"/>
        <w:rPr>
          <w:sz w:val="20"/>
          <w:szCs w:val="20"/>
          <w:color w:val="auto"/>
        </w:rPr>
      </w:pPr>
      <w:r>
        <w:rPr>
          <w:rFonts w:ascii="Arial" w:cs="Arial" w:eastAsia="Arial" w:hAnsi="Arial"/>
          <w:sz w:val="14"/>
          <w:szCs w:val="14"/>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MG01CI or any other product candidate and may never be profitable.</w:t>
      </w:r>
    </w:p>
    <w:p>
      <w:pPr>
        <w:spacing w:after="0" w:line="200" w:lineRule="exact"/>
        <w:rPr>
          <w:sz w:val="20"/>
          <w:szCs w:val="20"/>
          <w:color w:val="auto"/>
        </w:rPr>
      </w:pPr>
    </w:p>
    <w:p>
      <w:pPr>
        <w:jc w:val="both"/>
        <w:ind w:right="60" w:firstLine="370"/>
        <w:spacing w:after="0" w:line="264"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62" w:lineRule="exact"/>
        <w:rPr>
          <w:sz w:val="20"/>
          <w:szCs w:val="20"/>
          <w:color w:val="auto"/>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obtain favorable results from and progress the clinical development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develop and obtain regulatory approval for registration studies protocols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subject to successful completion of registration, clinical trials and perhaps additional clinical trials of MG01CI, apply for and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contract for the manufacture of commercial quantities of MG01CI at acceptable cost levels if marketing approval is received;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00" w:lineRule="exact"/>
        <w:rPr>
          <w:sz w:val="20"/>
          <w:szCs w:val="20"/>
          <w:color w:val="auto"/>
        </w:rPr>
      </w:pPr>
    </w:p>
    <w:p>
      <w:pPr>
        <w:ind w:right="40" w:firstLine="370"/>
        <w:spacing w:after="0" w:line="312" w:lineRule="auto"/>
        <w:rPr>
          <w:sz w:val="20"/>
          <w:szCs w:val="20"/>
          <w:color w:val="auto"/>
        </w:rPr>
      </w:pPr>
      <w:r>
        <w:rPr>
          <w:rFonts w:ascii="Arial" w:cs="Arial" w:eastAsia="Arial" w:hAnsi="Arial"/>
          <w:sz w:val="15"/>
          <w:szCs w:val="15"/>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28"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our clinical trial results;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timing and outcomes of seeking marketing approval of MG01CI;</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filing and prosecuting patent applications and the cost of defending our patents;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prosecuting infringement actions against third parties;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exploration and possible label expansion of MG01CI for the treatment of other conditions;</w:t>
      </w:r>
    </w:p>
    <w:p>
      <w:pPr>
        <w:spacing w:after="0" w:line="200" w:lineRule="exact"/>
        <w:rPr>
          <w:rFonts w:ascii="Arial" w:cs="Arial" w:eastAsia="Arial" w:hAnsi="Arial"/>
          <w:sz w:val="16"/>
          <w:szCs w:val="16"/>
          <w:color w:val="BFBFBF"/>
        </w:rPr>
      </w:pPr>
    </w:p>
    <w:p>
      <w:pPr>
        <w:ind w:left="580" w:right="140" w:hanging="296"/>
        <w:spacing w:after="0" w:line="277" w:lineRule="auto"/>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commercializing MG01CI if we receive marketing approval, including the cost and timing of establishing sales and marketing capabilities to market and sell MG01CI;</w:t>
      </w:r>
    </w:p>
    <w:p>
      <w:pPr>
        <w:spacing w:after="0" w:line="151"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subject to receipt of marketing approval, revenue received from sales of approved products, if any, in the future;</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any product liability or other lawsuits related to our products;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expenses needed to attract and retain skilled personnel; and</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being a public company.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6" w:name="page17"/>
    <w:bookmarkEnd w:id="16"/>
    <w:p>
      <w:pPr>
        <w:ind w:firstLine="360"/>
        <w:spacing w:after="0" w:line="302" w:lineRule="auto"/>
        <w:rPr>
          <w:sz w:val="20"/>
          <w:szCs w:val="20"/>
          <w:color w:val="auto"/>
        </w:rPr>
      </w:pPr>
      <w:r>
        <w:rPr>
          <w:rFonts w:ascii="Arial" w:cs="Arial" w:eastAsia="Arial" w:hAnsi="Arial"/>
          <w:sz w:val="14"/>
          <w:szCs w:val="14"/>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2015. We believe these funds will enable us to complete any preparatory clinical and non-clinical work, as well as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40"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A6A6A6"/>
        </w:rPr>
      </w:pPr>
      <w:r>
        <w:rPr>
          <w:rFonts w:ascii="Arial" w:cs="Arial" w:eastAsia="Arial" w:hAnsi="Arial"/>
          <w:sz w:val="16"/>
          <w:szCs w:val="16"/>
          <w:color w:val="auto"/>
        </w:rPr>
        <w:t>terminate or delay clinical trials or other development activities for MG01CI;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1"/>
        </w:numPr>
        <w:rPr>
          <w:rFonts w:ascii="Arial" w:cs="Arial" w:eastAsia="Arial" w:hAnsi="Arial"/>
          <w:sz w:val="15"/>
          <w:szCs w:val="15"/>
          <w:color w:val="A6A6A6"/>
        </w:rPr>
      </w:pPr>
      <w:r>
        <w:rPr>
          <w:rFonts w:ascii="Arial" w:cs="Arial" w:eastAsia="Arial" w:hAnsi="Arial"/>
          <w:sz w:val="15"/>
          <w:szCs w:val="15"/>
          <w:color w:val="auto"/>
        </w:rPr>
        <w:t>delay our establishment of sales and marketing capabilities or other activities that may be necessary to commercialize MG01CI, if we obtain marketing approval.</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00" w:lineRule="exact"/>
        <w:rPr>
          <w:sz w:val="20"/>
          <w:szCs w:val="20"/>
          <w:color w:val="auto"/>
        </w:rPr>
      </w:pPr>
    </w:p>
    <w:p>
      <w:pPr>
        <w:ind w:right="60" w:firstLine="370"/>
        <w:spacing w:after="0" w:line="276"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operating losses have raised substantial doubt regarding our ability to continue as a going concern.</w:t>
      </w:r>
    </w:p>
    <w:p>
      <w:pPr>
        <w:spacing w:after="0" w:line="200" w:lineRule="exact"/>
        <w:rPr>
          <w:sz w:val="20"/>
          <w:szCs w:val="20"/>
          <w:color w:val="auto"/>
        </w:rPr>
      </w:pPr>
    </w:p>
    <w:p>
      <w:pPr>
        <w:ind w:right="120" w:firstLine="370"/>
        <w:spacing w:after="0" w:line="273" w:lineRule="auto"/>
        <w:rPr>
          <w:sz w:val="20"/>
          <w:szCs w:val="20"/>
          <w:color w:val="auto"/>
        </w:rPr>
      </w:pPr>
      <w:r>
        <w:rPr>
          <w:rFonts w:ascii="Arial" w:cs="Arial" w:eastAsia="Arial" w:hAnsi="Arial"/>
          <w:sz w:val="15"/>
          <w:szCs w:val="15"/>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June 30, 2013. The perception of our ability to continue as a going concern may make it more difficult for us to obtain financing for the continuation of our operations and could result in the loss of confidence by investors, suppliers and employees.</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manufacturing capacity and anticipate reliance on third-party manufacturers for our products.</w:t>
      </w:r>
    </w:p>
    <w:p>
      <w:pPr>
        <w:spacing w:after="0" w:line="200" w:lineRule="exact"/>
        <w:rPr>
          <w:sz w:val="20"/>
          <w:szCs w:val="20"/>
          <w:color w:val="auto"/>
        </w:rPr>
      </w:pPr>
    </w:p>
    <w:p>
      <w:pPr>
        <w:ind w:right="40" w:firstLine="370"/>
        <w:spacing w:after="0" w:line="297" w:lineRule="auto"/>
        <w:rPr>
          <w:sz w:val="20"/>
          <w:szCs w:val="20"/>
          <w:color w:val="auto"/>
        </w:rPr>
      </w:pPr>
      <w:r>
        <w:rPr>
          <w:rFonts w:ascii="Arial" w:cs="Arial" w:eastAsia="Arial" w:hAnsi="Arial"/>
          <w:sz w:val="14"/>
          <w:szCs w:val="14"/>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17" w:name="page18"/>
    <w:bookmarkEnd w:id="17"/>
    <w:p>
      <w:pPr>
        <w:ind w:right="160" w:firstLine="370"/>
        <w:spacing w:after="0" w:line="259" w:lineRule="auto"/>
        <w:rPr>
          <w:sz w:val="20"/>
          <w:szCs w:val="20"/>
          <w:color w:val="auto"/>
        </w:rPr>
      </w:pPr>
      <w:r>
        <w:rPr>
          <w:rFonts w:ascii="Arial" w:cs="Arial" w:eastAsia="Arial" w:hAnsi="Arial"/>
          <w:sz w:val="16"/>
          <w:szCs w:val="16"/>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jc w:val="both"/>
        <w:ind w:right="240" w:firstLine="370"/>
        <w:spacing w:after="0" w:line="264" w:lineRule="auto"/>
        <w:rPr>
          <w:sz w:val="20"/>
          <w:szCs w:val="20"/>
          <w:color w:val="auto"/>
        </w:rPr>
      </w:pPr>
      <w:r>
        <w:rPr>
          <w:rFonts w:ascii="Arial" w:cs="Arial" w:eastAsia="Arial" w:hAnsi="Arial"/>
          <w:sz w:val="16"/>
          <w:szCs w:val="16"/>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62" w:lineRule="exact"/>
        <w:rPr>
          <w:sz w:val="20"/>
          <w:szCs w:val="20"/>
          <w:color w:val="auto"/>
        </w:rPr>
      </w:pPr>
    </w:p>
    <w:p>
      <w:pPr>
        <w:ind w:right="700" w:firstLine="370"/>
        <w:spacing w:after="0" w:line="351" w:lineRule="auto"/>
        <w:rPr>
          <w:sz w:val="20"/>
          <w:szCs w:val="20"/>
          <w:color w:val="auto"/>
        </w:rPr>
      </w:pPr>
      <w:r>
        <w:rPr>
          <w:rFonts w:ascii="Arial" w:cs="Arial" w:eastAsia="Arial" w:hAnsi="Arial"/>
          <w:sz w:val="14"/>
          <w:szCs w:val="14"/>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2" w:lineRule="exact"/>
        <w:rPr>
          <w:sz w:val="20"/>
          <w:szCs w:val="20"/>
          <w:color w:val="auto"/>
        </w:rPr>
      </w:pPr>
    </w:p>
    <w:p>
      <w:pPr>
        <w:ind w:right="300" w:firstLine="370"/>
        <w:spacing w:after="0" w:line="255"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9"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35" w:lineRule="exact"/>
        <w:rPr>
          <w:sz w:val="20"/>
          <w:szCs w:val="20"/>
          <w:color w:val="auto"/>
        </w:rPr>
      </w:pPr>
    </w:p>
    <w:p>
      <w:pPr>
        <w:ind w:right="260" w:firstLine="370"/>
        <w:spacing w:after="0" w:line="312" w:lineRule="auto"/>
        <w:rPr>
          <w:sz w:val="20"/>
          <w:szCs w:val="20"/>
          <w:color w:val="auto"/>
        </w:rPr>
      </w:pPr>
      <w:r>
        <w:rPr>
          <w:rFonts w:ascii="Arial" w:cs="Arial" w:eastAsia="Arial" w:hAnsi="Arial"/>
          <w:sz w:val="15"/>
          <w:szCs w:val="15"/>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28"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6"/>
          <w:szCs w:val="16"/>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third parties to conduct our clinical trials.</w:t>
      </w:r>
    </w:p>
    <w:p>
      <w:pPr>
        <w:spacing w:after="0" w:line="200"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b w:val="1"/>
          <w:bCs w:val="1"/>
          <w:i w:val="1"/>
          <w:iCs w:val="1"/>
          <w:color w:val="auto"/>
        </w:rPr>
        <w:t>We have filed multiple patent applications but have no issued patents and only one of our patent applications has been allowed by the U.S. PTO. There can be no assurance that any of our patent applications will result in issued patents. As a result, we may not be able to protect our proprietary technology in the marketplace.</w:t>
      </w:r>
    </w:p>
    <w:p>
      <w:pPr>
        <w:spacing w:after="0" w:line="106" w:lineRule="exact"/>
        <w:rPr>
          <w:sz w:val="20"/>
          <w:szCs w:val="20"/>
          <w:color w:val="auto"/>
        </w:rPr>
      </w:pPr>
    </w:p>
    <w:p>
      <w:pPr>
        <w:ind w:right="380" w:firstLine="370"/>
        <w:spacing w:after="0" w:line="308" w:lineRule="auto"/>
        <w:rPr>
          <w:sz w:val="20"/>
          <w:szCs w:val="20"/>
          <w:color w:val="auto"/>
        </w:rPr>
      </w:pPr>
      <w:r>
        <w:rPr>
          <w:rFonts w:ascii="Arial" w:cs="Arial" w:eastAsia="Arial" w:hAnsi="Arial"/>
          <w:sz w:val="14"/>
          <w:szCs w:val="14"/>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patents that may issue to use will not ensure the protection of our intellectual property for a number of reasons, including without limitation the following:</w:t>
      </w:r>
    </w:p>
    <w:p>
      <w:pPr>
        <w:spacing w:after="0" w:line="200" w:lineRule="exact"/>
        <w:rPr>
          <w:sz w:val="20"/>
          <w:szCs w:val="20"/>
          <w:color w:val="auto"/>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any issued patents may not be broad or strong enough to prevent competition from other products including identical or similar products;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we are not issued patents or if issued patents expire, there would be no protections against competitors making generic equivalents;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prior art of which we are not aware that may affect the validity or enforceability of a patent claim;</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other patents existing in the patent landscape for MG01CI that will affect our freedom to operate;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our patents are challenged, a court could determine that they are not valid or enforceable;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 court could determine that a competitor’s technology or product does not infringe our patents;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4"/>
          <w:szCs w:val="14"/>
          <w:color w:val="A6A6A6"/>
        </w:rPr>
      </w:pPr>
      <w:r>
        <w:rPr>
          <w:rFonts w:ascii="Arial" w:cs="Arial" w:eastAsia="Arial" w:hAnsi="Arial"/>
          <w:sz w:val="14"/>
          <w:szCs w:val="14"/>
          <w:color w:val="auto"/>
        </w:rPr>
        <w:t>if we encounter delays in our development or clinical trials, the period of time during which we could market our products under patent protection would be reduced.</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2"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35" w:lineRule="exact"/>
        <w:rPr>
          <w:sz w:val="20"/>
          <w:szCs w:val="20"/>
          <w:color w:val="auto"/>
        </w:rPr>
      </w:pPr>
    </w:p>
    <w:p>
      <w:pPr>
        <w:ind w:right="60" w:firstLine="370"/>
        <w:spacing w:after="0" w:line="289" w:lineRule="auto"/>
        <w:rPr>
          <w:sz w:val="20"/>
          <w:szCs w:val="20"/>
          <w:color w:val="auto"/>
        </w:rPr>
      </w:pPr>
      <w:r>
        <w:rPr>
          <w:rFonts w:ascii="Arial" w:cs="Arial" w:eastAsia="Arial" w:hAnsi="Arial"/>
          <w:sz w:val="15"/>
          <w:szCs w:val="15"/>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9" w:name="page20"/>
    <w:bookmarkEnd w:id="19"/>
    <w:p>
      <w:pPr>
        <w:ind w:right="320"/>
        <w:spacing w:after="0" w:line="277"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2" w:lineRule="exact"/>
        <w:rPr>
          <w:sz w:val="20"/>
          <w:szCs w:val="20"/>
          <w:color w:val="auto"/>
        </w:rPr>
      </w:pPr>
    </w:p>
    <w:p>
      <w:pPr>
        <w:ind w:right="140" w:firstLine="370"/>
        <w:spacing w:after="0" w:line="299"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42" w:lineRule="exact"/>
        <w:rPr>
          <w:sz w:val="20"/>
          <w:szCs w:val="20"/>
          <w:color w:val="auto"/>
        </w:rPr>
      </w:pPr>
    </w:p>
    <w:p>
      <w:pPr>
        <w:ind w:right="60" w:firstLine="370"/>
        <w:spacing w:after="0" w:line="257" w:lineRule="auto"/>
        <w:rPr>
          <w:sz w:val="20"/>
          <w:szCs w:val="20"/>
          <w:color w:val="auto"/>
        </w:rPr>
      </w:pPr>
      <w:r>
        <w:rPr>
          <w:rFonts w:ascii="Arial" w:cs="Arial" w:eastAsia="Arial" w:hAnsi="Arial"/>
          <w:sz w:val="16"/>
          <w:szCs w:val="16"/>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00" w:lineRule="exact"/>
        <w:rPr>
          <w:sz w:val="20"/>
          <w:szCs w:val="20"/>
          <w:color w:val="auto"/>
        </w:rPr>
      </w:pPr>
    </w:p>
    <w:p>
      <w:pPr>
        <w:ind w:right="20" w:firstLine="370"/>
        <w:spacing w:after="0" w:line="255" w:lineRule="auto"/>
        <w:rPr>
          <w:sz w:val="20"/>
          <w:szCs w:val="20"/>
          <w:color w:val="auto"/>
        </w:rPr>
      </w:pPr>
      <w:r>
        <w:rPr>
          <w:rFonts w:ascii="Arial" w:cs="Arial" w:eastAsia="Arial" w:hAnsi="Arial"/>
          <w:sz w:val="16"/>
          <w:szCs w:val="16"/>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69" w:lineRule="exact"/>
        <w:rPr>
          <w:sz w:val="20"/>
          <w:szCs w:val="20"/>
          <w:color w:val="auto"/>
        </w:rPr>
      </w:pPr>
    </w:p>
    <w:p>
      <w:pPr>
        <w:spacing w:after="0" w:line="351"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99" w:lineRule="exact"/>
        <w:rPr>
          <w:sz w:val="20"/>
          <w:szCs w:val="20"/>
          <w:color w:val="auto"/>
        </w:rPr>
      </w:pPr>
    </w:p>
    <w:p>
      <w:pPr>
        <w:ind w:right="40" w:firstLine="346"/>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12"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67" w:lineRule="exact"/>
        <w:rPr>
          <w:sz w:val="20"/>
          <w:szCs w:val="20"/>
          <w:color w:val="auto"/>
        </w:rPr>
      </w:pPr>
    </w:p>
    <w:p>
      <w:pPr>
        <w:ind w:right="200" w:firstLine="370"/>
        <w:spacing w:after="0" w:line="259" w:lineRule="auto"/>
        <w:rPr>
          <w:sz w:val="20"/>
          <w:szCs w:val="20"/>
          <w:color w:val="auto"/>
        </w:rPr>
      </w:pPr>
      <w:r>
        <w:rPr>
          <w:rFonts w:ascii="Arial" w:cs="Arial" w:eastAsia="Arial" w:hAnsi="Arial"/>
          <w:sz w:val="16"/>
          <w:szCs w:val="16"/>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ind w:firstLine="577"/>
        <w:spacing w:after="0" w:line="297" w:lineRule="auto"/>
        <w:rPr>
          <w:sz w:val="20"/>
          <w:szCs w:val="20"/>
          <w:color w:val="auto"/>
        </w:rPr>
      </w:pPr>
      <w:r>
        <w:rPr>
          <w:rFonts w:ascii="Arial" w:cs="Arial" w:eastAsia="Arial" w:hAnsi="Arial"/>
          <w:sz w:val="14"/>
          <w:szCs w:val="14"/>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0" w:name="page21"/>
    <w:bookmarkEnd w:id="20"/>
    <w:p>
      <w:pPr>
        <w:ind w:right="260"/>
        <w:spacing w:after="0" w:line="35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6"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12" w:lineRule="exact"/>
        <w:rPr>
          <w:sz w:val="20"/>
          <w:szCs w:val="20"/>
          <w:color w:val="auto"/>
        </w:rPr>
      </w:pPr>
    </w:p>
    <w:p>
      <w:pPr>
        <w:ind w:firstLine="370"/>
        <w:spacing w:after="0" w:line="276" w:lineRule="auto"/>
        <w:rPr>
          <w:sz w:val="20"/>
          <w:szCs w:val="20"/>
          <w:color w:val="auto"/>
        </w:rPr>
      </w:pPr>
      <w:r>
        <w:rPr>
          <w:rFonts w:ascii="Arial" w:cs="Arial" w:eastAsia="Arial" w:hAnsi="Arial"/>
          <w:sz w:val="15"/>
          <w:szCs w:val="15"/>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55"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2" w:lineRule="exact"/>
        <w:rPr>
          <w:sz w:val="20"/>
          <w:szCs w:val="20"/>
          <w:color w:val="auto"/>
        </w:rPr>
      </w:pPr>
    </w:p>
    <w:p>
      <w:pPr>
        <w:ind w:right="20" w:firstLine="369"/>
        <w:spacing w:after="0" w:line="288" w:lineRule="auto"/>
        <w:rPr>
          <w:sz w:val="20"/>
          <w:szCs w:val="20"/>
          <w:color w:val="auto"/>
        </w:rPr>
      </w:pPr>
      <w:r>
        <w:rPr>
          <w:rFonts w:ascii="Arial" w:cs="Arial" w:eastAsia="Arial" w:hAnsi="Arial"/>
          <w:sz w:val="14"/>
          <w:szCs w:val="14"/>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w:t>
      </w:r>
    </w:p>
    <w:p>
      <w:pPr>
        <w:spacing w:after="0" w:line="5"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2" w:lineRule="exact"/>
        <w:rPr>
          <w:sz w:val="20"/>
          <w:szCs w:val="20"/>
          <w:color w:val="auto"/>
        </w:rPr>
      </w:pPr>
    </w:p>
    <w:p>
      <w:pPr>
        <w:jc w:val="both"/>
        <w:ind w:right="180" w:firstLine="577"/>
        <w:spacing w:after="0" w:line="278"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54" w:lineRule="exact"/>
        <w:rPr>
          <w:sz w:val="20"/>
          <w:szCs w:val="20"/>
          <w:color w:val="auto"/>
        </w:rPr>
      </w:pPr>
    </w:p>
    <w:p>
      <w:pPr>
        <w:ind w:right="500" w:firstLine="577"/>
        <w:spacing w:after="0" w:line="277" w:lineRule="auto"/>
        <w:rPr>
          <w:sz w:val="20"/>
          <w:szCs w:val="20"/>
          <w:color w:val="auto"/>
        </w:rPr>
      </w:pPr>
      <w:r>
        <w:rPr>
          <w:rFonts w:ascii="Arial" w:cs="Arial" w:eastAsia="Arial" w:hAnsi="Arial"/>
          <w:sz w:val="16"/>
          <w:szCs w:val="16"/>
          <w:color w:val="auto"/>
        </w:rPr>
        <w:t>To build our finance infrastructure, we will need to hire additional accounting personnel and improve our accounting systems, disclosure policies, procedures and controls. We are currently in the process of:</w:t>
      </w:r>
    </w:p>
    <w:p>
      <w:pPr>
        <w:spacing w:after="0" w:line="152"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initiating our plans to upgrade our computer systems, including hardware and software;</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establishing written policies and procedures;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enhancing internal controls and our financial statement review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1" w:name="page22"/>
    <w:bookmarkEnd w:id="21"/>
    <w:p>
      <w:pPr>
        <w:ind w:right="40" w:firstLine="577"/>
        <w:spacing w:after="0" w:line="308" w:lineRule="auto"/>
        <w:rPr>
          <w:sz w:val="20"/>
          <w:szCs w:val="20"/>
          <w:color w:val="auto"/>
        </w:rPr>
      </w:pPr>
      <w:r>
        <w:rPr>
          <w:rFonts w:ascii="Arial" w:cs="Arial" w:eastAsia="Arial" w:hAnsi="Arial"/>
          <w:sz w:val="14"/>
          <w:szCs w:val="14"/>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62"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manage our clinical trials and the regulatory process effectively;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develop our administrative, accounting and management information systems and controls;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hire and train additional qualified personnel;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integrate current and additional management, administrative, financial and sales and marketing personnel.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macroeconomic conditions.</w:t>
      </w:r>
    </w:p>
    <w:p>
      <w:pPr>
        <w:spacing w:after="0" w:line="200" w:lineRule="exact"/>
        <w:rPr>
          <w:sz w:val="20"/>
          <w:szCs w:val="20"/>
          <w:color w:val="auto"/>
        </w:rPr>
      </w:pPr>
    </w:p>
    <w:p>
      <w:pPr>
        <w:ind w:right="140" w:firstLine="370"/>
        <w:spacing w:after="0" w:line="312" w:lineRule="auto"/>
        <w:rPr>
          <w:sz w:val="20"/>
          <w:szCs w:val="20"/>
          <w:color w:val="auto"/>
        </w:rPr>
      </w:pPr>
      <w:r>
        <w:rPr>
          <w:rFonts w:ascii="Arial" w:cs="Arial" w:eastAsia="Arial" w:hAnsi="Arial"/>
          <w:sz w:val="15"/>
          <w:szCs w:val="15"/>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28"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this Offering and Ownership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12"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62" w:lineRule="exact"/>
        <w:rPr>
          <w:sz w:val="20"/>
          <w:szCs w:val="20"/>
          <w:color w:val="auto"/>
        </w:rPr>
      </w:pPr>
    </w:p>
    <w:p>
      <w:pPr>
        <w:ind w:right="400" w:firstLine="369"/>
        <w:spacing w:after="0" w:line="277" w:lineRule="auto"/>
        <w:rPr>
          <w:sz w:val="20"/>
          <w:szCs w:val="20"/>
          <w:color w:val="auto"/>
        </w:rPr>
      </w:pPr>
      <w:r>
        <w:rPr>
          <w:rFonts w:ascii="Arial" w:cs="Arial" w:eastAsia="Arial" w:hAnsi="Arial"/>
          <w:sz w:val="16"/>
          <w:szCs w:val="16"/>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5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inability to obtain the approvals necessary to commence further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unsatisfactory results of clinical trials;</w:t>
      </w:r>
    </w:p>
    <w:p>
      <w:pPr>
        <w:spacing w:after="0" w:line="200" w:lineRule="exact"/>
        <w:rPr>
          <w:rFonts w:ascii="Arial" w:cs="Arial" w:eastAsia="Arial" w:hAnsi="Arial"/>
          <w:sz w:val="16"/>
          <w:szCs w:val="16"/>
          <w:color w:val="A6A6A6"/>
        </w:rPr>
      </w:pPr>
    </w:p>
    <w:p>
      <w:pPr>
        <w:ind w:left="580" w:right="300" w:hanging="296"/>
        <w:spacing w:after="0" w:line="277" w:lineRule="auto"/>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regulatory approval or the failure to obtain it, or specific label indications or patient populations for its use, or changes or delays in the regulatory review process;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therapeutic innovations or new products by us or our competitors;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changes or developments in laws or regulations applicable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adverse changes to our relationship with manufacturers or suppliers;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intellectual property infringement actions in which we may become involved;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22" w:name="page23"/>
    <w:bookmarkEnd w:id="22"/>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concerning our competitors or the pharmaceutical industry in general;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achievement of expected product sales and profitability or our failure to meet expectations;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our commencement of, or involvement in,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major changes in our board of directors or management;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legislation in the United States relating to the sale or pricing of pharmaceuticals.</w:t>
      </w:r>
    </w:p>
    <w:p>
      <w:pPr>
        <w:spacing w:after="0" w:line="200" w:lineRule="exact"/>
        <w:rPr>
          <w:sz w:val="20"/>
          <w:szCs w:val="20"/>
          <w:color w:val="auto"/>
        </w:rPr>
      </w:pPr>
    </w:p>
    <w:p>
      <w:pPr>
        <w:ind w:right="120" w:firstLine="370"/>
        <w:spacing w:after="0" w:line="259" w:lineRule="auto"/>
        <w:rPr>
          <w:sz w:val="20"/>
          <w:szCs w:val="20"/>
          <w:color w:val="auto"/>
        </w:rPr>
      </w:pPr>
      <w:r>
        <w:rPr>
          <w:rFonts w:ascii="Arial" w:cs="Arial" w:eastAsia="Arial" w:hAnsi="Arial"/>
          <w:sz w:val="16"/>
          <w:szCs w:val="16"/>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200" w:lineRule="exact"/>
        <w:rPr>
          <w:sz w:val="20"/>
          <w:szCs w:val="20"/>
          <w:color w:val="auto"/>
        </w:rPr>
      </w:pPr>
    </w:p>
    <w:p>
      <w:pPr>
        <w:ind w:right="220" w:firstLine="370"/>
        <w:spacing w:after="0" w:line="264"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2" w:lineRule="exact"/>
        <w:rPr>
          <w:sz w:val="20"/>
          <w:szCs w:val="20"/>
          <w:color w:val="auto"/>
        </w:rPr>
      </w:pPr>
    </w:p>
    <w:p>
      <w:pPr>
        <w:ind w:right="580"/>
        <w:spacing w:after="0" w:line="397" w:lineRule="auto"/>
        <w:rPr>
          <w:sz w:val="20"/>
          <w:szCs w:val="20"/>
          <w:color w:val="auto"/>
        </w:rPr>
      </w:pPr>
      <w:r>
        <w:rPr>
          <w:rFonts w:ascii="Arial" w:cs="Arial" w:eastAsia="Arial" w:hAnsi="Arial"/>
          <w:sz w:val="13"/>
          <w:szCs w:val="13"/>
          <w:b w:val="1"/>
          <w:bCs w:val="1"/>
          <w:i w:val="1"/>
          <w:iCs w:val="1"/>
          <w:color w:val="auto"/>
        </w:rPr>
        <w:t>Our principal shareholders, chief executive officer and directors currently own approximately 80% of our outstanding ordinary shares and will own over 58% of our ordinary shares upon the closing of this offering. They will therefore be able to exert significant control over matters submitted to our shareholders for approval.</w:t>
      </w:r>
    </w:p>
    <w:p>
      <w:pPr>
        <w:spacing w:after="0" w:line="82"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58%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ordinary shares in this offering, you will incur immediate and substantial dilution in the book value of your shares.</w:t>
      </w:r>
    </w:p>
    <w:p>
      <w:pPr>
        <w:spacing w:after="0" w:line="200" w:lineRule="exact"/>
        <w:rPr>
          <w:sz w:val="20"/>
          <w:szCs w:val="20"/>
          <w:color w:val="auto"/>
        </w:rPr>
      </w:pPr>
    </w:p>
    <w:p>
      <w:pPr>
        <w:ind w:right="20" w:firstLine="370"/>
        <w:spacing w:after="0" w:line="299" w:lineRule="auto"/>
        <w:rPr>
          <w:sz w:val="20"/>
          <w:szCs w:val="20"/>
          <w:color w:val="auto"/>
        </w:rPr>
      </w:pPr>
      <w:r>
        <w:rPr>
          <w:rFonts w:ascii="Arial" w:cs="Arial" w:eastAsia="Arial" w:hAnsi="Arial"/>
          <w:sz w:val="14"/>
          <w:szCs w:val="14"/>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$5.993 per share, based on an initial public offering price of $8.00 per share, and our pro forma net tangible book value as of December 31, 2012. In addition, as of that date, options and warrants to purchase 952,402 of our ordinary shares at a weighted average exercise price of $2.212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00" w:lineRule="exact"/>
        <w:rPr>
          <w:sz w:val="20"/>
          <w:szCs w:val="20"/>
          <w:color w:val="auto"/>
        </w:rPr>
      </w:pPr>
    </w:p>
    <w:p>
      <w:pPr>
        <w:ind w:right="220" w:firstLine="370"/>
        <w:spacing w:after="0" w:line="274" w:lineRule="auto"/>
        <w:rPr>
          <w:sz w:val="20"/>
          <w:szCs w:val="20"/>
          <w:color w:val="auto"/>
        </w:rPr>
      </w:pPr>
      <w:r>
        <w:rPr>
          <w:rFonts w:ascii="Arial" w:cs="Arial" w:eastAsia="Arial" w:hAnsi="Arial"/>
          <w:sz w:val="15"/>
          <w:szCs w:val="15"/>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2" w:lineRule="exact"/>
        <w:rPr>
          <w:sz w:val="20"/>
          <w:szCs w:val="20"/>
          <w:color w:val="auto"/>
        </w:rPr>
      </w:pPr>
    </w:p>
    <w:p>
      <w:pPr>
        <w:ind w:right="40" w:firstLine="370"/>
        <w:spacing w:after="0" w:line="257"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our ordinary shares could have adverse U.S. income tax consequences.</w:t>
      </w:r>
    </w:p>
    <w:p>
      <w:pPr>
        <w:spacing w:after="0" w:line="152" w:lineRule="exact"/>
        <w:rPr>
          <w:sz w:val="20"/>
          <w:szCs w:val="20"/>
          <w:color w:val="auto"/>
        </w:rPr>
      </w:pPr>
    </w:p>
    <w:p>
      <w:pPr>
        <w:ind w:right="160" w:firstLine="370"/>
        <w:spacing w:after="0" w:line="259"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67" w:lineRule="exact"/>
        <w:rPr>
          <w:sz w:val="20"/>
          <w:szCs w:val="20"/>
          <w:color w:val="auto"/>
        </w:rPr>
      </w:pPr>
    </w:p>
    <w:p>
      <w:pPr>
        <w:ind w:right="1040"/>
        <w:spacing w:after="0" w:line="351"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06"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2" w:lineRule="exact"/>
        <w:rPr>
          <w:sz w:val="20"/>
          <w:szCs w:val="20"/>
          <w:color w:val="auto"/>
        </w:rPr>
      </w:pPr>
    </w:p>
    <w:p>
      <w:pPr>
        <w:ind w:right="520" w:firstLine="370"/>
        <w:spacing w:after="0" w:line="319" w:lineRule="auto"/>
        <w:rPr>
          <w:sz w:val="20"/>
          <w:szCs w:val="20"/>
          <w:color w:val="auto"/>
        </w:rPr>
      </w:pPr>
      <w:r>
        <w:rPr>
          <w:rFonts w:ascii="Arial" w:cs="Arial" w:eastAsia="Arial" w:hAnsi="Arial"/>
          <w:sz w:val="14"/>
          <w:szCs w:val="14"/>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associated with being a public company will require significant company resources and management attention.</w:t>
      </w:r>
    </w:p>
    <w:p>
      <w:pPr>
        <w:spacing w:after="0" w:line="200"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2"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6"/>
          <w:szCs w:val="16"/>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2" w:lineRule="exact"/>
        <w:rPr>
          <w:sz w:val="20"/>
          <w:szCs w:val="20"/>
          <w:color w:val="auto"/>
        </w:rPr>
      </w:pPr>
    </w:p>
    <w:p>
      <w:pPr>
        <w:ind w:left="580" w:right="480" w:hanging="296"/>
        <w:spacing w:after="0" w:line="277" w:lineRule="auto"/>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the provisions of the Sarbanes-Oxley Act requiring that our independent registered public accounting firm provide an attestation report on the effectiveness of our internal control over financial reporting;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4" w:name="page25"/>
    <w:bookmarkEnd w:id="24"/>
    <w:p>
      <w:pPr>
        <w:ind w:left="584" w:hanging="296"/>
        <w:spacing w:after="0" w:line="319" w:lineRule="auto"/>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26" w:lineRule="exact"/>
        <w:rPr>
          <w:rFonts w:ascii="Arial" w:cs="Arial" w:eastAsia="Arial" w:hAnsi="Arial"/>
          <w:sz w:val="14"/>
          <w:szCs w:val="14"/>
          <w:color w:val="A6A6A6"/>
        </w:rPr>
      </w:pPr>
    </w:p>
    <w:p>
      <w:pPr>
        <w:ind w:left="584" w:hanging="296"/>
        <w:spacing w:after="0"/>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our ability not to comply with new accounting principles that do not apply to public companies until such accounting principles become applicable to private companies;</w:t>
      </w:r>
    </w:p>
    <w:p>
      <w:pPr>
        <w:spacing w:after="0" w:line="223" w:lineRule="exact"/>
        <w:rPr>
          <w:rFonts w:ascii="Arial" w:cs="Arial" w:eastAsia="Arial" w:hAnsi="Arial"/>
          <w:sz w:val="14"/>
          <w:szCs w:val="14"/>
          <w:color w:val="A6A6A6"/>
        </w:rPr>
      </w:pPr>
    </w:p>
    <w:p>
      <w:pPr>
        <w:ind w:left="584" w:hanging="296"/>
        <w:spacing w:after="0" w:line="277" w:lineRule="auto"/>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any rules that may be adopted by the Public Company Accounting Oversight Board requiring mandatory audit firm rotation or a supplement to the auditor’s report on the financial statements; and</w:t>
      </w:r>
    </w:p>
    <w:p>
      <w:pPr>
        <w:spacing w:after="0" w:line="151" w:lineRule="exact"/>
        <w:rPr>
          <w:rFonts w:ascii="Arial" w:cs="Arial" w:eastAsia="Arial" w:hAnsi="Arial"/>
          <w:sz w:val="16"/>
          <w:szCs w:val="16"/>
          <w:color w:val="A6A6A6"/>
        </w:rPr>
      </w:pPr>
    </w:p>
    <w:p>
      <w:pPr>
        <w:ind w:left="584" w:hanging="296"/>
        <w:spacing w:after="0"/>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our ability to furnish two rather than three years of income statements and statements of cash flows in various required filings.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We intend to take advantage of these exemptions until we are no longer an “emerging growth company.” We will remain an emerging growth company until the earlier of</w:t>
      </w:r>
    </w:p>
    <w:p>
      <w:pPr>
        <w:spacing w:after="0" w:line="32"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last day of the fiscal year (a) following the fifth anniversary of the completion of this offering, (b) in which we have total annual gross revenue of at least $1.0 billion, or</w:t>
      </w:r>
    </w:p>
    <w:p>
      <w:pPr>
        <w:spacing w:after="0" w:line="19" w:lineRule="exact"/>
        <w:rPr>
          <w:rFonts w:ascii="Arial" w:cs="Arial" w:eastAsia="Arial" w:hAnsi="Arial"/>
          <w:sz w:val="15"/>
          <w:szCs w:val="15"/>
          <w:color w:val="auto"/>
        </w:rPr>
      </w:pPr>
    </w:p>
    <w:p>
      <w:pPr>
        <w:ind w:left="4" w:right="160"/>
        <w:spacing w:after="0" w:line="278" w:lineRule="auto"/>
        <w:rPr>
          <w:rFonts w:ascii="Arial" w:cs="Arial" w:eastAsia="Arial" w:hAnsi="Arial"/>
          <w:sz w:val="15"/>
          <w:szCs w:val="15"/>
          <w:color w:val="auto"/>
        </w:rPr>
      </w:pPr>
      <w:r>
        <w:rPr>
          <w:rFonts w:ascii="Arial" w:cs="Arial" w:eastAsia="Arial" w:hAnsi="Arial"/>
          <w:sz w:val="16"/>
          <w:szCs w:val="16"/>
          <w:color w:val="auto"/>
        </w:rPr>
        <w:t>(c)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41" w:lineRule="exact"/>
        <w:rPr>
          <w:sz w:val="20"/>
          <w:szCs w:val="20"/>
          <w:color w:val="auto"/>
        </w:rPr>
      </w:pPr>
    </w:p>
    <w:p>
      <w:pPr>
        <w:ind w:left="4" w:right="40" w:firstLine="288"/>
        <w:spacing w:after="0" w:line="277"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52" w:lineRule="exact"/>
        <w:rPr>
          <w:sz w:val="20"/>
          <w:szCs w:val="20"/>
          <w:color w:val="auto"/>
        </w:rPr>
      </w:pPr>
    </w:p>
    <w:p>
      <w:pPr>
        <w:ind w:left="4" w:right="780"/>
        <w:spacing w:after="0" w:line="277"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2" w:lineRule="exact"/>
        <w:rPr>
          <w:sz w:val="20"/>
          <w:szCs w:val="20"/>
          <w:color w:val="auto"/>
        </w:rPr>
      </w:pPr>
    </w:p>
    <w:p>
      <w:pPr>
        <w:ind w:left="4" w:right="20" w:firstLine="288"/>
        <w:spacing w:after="0" w:line="259"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6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8" w:lineRule="exact"/>
        <w:rPr>
          <w:sz w:val="20"/>
          <w:szCs w:val="20"/>
          <w:color w:val="auto"/>
        </w:rPr>
      </w:pPr>
    </w:p>
    <w:p>
      <w:pPr>
        <w:ind w:left="4" w:right="120" w:firstLine="346"/>
        <w:spacing w:after="0" w:line="254"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2" w:lineRule="exact"/>
        <w:rPr>
          <w:sz w:val="20"/>
          <w:szCs w:val="20"/>
          <w:color w:val="auto"/>
        </w:rPr>
      </w:pPr>
    </w:p>
    <w:p>
      <w:pPr>
        <w:ind w:left="4" w:right="120" w:firstLine="346"/>
        <w:spacing w:after="0" w:line="25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204"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2" w:lineRule="exact"/>
        <w:rPr>
          <w:sz w:val="20"/>
          <w:szCs w:val="20"/>
          <w:color w:val="auto"/>
        </w:rPr>
      </w:pPr>
    </w:p>
    <w:p>
      <w:pPr>
        <w:ind w:left="4" w:firstLine="360"/>
        <w:spacing w:after="0" w:line="271" w:lineRule="auto"/>
        <w:rPr>
          <w:sz w:val="20"/>
          <w:szCs w:val="20"/>
          <w:color w:val="auto"/>
        </w:rPr>
      </w:pPr>
      <w:r>
        <w:rPr>
          <w:rFonts w:ascii="Arial" w:cs="Arial" w:eastAsia="Arial" w:hAnsi="Arial"/>
          <w:sz w:val="15"/>
          <w:szCs w:val="15"/>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4" w:lineRule="exact"/>
        <w:rPr>
          <w:sz w:val="20"/>
          <w:szCs w:val="20"/>
          <w:color w:val="auto"/>
        </w:rPr>
      </w:pPr>
    </w:p>
    <w:p>
      <w:pPr>
        <w:ind w:left="4" w:right="100" w:firstLine="360"/>
        <w:spacing w:after="0" w:line="257"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8" w:lineRule="exact"/>
        <w:rPr>
          <w:sz w:val="20"/>
          <w:szCs w:val="20"/>
          <w:color w:val="auto"/>
        </w:rPr>
      </w:pPr>
    </w:p>
    <w:p>
      <w:pPr>
        <w:ind w:left="4" w:right="60" w:firstLine="360"/>
        <w:spacing w:after="0" w:line="351" w:lineRule="auto"/>
        <w:rPr>
          <w:sz w:val="20"/>
          <w:szCs w:val="20"/>
          <w:color w:val="auto"/>
        </w:rPr>
      </w:pPr>
      <w:r>
        <w:rPr>
          <w:rFonts w:ascii="Arial" w:cs="Arial" w:eastAsia="Arial" w:hAnsi="Arial"/>
          <w:sz w:val="14"/>
          <w:szCs w:val="14"/>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or consultants to perform military service.</w:t>
      </w:r>
    </w:p>
    <w:p>
      <w:pPr>
        <w:spacing w:after="0" w:line="200" w:lineRule="exact"/>
        <w:rPr>
          <w:sz w:val="20"/>
          <w:szCs w:val="20"/>
          <w:color w:val="auto"/>
        </w:rPr>
      </w:pPr>
    </w:p>
    <w:p>
      <w:pPr>
        <w:ind w:right="100" w:firstLine="360"/>
        <w:spacing w:after="0" w:line="256"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New Israeli Shekel currencies may negatively affect our earnings.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6"/>
          <w:szCs w:val="16"/>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30, 2013 was $1.00 = NIS 3.587. We cannot predict any future trends in the rate of inflation in Israel or the rate of devaluation (if any) of the NIS against the U.S. dollar.</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5"/>
          <w:szCs w:val="15"/>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55"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35"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28" w:lineRule="exact"/>
        <w:rPr>
          <w:sz w:val="20"/>
          <w:szCs w:val="20"/>
          <w:color w:val="auto"/>
        </w:rPr>
      </w:pPr>
    </w:p>
    <w:p>
      <w:pPr>
        <w:ind w:firstLine="360"/>
        <w:spacing w:after="0" w:line="294"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6" w:name="page27"/>
    <w:bookmarkEnd w:id="26"/>
    <w:p>
      <w:pPr>
        <w:ind w:right="60" w:firstLine="360"/>
        <w:spacing w:after="0" w:line="277"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52" w:lineRule="exact"/>
        <w:rPr>
          <w:sz w:val="20"/>
          <w:szCs w:val="20"/>
          <w:color w:val="auto"/>
        </w:rPr>
      </w:pPr>
    </w:p>
    <w:p>
      <w:pPr>
        <w:ind w:firstLine="360"/>
        <w:spacing w:after="0" w:line="312" w:lineRule="auto"/>
        <w:rPr>
          <w:sz w:val="20"/>
          <w:szCs w:val="20"/>
          <w:color w:val="auto"/>
        </w:rPr>
      </w:pPr>
      <w:r>
        <w:rPr>
          <w:rFonts w:ascii="Arial" w:cs="Arial" w:eastAsia="Arial" w:hAnsi="Arial"/>
          <w:sz w:val="15"/>
          <w:szCs w:val="15"/>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28" w:lineRule="exact"/>
        <w:rPr>
          <w:sz w:val="20"/>
          <w:szCs w:val="20"/>
          <w:color w:val="auto"/>
        </w:rPr>
      </w:pPr>
    </w:p>
    <w:p>
      <w:pPr>
        <w:ind w:left="1140" w:hanging="279"/>
        <w:spacing w:after="0"/>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no cumulative voting in the election of directors, which limits the ability of minority stockholders to elect director candidates; and</w:t>
      </w:r>
    </w:p>
    <w:p>
      <w:pPr>
        <w:spacing w:after="0" w:line="200" w:lineRule="exact"/>
        <w:rPr>
          <w:rFonts w:ascii="Arial" w:cs="Arial" w:eastAsia="Arial" w:hAnsi="Arial"/>
          <w:sz w:val="16"/>
          <w:szCs w:val="16"/>
          <w:color w:val="A6A6A6"/>
        </w:rPr>
      </w:pPr>
    </w:p>
    <w:p>
      <w:pPr>
        <w:ind w:left="1140" w:right="260" w:hanging="279"/>
        <w:spacing w:after="0" w:line="277" w:lineRule="auto"/>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28"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2" w:lineRule="exact"/>
        <w:rPr>
          <w:sz w:val="20"/>
          <w:szCs w:val="20"/>
          <w:color w:val="auto"/>
        </w:rPr>
      </w:pPr>
    </w:p>
    <w:p>
      <w:pPr>
        <w:ind w:firstLine="360"/>
        <w:spacing w:after="0" w:line="276" w:lineRule="auto"/>
        <w:rPr>
          <w:sz w:val="20"/>
          <w:szCs w:val="20"/>
          <w:color w:val="auto"/>
        </w:rPr>
      </w:pPr>
      <w:r>
        <w:rPr>
          <w:rFonts w:ascii="Arial" w:cs="Arial" w:eastAsia="Arial" w:hAnsi="Arial"/>
          <w:sz w:val="15"/>
          <w:szCs w:val="15"/>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ind w:right="160" w:firstLine="369"/>
        <w:spacing w:after="0" w:line="259" w:lineRule="auto"/>
        <w:rPr>
          <w:sz w:val="20"/>
          <w:szCs w:val="20"/>
          <w:color w:val="auto"/>
        </w:rPr>
      </w:pPr>
      <w:r>
        <w:rPr>
          <w:rFonts w:ascii="Arial" w:cs="Arial" w:eastAsia="Arial" w:hAnsi="Arial"/>
          <w:sz w:val="16"/>
          <w:szCs w:val="16"/>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200"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FDA approval of, or other regulatory action with respect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commercial launch and future sales of MG01CI or any other future products or product candidates;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ability to achieve favorable pricing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the commercial supply of our ADHD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third-party payor reimbursement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estimates regarding anticipated capital requirements and our needs for additional financing;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ADHD patient market size and market adoption of MG01CI by physicians and patients;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cost or other aspects of the commercial launch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and cost of Phase III trials for MG01CI or whether such trials will be conducted at all;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completion and receiving favorable results of Phase III trials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development and approval of the use of MG01CI for additional indications or in combination therapy;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licensing, acquisitions and strategic operations.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67"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firstLine="370"/>
        <w:spacing w:after="0" w:line="312" w:lineRule="auto"/>
        <w:rPr>
          <w:sz w:val="20"/>
          <w:szCs w:val="20"/>
          <w:color w:val="auto"/>
        </w:rPr>
      </w:pPr>
      <w:r>
        <w:rPr>
          <w:rFonts w:ascii="Arial" w:cs="Arial" w:eastAsia="Arial" w:hAnsi="Arial"/>
          <w:sz w:val="15"/>
          <w:szCs w:val="15"/>
          <w:color w:val="auto"/>
        </w:rPr>
        <w:t>We expect to receive approximately $22,191,362 in net proceeds from the sale of 3,125,000 ordinary shares offered by us in this offering (approximately $25,599,812 if the underwriters exercise their over-allotment option in full), after deducting the underwriting discounts and commissions and estimated offering expenses payable by us.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expect to use the net proceeds from this offering for:</w:t>
      </w:r>
    </w:p>
    <w:p>
      <w:pPr>
        <w:spacing w:after="0" w:line="200"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at least two advanced clinical trials of MG01CI for adult ADHD, estimated at $6,000,000 each;</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 Phase I/II clinical study in children for MG01CI, estimated at $1,000,000 to $2,000,000;</w:t>
      </w:r>
    </w:p>
    <w:p>
      <w:pPr>
        <w:spacing w:after="0" w:line="200" w:lineRule="exact"/>
        <w:rPr>
          <w:rFonts w:ascii="Arial" w:cs="Arial" w:eastAsia="Arial" w:hAnsi="Arial"/>
          <w:sz w:val="16"/>
          <w:szCs w:val="16"/>
          <w:color w:val="A6A6A6"/>
        </w:rPr>
      </w:pPr>
    </w:p>
    <w:p>
      <w:pPr>
        <w:ind w:left="580" w:right="520" w:hanging="296"/>
        <w:spacing w:after="0" w:line="277" w:lineRule="auto"/>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preparing for our proposed studies in adults and children for MG01CI, including engaging the FDA in discussions related to protocols for the trials, estimated at $1,000,000 to $3,000,000;</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evaluating MG01CI in Phase II trials for additional disorders of cognitive function, estimated at $1,000,000 to $2,000,000;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remainder for working capital and general corporate purposes.</w:t>
      </w:r>
    </w:p>
    <w:p>
      <w:pPr>
        <w:spacing w:after="0" w:line="200" w:lineRule="exact"/>
        <w:rPr>
          <w:sz w:val="20"/>
          <w:szCs w:val="20"/>
          <w:color w:val="auto"/>
        </w:rPr>
      </w:pPr>
    </w:p>
    <w:p>
      <w:pPr>
        <w:ind w:firstLine="370"/>
        <w:spacing w:after="0" w:line="264"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current understandings, commitments or agreements with respect to any material acquisition of or investment in any technologies, products or companies.</w:t>
      </w:r>
    </w:p>
    <w:p>
      <w:pPr>
        <w:spacing w:after="0" w:line="223" w:lineRule="exact"/>
        <w:rPr>
          <w:sz w:val="20"/>
          <w:szCs w:val="20"/>
          <w:color w:val="auto"/>
        </w:rPr>
      </w:pPr>
    </w:p>
    <w:p>
      <w:pPr>
        <w:ind w:right="120" w:firstLine="370"/>
        <w:spacing w:after="0" w:line="277" w:lineRule="auto"/>
        <w:rPr>
          <w:sz w:val="20"/>
          <w:szCs w:val="20"/>
          <w:color w:val="auto"/>
        </w:rPr>
      </w:pPr>
      <w:r>
        <w:rPr>
          <w:rFonts w:ascii="Arial" w:cs="Arial" w:eastAsia="Arial" w:hAnsi="Arial"/>
          <w:sz w:val="16"/>
          <w:szCs w:val="16"/>
          <w:color w:val="auto"/>
        </w:rPr>
        <w:t>We expect to conduct two Phase III clinical trials for adult ADHD. We do not expect that these funds will be adequate to complete the Phase III clinical trials required for pediatric approval, which will require us to raise additional funds for this purpose.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“Description of Share Capital—Dividend and Liquidation Rights” for additional information.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dividends may be subject to Israeli withholding taxes. See “Taxation—Israeli Tax Considerations” for additional information.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0"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as of December 31, 2012:</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on an actual basis;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5"/>
          <w:szCs w:val="15"/>
          <w:color w:val="A6A6A6"/>
        </w:rPr>
      </w:pPr>
      <w:r>
        <w:rPr>
          <w:rFonts w:ascii="Arial" w:cs="Arial" w:eastAsia="Arial" w:hAnsi="Arial"/>
          <w:sz w:val="15"/>
          <w:szCs w:val="15"/>
          <w:color w:val="auto"/>
        </w:rPr>
        <w:t>on a pro forma basis to give effect to the mandatory conversion of our Convertible Notes at the closing of this offering and the Warrant Cashless Exercise; and</w:t>
      </w:r>
    </w:p>
    <w:p>
      <w:pPr>
        <w:spacing w:after="0" w:line="211" w:lineRule="exact"/>
        <w:rPr>
          <w:rFonts w:ascii="Arial" w:cs="Arial" w:eastAsia="Arial" w:hAnsi="Arial"/>
          <w:sz w:val="15"/>
          <w:szCs w:val="15"/>
          <w:color w:val="A6A6A6"/>
        </w:rPr>
      </w:pPr>
    </w:p>
    <w:p>
      <w:pPr>
        <w:ind w:left="580" w:right="80" w:hanging="296"/>
        <w:spacing w:after="0" w:line="308" w:lineRule="auto"/>
        <w:tabs>
          <w:tab w:leader="none" w:pos="580" w:val="left"/>
        </w:tabs>
        <w:numPr>
          <w:ilvl w:val="0"/>
          <w:numId w:val="33"/>
        </w:numPr>
        <w:rPr>
          <w:rFonts w:ascii="Arial" w:cs="Arial" w:eastAsia="Arial" w:hAnsi="Arial"/>
          <w:sz w:val="14"/>
          <w:szCs w:val="14"/>
          <w:color w:val="A6A6A6"/>
        </w:rPr>
      </w:pPr>
      <w:r>
        <w:rPr>
          <w:rFonts w:ascii="Arial" w:cs="Arial" w:eastAsia="Arial" w:hAnsi="Arial"/>
          <w:sz w:val="14"/>
          <w:szCs w:val="14"/>
          <w:color w:val="auto"/>
        </w:rPr>
        <w:t>on a pro forma, as adjusted, basis to also give effect to: (i) the sale of 3,125,000 ordinary shares in this offering at an initial public offering price of $8.00 per share, after deducting underwriting discounts and commissions and estimated offering expenses payable by us; (ii) the conversion of Convertible Notes in the principal amount of $600,000 and accrued interest in the amount of $10,000 (as of December 31, 2012) at the closing of the offering, at an assumed conversion price of $6.00 (75% of an initial public offering price of $8.00, as if the sale of the shares in each case had occurred on December 31, 2012; and (iii) the Warrant Cashless Exercise.</w:t>
      </w:r>
    </w:p>
    <w:p>
      <w:pPr>
        <w:spacing w:after="0" w:line="135"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2012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8"/>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2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320" w:type="dxa"/>
            <w:vAlign w:val="bottom"/>
          </w:tcPr>
          <w:p>
            <w:pPr>
              <w:jc w:val="center"/>
              <w:ind w:right="240"/>
              <w:spacing w:after="0"/>
              <w:rPr>
                <w:sz w:val="20"/>
                <w:szCs w:val="20"/>
                <w:color w:val="auto"/>
              </w:rPr>
            </w:pPr>
            <w:r>
              <w:rPr>
                <w:rFonts w:ascii="Arial" w:cs="Arial" w:eastAsia="Arial" w:hAnsi="Arial"/>
                <w:sz w:val="16"/>
                <w:szCs w:val="16"/>
                <w:b w:val="1"/>
                <w:bCs w:val="1"/>
                <w:color w:val="auto"/>
                <w:w w:val="91"/>
              </w:rPr>
              <w:t>(unaudited)</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Convertible Notes</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tcPr>
          <w:p>
            <w:pPr>
              <w:spacing w:after="0" w:line="180" w:lineRule="exact"/>
              <w:rPr>
                <w:sz w:val="20"/>
                <w:szCs w:val="20"/>
                <w:color w:val="auto"/>
              </w:rPr>
            </w:pPr>
            <w:r>
              <w:rPr>
                <w:rFonts w:ascii="Arial" w:cs="Arial" w:eastAsia="Arial" w:hAnsi="Arial"/>
                <w:sz w:val="16"/>
                <w:szCs w:val="16"/>
                <w:color w:val="auto"/>
              </w:rPr>
              <w:t>Ordinary shares of NIS 0.01 par value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5"/>
              </w:rPr>
              <w:t>10,000,000 shares authorized at December 31, 2012 and 2011; 8,098,581 and 8,096,109 issued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0"/>
              </w:rPr>
              <w:t>shares at December 31, 2012 and 2011, respectively; 7,794,256 and 8,096,109 shares outstanding at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700" w:type="dxa"/>
            <w:vAlign w:val="bottom"/>
          </w:tcPr>
          <w:p>
            <w:pPr>
              <w:ind w:left="140"/>
              <w:spacing w:after="0"/>
              <w:rPr>
                <w:sz w:val="20"/>
                <w:szCs w:val="20"/>
                <w:color w:val="auto"/>
              </w:rPr>
            </w:pPr>
            <w:r>
              <w:rPr>
                <w:rFonts w:ascii="Arial" w:cs="Arial" w:eastAsia="Arial" w:hAnsi="Arial"/>
                <w:sz w:val="16"/>
                <w:szCs w:val="16"/>
                <w:color w:val="auto"/>
              </w:rPr>
              <w:t>December 31, 2012 and 2011, respectively</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7,615</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22,992</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30,607</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(8,186)</w:t>
            </w:r>
          </w:p>
        </w:tc>
        <w:tc>
          <w:tcPr>
            <w:tcW w:w="28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(8,334)</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22,853</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22,286</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Total capitalization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22,191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22,286</w:t>
            </w:r>
          </w:p>
        </w:tc>
      </w:tr>
    </w:tbl>
    <w:p>
      <w:pPr>
        <w:spacing w:after="0" w:line="167" w:lineRule="exact"/>
        <w:rPr>
          <w:sz w:val="20"/>
          <w:szCs w:val="20"/>
          <w:color w:val="auto"/>
        </w:rPr>
      </w:pPr>
    </w:p>
    <w:p>
      <w:pPr>
        <w:ind w:right="4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April 1, 2013 (giving prospective effect to the issuance on May 19, 2013 of bonus shares equivalent to a stock split described below) and includes also: (i) 122,436 shares resulting from the mandatory conversion of our outstanding convertible notes upon closing of this offering and (ii) 85,192 shares issued in connection with the Warrant Cashless Exercise. This number excludes:</w:t>
      </w:r>
    </w:p>
    <w:p>
      <w:pPr>
        <w:spacing w:after="0" w:line="167" w:lineRule="exact"/>
        <w:rPr>
          <w:sz w:val="20"/>
          <w:szCs w:val="20"/>
          <w:color w:val="auto"/>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640" w:right="140" w:hanging="284"/>
        <w:spacing w:after="0" w:line="277" w:lineRule="auto"/>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6"/>
          <w:szCs w:val="16"/>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DILUTION</w:t>
      </w:r>
    </w:p>
    <w:p>
      <w:pPr>
        <w:spacing w:after="0" w:line="204" w:lineRule="exact"/>
        <w:rPr>
          <w:sz w:val="20"/>
          <w:szCs w:val="20"/>
          <w:color w:val="auto"/>
        </w:rPr>
      </w:pPr>
    </w:p>
    <w:p>
      <w:pPr>
        <w:ind w:right="300" w:firstLine="370"/>
        <w:spacing w:after="0" w:line="312" w:lineRule="auto"/>
        <w:rPr>
          <w:sz w:val="20"/>
          <w:szCs w:val="20"/>
          <w:color w:val="auto"/>
        </w:rPr>
      </w:pPr>
      <w:r>
        <w:rPr>
          <w:rFonts w:ascii="Arial" w:cs="Arial" w:eastAsia="Arial" w:hAnsi="Arial"/>
          <w:sz w:val="15"/>
          <w:szCs w:val="15"/>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28" w:lineRule="exact"/>
        <w:rPr>
          <w:sz w:val="20"/>
          <w:szCs w:val="20"/>
          <w:color w:val="auto"/>
        </w:rPr>
      </w:pPr>
    </w:p>
    <w:p>
      <w:pPr>
        <w:ind w:right="20" w:firstLine="370"/>
        <w:spacing w:after="0" w:line="308" w:lineRule="auto"/>
        <w:rPr>
          <w:sz w:val="20"/>
          <w:szCs w:val="20"/>
          <w:color w:val="auto"/>
        </w:rPr>
      </w:pPr>
      <w:r>
        <w:rPr>
          <w:rFonts w:ascii="Arial" w:cs="Arial" w:eastAsia="Arial" w:hAnsi="Arial"/>
          <w:sz w:val="14"/>
          <w:szCs w:val="14"/>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$6.00 into 101,667 ordinary shares and the cashless exercise of 129,257 warrants resulting in the issuance of 85,192 shares, our historical net tangible book value per share was $0.012.</w:t>
      </w:r>
    </w:p>
    <w:p>
      <w:pPr>
        <w:spacing w:after="0" w:line="135" w:lineRule="exact"/>
        <w:rPr>
          <w:sz w:val="20"/>
          <w:szCs w:val="20"/>
          <w:color w:val="auto"/>
        </w:rPr>
      </w:pPr>
    </w:p>
    <w:p>
      <w:pPr>
        <w:ind w:right="340" w:firstLine="360"/>
        <w:spacing w:after="0" w:line="282" w:lineRule="auto"/>
        <w:rPr>
          <w:sz w:val="20"/>
          <w:szCs w:val="20"/>
          <w:color w:val="auto"/>
        </w:rPr>
      </w:pPr>
      <w:r>
        <w:rPr>
          <w:rFonts w:ascii="Arial" w:cs="Arial" w:eastAsia="Arial" w:hAnsi="Arial"/>
          <w:sz w:val="15"/>
          <w:szCs w:val="15"/>
          <w:color w:val="auto"/>
        </w:rPr>
        <w:t>The pro forma as adjusted net tangible book value of our ordinary shares as of December 31, 2012 was $22,286,362, or $2.007 per share. The pro forma as adjusted net tangible book value gives effect to the sale of ordinary shares in this offering at an initial public offering price of $8.00 per share, after deducting underwriting discounts and commissions and estimated offering expenses payable by us. The difference between the initial public offering price and the pro forma as adjusted net tangible book value (deficit) per share represents an immediate dilution of $5.993 per share to new investors purchasing ordinary shares in this offering.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on a per share basis to new investors: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Initial public offering price per share</w:t>
            </w:r>
          </w:p>
        </w:tc>
        <w:tc>
          <w:tcPr>
            <w:tcW w:w="68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tangible book value per share before this offering, as of December 31, 2012</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w w:val="99"/>
              </w:rPr>
              <w:t>Pro forma increase in net tangible book value per share attributable to conversion of promissory notes</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0.082</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net tangible book value per share as of December 31, 2012</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0.012</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Increase in net tangible book value per share attributable to new investors in this offering</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1.995</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offering</w:t>
            </w: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Dilution in pro forma tangible book value (deficit) per share to new investors</w:t>
            </w:r>
          </w:p>
        </w:tc>
        <w:tc>
          <w:tcPr>
            <w:tcW w:w="68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5.993</w:t>
            </w:r>
          </w:p>
        </w:tc>
        <w:tc>
          <w:tcPr>
            <w:tcW w:w="1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firstLine="369"/>
        <w:spacing w:after="0" w:line="319" w:lineRule="auto"/>
        <w:rPr>
          <w:sz w:val="20"/>
          <w:szCs w:val="20"/>
          <w:color w:val="auto"/>
        </w:rPr>
      </w:pPr>
      <w:r>
        <w:rPr>
          <w:rFonts w:ascii="Arial" w:cs="Arial" w:eastAsia="Arial" w:hAnsi="Arial"/>
          <w:sz w:val="14"/>
          <w:szCs w:val="14"/>
          <w:color w:val="auto"/>
        </w:rPr>
        <w:t>If the underwriters’ over-allotment option to purchase additional shares from us is exercised in full, and based on an initial public offering price of $8.00 per share, the pro forma as adjusted net tangible book value per share after this offering would be approximately $2.22 per share, the increase in the pro forma net tangible book value per share attributable to new investors would be approximately $2.21 per share and the dilution to new investors purchasing shares in this offering would be approximately $5.78 per share.</w:t>
      </w:r>
    </w:p>
    <w:p>
      <w:pPr>
        <w:spacing w:after="0" w:line="127" w:lineRule="exact"/>
        <w:rPr>
          <w:sz w:val="20"/>
          <w:szCs w:val="20"/>
          <w:color w:val="auto"/>
        </w:rPr>
      </w:pPr>
    </w:p>
    <w:p>
      <w:pPr>
        <w:ind w:right="60" w:firstLine="360"/>
        <w:spacing w:after="0" w:line="289" w:lineRule="auto"/>
        <w:rPr>
          <w:sz w:val="20"/>
          <w:szCs w:val="20"/>
          <w:color w:val="auto"/>
        </w:rPr>
      </w:pPr>
      <w:r>
        <w:rPr>
          <w:rFonts w:ascii="Arial" w:cs="Arial" w:eastAsia="Arial" w:hAnsi="Arial"/>
          <w:sz w:val="15"/>
          <w:szCs w:val="15"/>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$8.00 per share, before deducting underwriting discounts and commissions and estimated offering expenses payable by 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r>
      <w:tr>
        <w:trPr>
          <w:trHeight w:val="209"/>
        </w:trPr>
        <w:tc>
          <w:tcPr>
            <w:tcW w:w="3660" w:type="dxa"/>
            <w:vAlign w:val="bottom"/>
          </w:tcPr>
          <w:p>
            <w:pPr>
              <w:spacing w:after="0"/>
              <w:rPr>
                <w:sz w:val="18"/>
                <w:szCs w:val="18"/>
                <w:color w:val="auto"/>
              </w:rPr>
            </w:pPr>
          </w:p>
        </w:tc>
        <w:tc>
          <w:tcPr>
            <w:tcW w:w="2520" w:type="dxa"/>
            <w:vAlign w:val="bottom"/>
            <w:gridSpan w:val="3"/>
          </w:tcPr>
          <w:p>
            <w:pPr>
              <w:ind w:left="80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Total Consideration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r>
      <w:tr>
        <w:trPr>
          <w:trHeight w:val="196"/>
        </w:trPr>
        <w:tc>
          <w:tcPr>
            <w:tcW w:w="3660" w:type="dxa"/>
            <w:vAlign w:val="bottom"/>
            <w:tcBorders>
              <w:bottom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top w:val="single" w:sz="8" w:color="auto"/>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bottom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0"/>
              </w:rPr>
              <w:t>Per Share</w:t>
            </w:r>
          </w:p>
        </w:tc>
        <w:tc>
          <w:tcPr>
            <w:tcW w:w="120" w:type="dxa"/>
            <w:vAlign w:val="bottom"/>
            <w:tcBorders>
              <w:bottom w:val="single" w:sz="8" w:color="CCFFCC"/>
            </w:tcBorders>
          </w:tcPr>
          <w:p>
            <w:pPr>
              <w:spacing w:after="0"/>
              <w:rPr>
                <w:sz w:val="17"/>
                <w:szCs w:val="17"/>
                <w:color w:val="auto"/>
              </w:rPr>
            </w:pPr>
          </w:p>
        </w:tc>
      </w:tr>
      <w:tr>
        <w:trPr>
          <w:trHeight w:val="184"/>
        </w:trPr>
        <w:tc>
          <w:tcPr>
            <w:tcW w:w="3660" w:type="dxa"/>
            <w:vAlign w:val="bottom"/>
            <w:shd w:val="clear" w:color="auto" w:fill="CCFFCC"/>
          </w:tcPr>
          <w:p>
            <w:pPr>
              <w:spacing w:after="0"/>
              <w:rPr>
                <w:sz w:val="20"/>
                <w:szCs w:val="20"/>
                <w:color w:val="auto"/>
              </w:rPr>
            </w:pPr>
            <w:r>
              <w:rPr>
                <w:rFonts w:ascii="Arial" w:cs="Arial" w:eastAsia="Arial" w:hAnsi="Arial"/>
                <w:sz w:val="16"/>
                <w:szCs w:val="16"/>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7,981,115</w:t>
            </w:r>
          </w:p>
        </w:tc>
        <w:tc>
          <w:tcPr>
            <w:tcW w:w="3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6"/>
                <w:szCs w:val="16"/>
                <w:color w:val="auto"/>
                <w:w w:val="92"/>
              </w:rPr>
              <w:t>71.9%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5,761,000</w:t>
            </w:r>
          </w:p>
        </w:tc>
        <w:tc>
          <w:tcPr>
            <w:tcW w:w="3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6"/>
              </w:rPr>
              <w:t>18.7%</w:t>
            </w: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FFCC"/>
          </w:tcPr>
          <w:p>
            <w:pPr>
              <w:spacing w:after="0"/>
              <w:rPr>
                <w:sz w:val="16"/>
                <w:szCs w:val="16"/>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New investors</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3,125,000</w:t>
            </w:r>
          </w:p>
        </w:tc>
        <w:tc>
          <w:tcPr>
            <w:tcW w:w="940" w:type="dxa"/>
            <w:vAlign w:val="bottom"/>
          </w:tcPr>
          <w:p>
            <w:pPr>
              <w:spacing w:after="0"/>
              <w:rPr>
                <w:sz w:val="17"/>
                <w:szCs w:val="17"/>
                <w:color w:val="auto"/>
              </w:rPr>
            </w:pPr>
          </w:p>
        </w:tc>
        <w:tc>
          <w:tcPr>
            <w:tcW w:w="680" w:type="dxa"/>
            <w:vAlign w:val="bottom"/>
            <w:gridSpan w:val="2"/>
          </w:tcPr>
          <w:p>
            <w:pPr>
              <w:jc w:val="right"/>
              <w:ind w:right="165"/>
              <w:spacing w:after="0"/>
              <w:rPr>
                <w:sz w:val="20"/>
                <w:szCs w:val="20"/>
                <w:color w:val="auto"/>
              </w:rPr>
            </w:pPr>
            <w:r>
              <w:rPr>
                <w:rFonts w:ascii="Arial" w:cs="Arial" w:eastAsia="Arial" w:hAnsi="Arial"/>
                <w:sz w:val="16"/>
                <w:szCs w:val="16"/>
                <w:color w:val="auto"/>
                <w:w w:val="92"/>
              </w:rPr>
              <w:t>28.1%</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25,000,000</w:t>
            </w:r>
          </w:p>
        </w:tc>
        <w:tc>
          <w:tcPr>
            <w:tcW w:w="9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r>
      <w:tr>
        <w:trPr>
          <w:trHeight w:val="196"/>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11,106,115</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top w:val="single" w:sz="8" w:color="CCFFCC"/>
              <w:bottom w:val="single" w:sz="8" w:color="CCFFCC"/>
            </w:tcBorders>
            <w:shd w:val="clear" w:color="auto" w:fill="CCFFCC"/>
          </w:tcPr>
          <w:p>
            <w:pPr>
              <w:jc w:val="right"/>
              <w:ind w:right="165"/>
              <w:spacing w:after="0"/>
              <w:rPr>
                <w:sz w:val="20"/>
                <w:szCs w:val="20"/>
                <w:color w:val="auto"/>
              </w:rPr>
            </w:pPr>
            <w:r>
              <w:rPr>
                <w:rFonts w:ascii="Arial" w:cs="Arial" w:eastAsia="Arial" w:hAnsi="Arial"/>
                <w:sz w:val="15"/>
                <w:szCs w:val="15"/>
                <w:color w:val="auto"/>
                <w:w w:val="74"/>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30,761,000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auto"/>
            </w:tcBorders>
            <w:shd w:val="clear" w:color="auto" w:fill="CCFFCC"/>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December 31, 2012 (giving prospective effect to the issuance on May 19, 2013 of bonus shares equivalent to a stock split described below) and includes also: (i) 101,667 shares resulting from the mandatory conversion of our outstanding convertible notes upon closing of this offering as if the conversion had occurred on December 31, 2012 and (ii) 85,192 shares issued in connection with the Warrant Cashless Exercise. This number excludes:</w:t>
      </w:r>
    </w:p>
    <w:p>
      <w:pPr>
        <w:spacing w:after="0" w:line="167" w:lineRule="exact"/>
        <w:rPr>
          <w:sz w:val="20"/>
          <w:szCs w:val="20"/>
          <w:color w:val="auto"/>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December 31, 2012 under our equity incentive plan;</w:t>
      </w:r>
    </w:p>
    <w:p>
      <w:pPr>
        <w:spacing w:after="0" w:line="200" w:lineRule="exact"/>
        <w:rPr>
          <w:rFonts w:ascii="Arial" w:cs="Arial" w:eastAsia="Arial" w:hAnsi="Arial"/>
          <w:sz w:val="16"/>
          <w:szCs w:val="16"/>
          <w:color w:val="A6A6A6"/>
        </w:rPr>
      </w:pPr>
    </w:p>
    <w:p>
      <w:pPr>
        <w:ind w:left="940" w:right="240" w:hanging="295"/>
        <w:spacing w:after="0" w:line="277" w:lineRule="auto"/>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December 31, 2012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7,009 shares reserved as of December 31, 2012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the extent that new options are granted under our equity benefit plans, there will be further dilution to investors purchasing ordinary shares in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204" w:lineRule="exact"/>
        <w:rPr>
          <w:sz w:val="20"/>
          <w:szCs w:val="20"/>
          <w:color w:val="auto"/>
        </w:rPr>
      </w:pPr>
    </w:p>
    <w:p>
      <w:pPr>
        <w:ind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3"/>
              </w:rPr>
              <w:t>Research and development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w:t>
            </w:r>
          </w:p>
        </w:tc>
        <w:tc>
          <w:tcPr>
            <w:tcW w:w="5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4"/>
              </w:rPr>
              <w:t>General and administrative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Financial expense, net</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Deemed dividend</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180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1"/>
              </w:rPr>
              <w:t>Loss attributable to holders of ordinary</w:t>
            </w:r>
          </w:p>
        </w:tc>
        <w:tc>
          <w:tcPr>
            <w:tcW w:w="4000" w:type="dxa"/>
            <w:vAlign w:val="bottom"/>
            <w:gridSpan w:val="2"/>
            <w:shd w:val="clear" w:color="auto" w:fill="CCFFCC"/>
          </w:tcPr>
          <w:p>
            <w:pPr>
              <w:jc w:val="right"/>
              <w:ind w:right="3480"/>
              <w:spacing w:after="0"/>
              <w:rPr>
                <w:sz w:val="20"/>
                <w:szCs w:val="20"/>
                <w:color w:val="auto"/>
              </w:rPr>
            </w:pPr>
            <w:r>
              <w:rPr>
                <w:rFonts w:ascii="Arial" w:cs="Arial" w:eastAsia="Arial" w:hAnsi="Arial"/>
                <w:sz w:val="16"/>
                <w:szCs w:val="16"/>
                <w:color w:val="auto"/>
                <w:w w:val="87"/>
              </w:rPr>
              <w:t>shares</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1,579</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52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1"/>
              </w:rPr>
              <w:t>Weighted average number of ordinary shares used in computing basic and diluted net loss per share</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Year Ended December 31, 2012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Pro forma</w:t>
            </w:r>
          </w:p>
        </w:tc>
        <w:tc>
          <w:tcPr>
            <w:tcW w:w="580" w:type="dxa"/>
            <w:vAlign w:val="bottom"/>
          </w:tcPr>
          <w:p>
            <w:pPr>
              <w:spacing w:after="0"/>
              <w:rPr>
                <w:sz w:val="14"/>
                <w:szCs w:val="14"/>
                <w:color w:val="auto"/>
              </w:rPr>
            </w:pPr>
          </w:p>
        </w:tc>
        <w:tc>
          <w:tcPr>
            <w:tcW w:w="1460" w:type="dxa"/>
            <w:vAlign w:val="bottom"/>
            <w:gridSpan w:val="3"/>
          </w:tcPr>
          <w:p>
            <w:pPr>
              <w:ind w:left="620"/>
              <w:spacing w:after="0" w:line="168" w:lineRule="exact"/>
              <w:rPr>
                <w:sz w:val="20"/>
                <w:szCs w:val="20"/>
                <w:color w:val="auto"/>
              </w:rPr>
            </w:pPr>
            <w:r>
              <w:rPr>
                <w:rFonts w:ascii="Arial" w:cs="Arial" w:eastAsia="Arial" w:hAnsi="Arial"/>
                <w:sz w:val="16"/>
                <w:szCs w:val="16"/>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5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6"/>
                <w:szCs w:val="16"/>
                <w:b w:val="1"/>
                <w:bCs w:val="1"/>
                <w:color w:val="auto"/>
                <w:w w:val="90"/>
              </w:rPr>
              <w:t>as adjusted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(1)(2)</w:t>
            </w:r>
          </w:p>
        </w:tc>
        <w:tc>
          <w:tcPr>
            <w:tcW w:w="58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gridSpan w:val="3"/>
            <w:shd w:val="clear" w:color="auto" w:fill="CCFFCC"/>
          </w:tcPr>
          <w:p>
            <w:pPr>
              <w:ind w:left="1740"/>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4000" w:type="dxa"/>
            <w:vAlign w:val="bottom"/>
            <w:gridSpan w:val="2"/>
            <w:shd w:val="clear" w:color="auto" w:fill="CCFFCC"/>
          </w:tcPr>
          <w:p>
            <w:pPr>
              <w:jc w:val="right"/>
              <w:ind w:right="1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22,853</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22,286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mandatory conversion of our outstanding Convertible Notes on the closing of this offering.</w:t>
      </w:r>
    </w:p>
    <w:p>
      <w:pPr>
        <w:spacing w:after="0" w:line="20" w:lineRule="exact"/>
        <w:rPr>
          <w:rFonts w:ascii="Arial" w:cs="Arial" w:eastAsia="Arial" w:hAnsi="Arial"/>
          <w:sz w:val="16"/>
          <w:szCs w:val="16"/>
          <w:color w:val="auto"/>
        </w:rPr>
      </w:pPr>
    </w:p>
    <w:p>
      <w:pPr>
        <w:ind w:left="580" w:hanging="296"/>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sale of 3,125,000 ordinary shares in this offering at the initial public offering price of $8.00 per share, after deducting underwriting discounts and commissions and estimated offering expenses payable by us, as if the sale had occurred on December 31, 2012.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88"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4" w:lineRule="exact"/>
        <w:rPr>
          <w:sz w:val="20"/>
          <w:szCs w:val="20"/>
          <w:color w:val="auto"/>
        </w:rPr>
      </w:pPr>
    </w:p>
    <w:p>
      <w:pPr>
        <w:jc w:val="both"/>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jc w:val="both"/>
        <w:ind w:right="20" w:firstLine="346"/>
        <w:spacing w:after="0" w:line="274" w:lineRule="auto"/>
        <w:rPr>
          <w:sz w:val="20"/>
          <w:szCs w:val="20"/>
          <w:color w:val="auto"/>
        </w:rPr>
      </w:pPr>
      <w:r>
        <w:rPr>
          <w:rFonts w:ascii="Arial" w:cs="Arial" w:eastAsia="Arial" w:hAnsi="Arial"/>
          <w:sz w:val="15"/>
          <w:szCs w:val="15"/>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59"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52"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5"/>
          <w:szCs w:val="15"/>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Overview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360"/>
              <w:spacing w:after="0"/>
              <w:rPr>
                <w:sz w:val="20"/>
                <w:szCs w:val="20"/>
                <w:color w:val="auto"/>
              </w:rPr>
            </w:pPr>
            <w:r>
              <w:rPr>
                <w:rFonts w:ascii="Arial" w:cs="Arial" w:eastAsia="Arial" w:hAnsi="Arial"/>
                <w:sz w:val="16"/>
                <w:szCs w:val="16"/>
                <w:color w:val="auto"/>
                <w:w w:val="98"/>
              </w:rPr>
              <w:t>The following table discloses the breakdown of research and development expenses for the last two fiscal years.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4"/>
            <w:vMerge w:val="restart"/>
          </w:tcPr>
          <w:p>
            <w:pPr>
              <w:jc w:val="right"/>
              <w:ind w:right="25"/>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FFCC"/>
            </w:tcBorders>
          </w:tcPr>
          <w:p>
            <w:pPr>
              <w:spacing w:after="0"/>
              <w:rPr>
                <w:sz w:val="16"/>
                <w:szCs w:val="16"/>
                <w:color w:val="auto"/>
              </w:rPr>
            </w:pPr>
          </w:p>
        </w:tc>
        <w:tc>
          <w:tcPr>
            <w:tcW w:w="24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8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Salaries and related personnel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Cost to third party clinical consultants and expenses related to conducting clinical trials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Travel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Represents an amount less than $1.</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2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163"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Critical Accounting Policies and Estimate</w:t>
      </w:r>
    </w:p>
    <w:p>
      <w:pPr>
        <w:spacing w:after="0" w:line="204"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("U.S. GAAP").</w:t>
      </w:r>
    </w:p>
    <w:p>
      <w:pPr>
        <w:spacing w:after="0" w:line="200" w:lineRule="exact"/>
        <w:rPr>
          <w:sz w:val="20"/>
          <w:szCs w:val="20"/>
          <w:color w:val="auto"/>
        </w:rPr>
      </w:pPr>
    </w:p>
    <w:p>
      <w:pPr>
        <w:jc w:val="both"/>
        <w:ind w:right="20" w:firstLine="346"/>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67"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and Fair Value of Ordinary Shares</w:t>
      </w:r>
    </w:p>
    <w:p>
      <w:pPr>
        <w:spacing w:after="0" w:line="200" w:lineRule="exact"/>
        <w:rPr>
          <w:sz w:val="20"/>
          <w:szCs w:val="20"/>
          <w:color w:val="auto"/>
        </w:rPr>
      </w:pPr>
    </w:p>
    <w:p>
      <w:pPr>
        <w:ind w:right="80" w:firstLine="346"/>
        <w:spacing w:after="0" w:line="259" w:lineRule="auto"/>
        <w:rPr>
          <w:sz w:val="20"/>
          <w:szCs w:val="20"/>
          <w:color w:val="auto"/>
        </w:rPr>
      </w:pPr>
      <w:r>
        <w:rPr>
          <w:rFonts w:ascii="Arial" w:cs="Arial" w:eastAsia="Arial" w:hAnsi="Arial"/>
          <w:sz w:val="16"/>
          <w:szCs w:val="16"/>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67" w:lineRule="exact"/>
        <w:rPr>
          <w:sz w:val="20"/>
          <w:szCs w:val="20"/>
          <w:color w:val="auto"/>
        </w:rPr>
      </w:pPr>
    </w:p>
    <w:p>
      <w:pPr>
        <w:ind w:right="140" w:firstLine="346"/>
        <w:spacing w:after="0" w:line="277" w:lineRule="auto"/>
        <w:rPr>
          <w:sz w:val="20"/>
          <w:szCs w:val="20"/>
          <w:color w:val="auto"/>
        </w:rPr>
      </w:pPr>
      <w:r>
        <w:rPr>
          <w:rFonts w:ascii="Arial" w:cs="Arial" w:eastAsia="Arial" w:hAnsi="Arial"/>
          <w:sz w:val="16"/>
          <w:szCs w:val="16"/>
          <w:color w:val="auto"/>
        </w:rPr>
        <w:t>We selected the Black-Scholes-Merton ("Black-Scholes") option-pricing model as a fair value method for our options awards. The option-pricing model requires a number of assumptions:</w:t>
      </w:r>
    </w:p>
    <w:p>
      <w:pPr>
        <w:spacing w:after="0" w:line="152" w:lineRule="exact"/>
        <w:rPr>
          <w:sz w:val="20"/>
          <w:szCs w:val="20"/>
          <w:color w:val="auto"/>
        </w:rPr>
      </w:pPr>
    </w:p>
    <w:p>
      <w:pPr>
        <w:ind w:left="560" w:right="640"/>
        <w:spacing w:after="0" w:line="277"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expected dividend yield assumption is based on our historical experience and expectation of no future dividend payouts.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not paid cash dividends and have no foreseeable plans to pay cash dividends in the future.</w:t>
      </w:r>
    </w:p>
    <w:p>
      <w:pPr>
        <w:spacing w:after="0" w:line="152" w:lineRule="exact"/>
        <w:rPr>
          <w:sz w:val="20"/>
          <w:szCs w:val="20"/>
          <w:color w:val="auto"/>
        </w:rPr>
      </w:pPr>
    </w:p>
    <w:p>
      <w:pPr>
        <w:ind w:left="560" w:right="200"/>
        <w:spacing w:after="0" w:line="277" w:lineRule="auto"/>
        <w:rPr>
          <w:sz w:val="20"/>
          <w:szCs w:val="20"/>
          <w:color w:val="auto"/>
        </w:rPr>
      </w:pPr>
      <w:r>
        <w:rPr>
          <w:rFonts w:ascii="Arial" w:cs="Arial" w:eastAsia="Arial" w:hAnsi="Arial"/>
          <w:sz w:val="16"/>
          <w:szCs w:val="16"/>
          <w:i w:val="1"/>
          <w:iCs w:val="1"/>
          <w:color w:val="auto"/>
        </w:rPr>
        <w:t xml:space="preserve">Volatility - </w:t>
      </w:r>
      <w:r>
        <w:rPr>
          <w:rFonts w:ascii="Arial" w:cs="Arial" w:eastAsia="Arial" w:hAnsi="Arial"/>
          <w:sz w:val="16"/>
          <w:szCs w:val="16"/>
          <w:color w:val="auto"/>
        </w:rPr>
        <w:t>Since the Company is not traded on any stock exchange market, quoted prices of our shares are unavailable. According to ASC 718-10-30-20, in case of no</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for a company, the expected volatility was based on similar companies' stock volatility.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sz w:val="20"/>
          <w:szCs w:val="20"/>
          <w:color w:val="auto"/>
        </w:rPr>
      </w:pPr>
    </w:p>
    <w:p>
      <w:pPr>
        <w:ind w:left="560" w:right="80"/>
        <w:spacing w:after="0" w:line="27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ASC 718 provides the factors to consider when estimating the expected term of an option: An option’s expected term must at least include the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4" w:name="page35"/>
    <w:bookmarkEnd w:id="34"/>
    <w:p>
      <w:pPr>
        <w:jc w:val="both"/>
        <w:ind w:left="560"/>
        <w:spacing w:after="0" w:line="277" w:lineRule="auto"/>
        <w:rPr>
          <w:sz w:val="20"/>
          <w:szCs w:val="20"/>
          <w:color w:val="auto"/>
        </w:rPr>
      </w:pPr>
      <w:r>
        <w:rPr>
          <w:rFonts w:ascii="Arial" w:cs="Arial" w:eastAsia="Arial" w:hAnsi="Arial"/>
          <w:sz w:val="16"/>
          <w:szCs w:val="16"/>
          <w:i w:val="1"/>
          <w:iCs w:val="1"/>
          <w:color w:val="auto"/>
        </w:rPr>
        <w:t xml:space="preserve">Share price </w:t>
      </w:r>
      <w:r>
        <w:rPr>
          <w:rFonts w:ascii="Arial" w:cs="Arial" w:eastAsia="Arial" w:hAnsi="Arial"/>
          <w:sz w:val="16"/>
          <w:szCs w:val="16"/>
          <w:color w:val="auto"/>
        </w:rPr>
        <w:t>- Because there has been no public market for our ordinary shares, the fair value of the ordinary shares underlying the options had been determined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using the assistance of an independent valuation firm.</w:t>
      </w:r>
    </w:p>
    <w:p>
      <w:pPr>
        <w:spacing w:after="0" w:line="152" w:lineRule="exact"/>
        <w:rPr>
          <w:sz w:val="20"/>
          <w:szCs w:val="20"/>
          <w:color w:val="auto"/>
        </w:rPr>
      </w:pPr>
    </w:p>
    <w:p>
      <w:pPr>
        <w:jc w:val="both"/>
        <w:ind w:left="560"/>
        <w:spacing w:after="0" w:line="25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68"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tcPr>
          <w:p>
            <w:pPr>
              <w:ind w:left="4960"/>
              <w:spacing w:after="0"/>
              <w:rPr>
                <w:sz w:val="20"/>
                <w:szCs w:val="20"/>
                <w:color w:val="auto"/>
              </w:rPr>
            </w:pPr>
            <w:r>
              <w:rPr>
                <w:rFonts w:ascii="Arial" w:cs="Arial" w:eastAsia="Arial" w:hAnsi="Arial"/>
                <w:sz w:val="16"/>
                <w:szCs w:val="16"/>
                <w:b w:val="1"/>
                <w:bCs w:val="1"/>
                <w:color w:val="auto"/>
              </w:rPr>
              <w:t>Results of Operations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(in thousands US$)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2,084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Operating loss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1,501</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Comprehensive loss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holders of ordinary shares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2012 to the Year Ended December 31, 2011</w:t>
            </w: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loss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As a result of the foregoing, our operating loss for the year ended December 31, 2012 was $1,501,000, as compared to an operating loss of $3,906,000 for the year ended December 31, 2011, a decrease of $2,405,000, or 62%.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expense</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We recognized financial expenses of $78,000 for the year ended December 31, 2012, representing an increase of $55,000, or 239%, compared to financial expenses of $23,000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w:t>
      </w:r>
    </w:p>
    <w:p>
      <w:pPr>
        <w:spacing w:after="0" w:line="200"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6"/>
          <w:szCs w:val="16"/>
          <w:color w:val="auto"/>
        </w:rPr>
        <w:t>As a result of the foregoing, our loss for the year ended December 31, 2012 was $1,579,000, as compared to $3,929,000 for the year ended December 31, 2011, a decrease of $2,350,000, or 60%.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Years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6"/>
                <w:szCs w:val="16"/>
                <w:b w:val="1"/>
                <w:bCs w:val="1"/>
                <w:color w:val="auto"/>
                <w:w w:val="87"/>
              </w:rPr>
              <w:t>(in thousands US$)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Operating activities</w:t>
            </w:r>
          </w:p>
        </w:tc>
        <w:tc>
          <w:tcPr>
            <w:tcW w:w="3400" w:type="dxa"/>
            <w:vAlign w:val="bottom"/>
            <w:gridSpan w:val="2"/>
            <w:shd w:val="clear" w:color="auto" w:fill="CCFFCC"/>
          </w:tcPr>
          <w:p>
            <w:pPr>
              <w:jc w:val="right"/>
              <w:ind w:right="6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94"/>
              </w:rPr>
              <w:t>(1,585)</w:t>
            </w:r>
          </w:p>
        </w:tc>
        <w:tc>
          <w:tcPr>
            <w:tcW w:w="940" w:type="dxa"/>
            <w:vAlign w:val="bottom"/>
            <w:shd w:val="clear" w:color="auto" w:fill="CCFFCC"/>
          </w:tcPr>
          <w:p>
            <w:pPr>
              <w:jc w:val="right"/>
              <w:ind w:right="6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(2,361)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Investing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1,026</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(1,041)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Financing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601</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42</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jc w:val="both"/>
        <w:ind w:right="20" w:firstLine="577"/>
        <w:spacing w:after="0" w:line="351" w:lineRule="auto"/>
        <w:rPr>
          <w:sz w:val="20"/>
          <w:szCs w:val="20"/>
          <w:color w:val="auto"/>
        </w:rPr>
      </w:pPr>
      <w:r>
        <w:rPr>
          <w:rFonts w:ascii="Arial" w:cs="Arial" w:eastAsia="Arial" w:hAnsi="Arial"/>
          <w:sz w:val="14"/>
          <w:szCs w:val="14"/>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Outlook</w:t>
      </w:r>
    </w:p>
    <w:p>
      <w:pPr>
        <w:spacing w:after="0" w:line="20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June 30, 2013. Even if we are able to raise funds in the offering contemplated herein, we believe that we will need to raise additional funds before we have any cash flow from operations.</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We believe that our existing cash resources and the net proceeds from the current offering will be sufficient to fund our projected cash requirements approximately through the conclusion of 2015.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$16 million for clinical trial activities over the course of the next 30 months. We also anticipate utilizing approximately between $1 million to $3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7" w:name="page38"/>
    <w:bookmarkEnd w:id="37"/>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progress and costs of our preclinical studies, clinical trials and other research and development activities;</w:t>
      </w:r>
    </w:p>
    <w:p>
      <w:pPr>
        <w:spacing w:after="0" w:line="20"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scope, prioritization and number of our clinical trials and other research and development programs;</w:t>
      </w:r>
    </w:p>
    <w:p>
      <w:pPr>
        <w:spacing w:after="0" w:line="8"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costs and timing of obtaining regulatory approval for our drug candidate;</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costs of filing, prosecuting, enforcing and defending patent claims and other intellectual property rights;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and timing for, strengthening our manufacturing agreements for production of sufficient clinical and commercial quantities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acquiring or undertaking the development and commercialization efforts for additional, future therapeutic applications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magnitude of our general and administrative expenses;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any cost that we may incur under current and future in- and out-licensing arrangements relating to our drug candidate; and</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payments to the OCS.</w:t>
      </w:r>
    </w:p>
    <w:p>
      <w:pPr>
        <w:spacing w:after="0" w:line="188"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Contractual Obligations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4"/>
        </w:trPr>
        <w:tc>
          <w:tcPr>
            <w:tcW w:w="6720" w:type="dxa"/>
            <w:vAlign w:val="bottom"/>
            <w:gridSpan w:val="4"/>
          </w:tcPr>
          <w:p>
            <w:pPr>
              <w:jc w:val="right"/>
              <w:ind w:right="20"/>
              <w:spacing w:after="0"/>
              <w:rPr>
                <w:sz w:val="20"/>
                <w:szCs w:val="20"/>
                <w:color w:val="auto"/>
              </w:rPr>
            </w:pPr>
            <w:r>
              <w:rPr>
                <w:rFonts w:ascii="Arial" w:cs="Arial" w:eastAsia="Arial" w:hAnsi="Arial"/>
                <w:sz w:val="16"/>
                <w:szCs w:val="16"/>
                <w:color w:val="auto"/>
              </w:rPr>
              <w:t>The following table summarizes our significant contractual obligations at December 31, 2012:</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6"/>
        </w:trPr>
        <w:tc>
          <w:tcPr>
            <w:tcW w:w="368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24"/>
                <w:szCs w:val="24"/>
                <w:color w:val="auto"/>
              </w:rPr>
            </w:pP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Less than 1 year</w:t>
            </w:r>
          </w:p>
        </w:tc>
        <w:tc>
          <w:tcPr>
            <w:tcW w:w="1760" w:type="dxa"/>
            <w:vAlign w:val="bottom"/>
          </w:tcPr>
          <w:p>
            <w:pPr>
              <w:jc w:val="right"/>
              <w:ind w:right="580"/>
              <w:spacing w:after="0"/>
              <w:rPr>
                <w:sz w:val="20"/>
                <w:szCs w:val="20"/>
                <w:color w:val="auto"/>
              </w:rPr>
            </w:pPr>
            <w:r>
              <w:rPr>
                <w:rFonts w:ascii="Arial" w:cs="Arial" w:eastAsia="Arial" w:hAnsi="Arial"/>
                <w:sz w:val="16"/>
                <w:szCs w:val="16"/>
                <w:color w:val="auto"/>
              </w:rPr>
              <w:t>1-3 years</w:t>
            </w:r>
          </w:p>
        </w:tc>
        <w:tc>
          <w:tcPr>
            <w:tcW w:w="1440" w:type="dxa"/>
            <w:vAlign w:val="bottom"/>
          </w:tcPr>
          <w:p>
            <w:pPr>
              <w:jc w:val="right"/>
              <w:ind w:right="440"/>
              <w:spacing w:after="0"/>
              <w:rPr>
                <w:sz w:val="20"/>
                <w:szCs w:val="20"/>
                <w:color w:val="auto"/>
              </w:rPr>
            </w:pPr>
            <w:r>
              <w:rPr>
                <w:rFonts w:ascii="Arial" w:cs="Arial" w:eastAsia="Arial" w:hAnsi="Arial"/>
                <w:sz w:val="16"/>
                <w:szCs w:val="16"/>
                <w:color w:val="auto"/>
              </w:rPr>
              <w:t>3-5 years</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More than 5 years</w:t>
            </w:r>
          </w:p>
        </w:tc>
      </w:tr>
      <w:tr>
        <w:trPr>
          <w:trHeight w:val="184"/>
        </w:trPr>
        <w:tc>
          <w:tcPr>
            <w:tcW w:w="36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(in thousands US$)</w:t>
            </w:r>
          </w:p>
        </w:tc>
        <w:tc>
          <w:tcPr>
            <w:tcW w:w="1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Operating leases:</w:t>
            </w:r>
          </w:p>
        </w:tc>
        <w:tc>
          <w:tcPr>
            <w:tcW w:w="56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1440" w:type="dxa"/>
            <w:vAlign w:val="bottom"/>
            <w:shd w:val="clear" w:color="auto" w:fill="CCFFCC"/>
          </w:tcPr>
          <w:p>
            <w:pPr>
              <w:spacing w:after="0"/>
              <w:rPr>
                <w:sz w:val="16"/>
                <w:szCs w:val="16"/>
                <w:color w:val="auto"/>
              </w:rPr>
            </w:pPr>
          </w:p>
        </w:tc>
        <w:tc>
          <w:tcPr>
            <w:tcW w:w="14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620" w:type="dxa"/>
            <w:vAlign w:val="bottom"/>
            <w:gridSpan w:val="2"/>
          </w:tcPr>
          <w:p>
            <w:pPr>
              <w:ind w:left="80"/>
              <w:spacing w:after="0"/>
              <w:rPr>
                <w:sz w:val="20"/>
                <w:szCs w:val="20"/>
                <w:color w:val="auto"/>
              </w:rPr>
            </w:pPr>
            <w:r>
              <w:rPr>
                <w:rFonts w:ascii="Arial" w:cs="Arial" w:eastAsia="Arial" w:hAnsi="Arial"/>
                <w:sz w:val="16"/>
                <w:szCs w:val="16"/>
                <w:color w:val="auto"/>
              </w:rPr>
              <w:t>Facility</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7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Motor Vehicles</w:t>
            </w:r>
          </w:p>
        </w:tc>
        <w:tc>
          <w:tcPr>
            <w:tcW w:w="5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15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CFFCC"/>
          </w:tcPr>
          <w:p>
            <w:pPr>
              <w:jc w:val="right"/>
              <w:ind w:right="240"/>
              <w:spacing w:after="0"/>
              <w:rPr>
                <w:sz w:val="20"/>
                <w:szCs w:val="20"/>
                <w:color w:val="auto"/>
              </w:rPr>
            </w:pPr>
            <w:r>
              <w:rPr>
                <w:rFonts w:ascii="Arial" w:cs="Arial" w:eastAsia="Arial" w:hAnsi="Arial"/>
                <w:sz w:val="16"/>
                <w:szCs w:val="16"/>
                <w:color w:val="auto"/>
              </w:rPr>
              <w:t>3</w:t>
            </w:r>
          </w:p>
        </w:tc>
        <w:tc>
          <w:tcPr>
            <w:tcW w:w="1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do not have any off-balance sheet arrangements.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ind w:right="40" w:firstLine="346"/>
        <w:spacing w:after="0" w:line="297" w:lineRule="auto"/>
        <w:rPr>
          <w:sz w:val="20"/>
          <w:szCs w:val="20"/>
          <w:color w:val="auto"/>
        </w:rPr>
      </w:pPr>
      <w:r>
        <w:rPr>
          <w:rFonts w:ascii="Arial" w:cs="Arial" w:eastAsia="Arial" w:hAnsi="Arial"/>
          <w:sz w:val="14"/>
          <w:szCs w:val="14"/>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43" w:lineRule="exact"/>
        <w:rPr>
          <w:sz w:val="20"/>
          <w:szCs w:val="20"/>
          <w:color w:val="auto"/>
        </w:rPr>
      </w:pPr>
    </w:p>
    <w:p>
      <w:pPr>
        <w:ind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right="40" w:firstLine="346"/>
        <w:spacing w:after="0" w:line="276"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49" w:lineRule="exact"/>
        <w:rPr>
          <w:sz w:val="20"/>
          <w:szCs w:val="20"/>
          <w:color w:val="auto"/>
        </w:rPr>
      </w:pPr>
    </w:p>
    <w:p>
      <w:pPr>
        <w:ind w:right="60" w:firstLine="278"/>
        <w:spacing w:after="0" w:line="258" w:lineRule="auto"/>
        <w:rPr>
          <w:sz w:val="20"/>
          <w:szCs w:val="20"/>
          <w:color w:val="auto"/>
        </w:rPr>
      </w:pPr>
      <w:r>
        <w:rPr>
          <w:rFonts w:ascii="Arial" w:cs="Arial" w:eastAsia="Arial" w:hAnsi="Arial"/>
          <w:sz w:val="18"/>
          <w:szCs w:val="18"/>
          <w:color w:val="auto"/>
        </w:rPr>
        <w:t xml:space="preserve">The only non-stimulant drug approved to treat adult ADHD is Strattera. Strattera affects the chemical norepinephrine, which is a stress hormone that </w:t>
      </w:r>
      <w:r>
        <w:rPr>
          <w:rFonts w:ascii="Arial" w:cs="Arial" w:eastAsia="Arial" w:hAnsi="Arial"/>
          <w:sz w:val="15"/>
          <w:szCs w:val="15"/>
          <w:color w:val="auto"/>
        </w:rPr>
        <w:t>affects parts of the brain where attention and responses are controlled.</w:t>
      </w:r>
      <w:r>
        <w:rPr>
          <w:rFonts w:ascii="Arial" w:cs="Arial" w:eastAsia="Arial" w:hAnsi="Arial"/>
          <w:sz w:val="18"/>
          <w:szCs w:val="18"/>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55" w:lineRule="exact"/>
        <w:rPr>
          <w:sz w:val="20"/>
          <w:szCs w:val="20"/>
          <w:color w:val="auto"/>
        </w:rPr>
      </w:pPr>
    </w:p>
    <w:p>
      <w:pPr>
        <w:ind w:right="100" w:firstLine="346"/>
        <w:spacing w:after="0" w:line="255" w:lineRule="auto"/>
        <w:rPr>
          <w:sz w:val="20"/>
          <w:szCs w:val="20"/>
          <w:color w:val="auto"/>
        </w:rPr>
      </w:pPr>
      <w:r>
        <w:rPr>
          <w:rFonts w:ascii="Arial" w:cs="Arial" w:eastAsia="Arial" w:hAnsi="Arial"/>
          <w:sz w:val="16"/>
          <w:szCs w:val="16"/>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Overview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About ADHD</w:t>
      </w:r>
    </w:p>
    <w:p>
      <w:pPr>
        <w:spacing w:after="0" w:line="200" w:lineRule="exact"/>
        <w:rPr>
          <w:sz w:val="20"/>
          <w:szCs w:val="20"/>
          <w:color w:val="auto"/>
        </w:rPr>
      </w:pPr>
    </w:p>
    <w:p>
      <w:pPr>
        <w:jc w:val="both"/>
        <w:ind w:firstLine="346"/>
        <w:spacing w:after="0" w:line="293" w:lineRule="auto"/>
        <w:rPr>
          <w:sz w:val="20"/>
          <w:szCs w:val="20"/>
          <w:color w:val="auto"/>
        </w:rPr>
      </w:pPr>
      <w:r>
        <w:rPr>
          <w:rFonts w:ascii="Arial" w:cs="Arial" w:eastAsia="Arial" w:hAnsi="Arial"/>
          <w:sz w:val="14"/>
          <w:szCs w:val="14"/>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9" w:name="page40"/>
    <w:bookmarkEnd w:id="39"/>
    <w:p>
      <w:pPr>
        <w:ind w:left="360"/>
        <w:spacing w:after="0"/>
        <w:rPr>
          <w:sz w:val="20"/>
          <w:szCs w:val="20"/>
          <w:color w:val="auto"/>
        </w:rPr>
      </w:pPr>
      <w:r>
        <w:rPr>
          <w:rFonts w:ascii="Arial" w:cs="Arial" w:eastAsia="Arial" w:hAnsi="Arial"/>
          <w:sz w:val="16"/>
          <w:szCs w:val="16"/>
          <w:b w:val="1"/>
          <w:bCs w:val="1"/>
          <w:i w:val="1"/>
          <w:iCs w:val="1"/>
          <w:color w:val="auto"/>
        </w:rPr>
        <w:t>Development of ADHD Symptoms</w:t>
      </w:r>
    </w:p>
    <w:p>
      <w:pPr>
        <w:spacing w:after="0" w:line="2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Once perceived to only affect children, ADHD is now known to persist into adolescence and adulthood in a sizeable number of cases. The following graphic illustrates how the nature of ADHD symptoms change with age: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4"/>
              </w:rPr>
              <w:t>Adolescents</w:t>
            </w:r>
          </w:p>
        </w:tc>
        <w:tc>
          <w:tcPr>
            <w:tcW w:w="376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Adults</w:t>
            </w:r>
          </w:p>
        </w:tc>
      </w:tr>
      <w:tr>
        <w:trPr>
          <w:trHeight w:val="1213"/>
        </w:trPr>
        <w:tc>
          <w:tcPr>
            <w:tcW w:w="3900" w:type="dxa"/>
            <w:vAlign w:val="bottom"/>
            <w:tcBorders>
              <w:lef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tcBorders>
              <w:right w:val="single" w:sz="8" w:color="A6A6A6"/>
            </w:tcBorders>
          </w:tcPr>
          <w:p>
            <w:pPr>
              <w:spacing w:after="0"/>
              <w:rPr>
                <w:sz w:val="24"/>
                <w:szCs w:val="24"/>
                <w:color w:val="auto"/>
              </w:rPr>
            </w:pPr>
          </w:p>
        </w:tc>
      </w:tr>
      <w:tr>
        <w:trPr>
          <w:trHeight w:val="148"/>
        </w:trPr>
        <w:tc>
          <w:tcPr>
            <w:tcW w:w="3900" w:type="dxa"/>
            <w:vAlign w:val="bottom"/>
            <w:tcBorders>
              <w:top w:val="single" w:sz="8" w:color="auto"/>
              <w:left w:val="single" w:sz="8" w:color="A6A6A6"/>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0"/>
              </w:rPr>
              <w:t>Hyperactive</w:t>
            </w:r>
          </w:p>
        </w:tc>
        <w:tc>
          <w:tcPr>
            <w:tcW w:w="378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1"/>
              </w:rPr>
              <w:t>Easily distracted</w:t>
            </w:r>
          </w:p>
        </w:tc>
        <w:tc>
          <w:tcPr>
            <w:tcW w:w="376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88"/>
              </w:rPr>
              <w:t>Shifts activities</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5"/>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Inattentive</w:t>
            </w: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0"/>
              </w:rPr>
              <w:t>Easily bored</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Low frustration tolerance</w:t>
            </w:r>
          </w:p>
        </w:tc>
        <w:tc>
          <w:tcPr>
            <w:tcW w:w="3780" w:type="dxa"/>
            <w:vAlign w:val="bottom"/>
            <w:tcBorders>
              <w:right w:val="single" w:sz="8" w:color="A6A6A6"/>
            </w:tcBorders>
          </w:tcPr>
          <w:p>
            <w:pPr>
              <w:spacing w:after="0"/>
              <w:rPr>
                <w:sz w:val="16"/>
                <w:szCs w:val="16"/>
                <w:color w:val="auto"/>
              </w:rPr>
            </w:pP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Impatient</w:t>
            </w:r>
          </w:p>
        </w:tc>
      </w:tr>
      <w:tr>
        <w:trPr>
          <w:trHeight w:val="209"/>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9"/>
              </w:rPr>
              <w:t>Impulsive</w:t>
            </w:r>
          </w:p>
        </w:tc>
        <w:tc>
          <w:tcPr>
            <w:tcW w:w="3780" w:type="dxa"/>
            <w:vAlign w:val="bottom"/>
            <w:tcBorders>
              <w:bottom w:val="single" w:sz="8" w:color="A6A6A6"/>
              <w:right w:val="single" w:sz="8" w:color="A6A6A6"/>
            </w:tcBorders>
          </w:tcPr>
          <w:p>
            <w:pPr>
              <w:spacing w:after="0"/>
              <w:rPr>
                <w:sz w:val="18"/>
                <w:szCs w:val="18"/>
                <w:color w:val="auto"/>
              </w:rPr>
            </w:pPr>
          </w:p>
        </w:tc>
        <w:tc>
          <w:tcPr>
            <w:tcW w:w="37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1"/>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-1143635</wp:posOffset>
            </wp:positionV>
            <wp:extent cx="6254750" cy="518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54750" cy="51879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recent study showed that approximately 46% of adults who suffered from ADHD as children continue to have symptoms of the disorder as adults, with approximately</w:t>
      </w:r>
    </w:p>
    <w:p>
      <w:pPr>
        <w:spacing w:after="0" w:line="32" w:lineRule="exact"/>
        <w:rPr>
          <w:sz w:val="20"/>
          <w:szCs w:val="20"/>
          <w:color w:val="auto"/>
        </w:rPr>
      </w:pPr>
    </w:p>
    <w:p>
      <w:pPr>
        <w:ind w:right="520"/>
        <w:spacing w:after="0" w:line="333" w:lineRule="auto"/>
        <w:rPr>
          <w:sz w:val="20"/>
          <w:szCs w:val="20"/>
          <w:color w:val="auto"/>
        </w:rPr>
      </w:pPr>
      <w:r>
        <w:rPr>
          <w:rFonts w:ascii="Arial" w:cs="Arial" w:eastAsia="Arial" w:hAnsi="Arial"/>
          <w:sz w:val="14"/>
          <w:szCs w:val="14"/>
          <w:color w:val="auto"/>
        </w:rPr>
        <w:t>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4"/>
          <w:szCs w:val="14"/>
          <w:b w:val="1"/>
          <w:bCs w:val="1"/>
          <w:color w:val="auto"/>
        </w:rPr>
        <w:t>.</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Impact of Untreated and Undertreated ADHD</w:t>
      </w:r>
    </w:p>
    <w:p>
      <w:pPr>
        <w:spacing w:after="0" w:line="200"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illustrates the effects on society when ADHD remains untreated:</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96"/>
        </w:trPr>
        <w:tc>
          <w:tcPr>
            <w:tcW w:w="2720" w:type="dxa"/>
            <w:vAlign w:val="bottom"/>
          </w:tcPr>
          <w:p>
            <w:pPr>
              <w:jc w:val="center"/>
              <w:ind w:right="960"/>
              <w:spacing w:after="0"/>
              <w:rPr>
                <w:sz w:val="20"/>
                <w:szCs w:val="20"/>
                <w:color w:val="auto"/>
              </w:rPr>
            </w:pPr>
            <w:r>
              <w:rPr>
                <w:rFonts w:ascii="Arial" w:cs="Arial" w:eastAsia="Arial" w:hAnsi="Arial"/>
                <w:sz w:val="16"/>
                <w:szCs w:val="16"/>
                <w:b w:val="1"/>
                <w:bCs w:val="1"/>
                <w:color w:val="auto"/>
                <w:w w:val="89"/>
              </w:rPr>
              <w:t>Healthcare System</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Patient</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4"/>
              </w:rPr>
              <w:t>Family</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1"/>
              </w:rPr>
              <w:t>ñ 50% in bicycle accidents</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96"/>
              </w:rPr>
              <w:t>ñ criminal activity</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90"/>
              </w:rPr>
              <w:t>3-5x more divorce/separation</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3"/>
              </w:rPr>
              <w:t>ñ 33% in ER visits</w:t>
            </w:r>
          </w:p>
        </w:tc>
        <w:tc>
          <w:tcPr>
            <w:tcW w:w="4100" w:type="dxa"/>
            <w:vAlign w:val="bottom"/>
          </w:tcPr>
          <w:p>
            <w:pPr>
              <w:jc w:val="center"/>
              <w:ind w:left="500"/>
              <w:spacing w:after="0"/>
              <w:rPr>
                <w:sz w:val="20"/>
                <w:szCs w:val="20"/>
                <w:color w:val="auto"/>
              </w:rPr>
            </w:pPr>
            <w:r>
              <w:rPr>
                <w:rFonts w:ascii="Arial" w:cs="Arial" w:eastAsia="Arial" w:hAnsi="Arial"/>
                <w:sz w:val="16"/>
                <w:szCs w:val="16"/>
                <w:color w:val="auto"/>
                <w:w w:val="91"/>
              </w:rPr>
              <w:t>ñ incarceration</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3"/>
              </w:rPr>
              <w:t>2-4x more sibling fights</w:t>
            </w:r>
          </w:p>
        </w:tc>
      </w:tr>
      <w:tr>
        <w:trPr>
          <w:trHeight w:val="205"/>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2-4x more car accidents</w:t>
            </w:r>
          </w:p>
        </w:tc>
        <w:tc>
          <w:tcPr>
            <w:tcW w:w="41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72"/>
        </w:trPr>
        <w:tc>
          <w:tcPr>
            <w:tcW w:w="2720" w:type="dxa"/>
            <w:vAlign w:val="bottom"/>
          </w:tcPr>
          <w:p>
            <w:pPr>
              <w:jc w:val="center"/>
              <w:ind w:right="940"/>
              <w:spacing w:after="0"/>
              <w:rPr>
                <w:sz w:val="20"/>
                <w:szCs w:val="20"/>
                <w:color w:val="auto"/>
              </w:rPr>
            </w:pPr>
            <w:r>
              <w:rPr>
                <w:rFonts w:ascii="Arial" w:cs="Arial" w:eastAsia="Arial" w:hAnsi="Arial"/>
                <w:sz w:val="16"/>
                <w:szCs w:val="16"/>
                <w:b w:val="1"/>
                <w:bCs w:val="1"/>
                <w:color w:val="auto"/>
                <w:w w:val="88"/>
              </w:rPr>
              <w:t>School and Occupation</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87"/>
              </w:rPr>
              <w:t>Society</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3"/>
              </w:rPr>
              <w:t>Employer</w:t>
            </w:r>
          </w:p>
        </w:tc>
      </w:tr>
      <w:tr>
        <w:trPr>
          <w:trHeight w:val="192"/>
        </w:trPr>
        <w:tc>
          <w:tcPr>
            <w:tcW w:w="2720" w:type="dxa"/>
            <w:vAlign w:val="bottom"/>
          </w:tcPr>
          <w:p>
            <w:pPr>
              <w:ind w:left="580"/>
              <w:spacing w:after="0"/>
              <w:rPr>
                <w:sz w:val="20"/>
                <w:szCs w:val="20"/>
                <w:color w:val="auto"/>
              </w:rPr>
            </w:pPr>
            <w:r>
              <w:rPr>
                <w:rFonts w:ascii="Arial" w:cs="Arial" w:eastAsia="Arial" w:hAnsi="Arial"/>
                <w:sz w:val="16"/>
                <w:szCs w:val="16"/>
                <w:color w:val="auto"/>
              </w:rPr>
              <w:t>46% expelled</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87"/>
              </w:rPr>
              <w:t>Substance use disorders:</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88"/>
              </w:rPr>
              <w:t>Increased parental absenteeism and lower</w:t>
            </w:r>
          </w:p>
        </w:tc>
      </w:tr>
      <w:tr>
        <w:trPr>
          <w:trHeight w:val="192"/>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35% drop out</w:t>
            </w:r>
          </w:p>
        </w:tc>
        <w:tc>
          <w:tcPr>
            <w:tcW w:w="4100" w:type="dxa"/>
            <w:vAlign w:val="bottom"/>
          </w:tcPr>
          <w:p>
            <w:pPr>
              <w:ind w:left="1300"/>
              <w:spacing w:after="0"/>
              <w:rPr>
                <w:sz w:val="20"/>
                <w:szCs w:val="20"/>
                <w:color w:val="auto"/>
              </w:rPr>
            </w:pPr>
            <w:r>
              <w:rPr>
                <w:rFonts w:ascii="Arial" w:cs="Arial" w:eastAsia="Arial" w:hAnsi="Arial"/>
                <w:sz w:val="16"/>
                <w:szCs w:val="16"/>
                <w:color w:val="auto"/>
              </w:rPr>
              <w:t>2x risk and earlier onset</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6"/>
              </w:rPr>
              <w:t>productivity</w:t>
            </w:r>
          </w:p>
        </w:tc>
      </w:tr>
      <w:tr>
        <w:trPr>
          <w:trHeight w:val="205"/>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0"/>
              </w:rPr>
              <w:t>Lower occupational status</w:t>
            </w:r>
          </w:p>
        </w:tc>
        <w:tc>
          <w:tcPr>
            <w:tcW w:w="4100" w:type="dxa"/>
            <w:vAlign w:val="bottom"/>
          </w:tcPr>
          <w:p>
            <w:pPr>
              <w:ind w:left="1000"/>
              <w:spacing w:after="0"/>
              <w:rPr>
                <w:sz w:val="20"/>
                <w:szCs w:val="20"/>
                <w:color w:val="auto"/>
              </w:rPr>
            </w:pPr>
            <w:r>
              <w:rPr>
                <w:rFonts w:ascii="Arial" w:cs="Arial" w:eastAsia="Arial" w:hAnsi="Arial"/>
                <w:sz w:val="16"/>
                <w:szCs w:val="16"/>
                <w:color w:val="auto"/>
              </w:rPr>
              <w:t>Less likely to quit in adulthood</w:t>
            </w:r>
          </w:p>
        </w:tc>
        <w:tc>
          <w:tcPr>
            <w:tcW w:w="3640" w:type="dxa"/>
            <w:vAlign w:val="bottom"/>
          </w:tcPr>
          <w:p>
            <w:pPr>
              <w:spacing w:after="0"/>
              <w:rPr>
                <w:sz w:val="17"/>
                <w:szCs w:val="17"/>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Diagnosis of ADHD</w:t>
      </w:r>
    </w:p>
    <w:p>
      <w:pPr>
        <w:spacing w:after="0" w:line="20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62" w:lineRule="exact"/>
        <w:rPr>
          <w:sz w:val="20"/>
          <w:szCs w:val="20"/>
          <w:color w:val="auto"/>
        </w:rPr>
      </w:pPr>
    </w:p>
    <w:p>
      <w:pPr>
        <w:jc w:val="both"/>
        <w:ind w:left="360" w:right="140" w:hanging="4"/>
        <w:spacing w:after="0" w:line="264" w:lineRule="auto"/>
        <w:tabs>
          <w:tab w:leader="none" w:pos="640" w:val="left"/>
        </w:tabs>
        <w:numPr>
          <w:ilvl w:val="0"/>
          <w:numId w:val="38"/>
        </w:numPr>
        <w:rPr>
          <w:rFonts w:ascii="Arial" w:cs="Arial" w:eastAsia="Arial" w:hAnsi="Arial"/>
          <w:sz w:val="16"/>
          <w:szCs w:val="16"/>
          <w:color w:val="A6A6A6"/>
        </w:rPr>
      </w:pPr>
      <w:r>
        <w:rPr>
          <w:rFonts w:ascii="Arial" w:cs="Arial" w:eastAsia="Arial" w:hAnsi="Arial"/>
          <w:sz w:val="16"/>
          <w:szCs w:val="16"/>
          <w:i w:val="1"/>
          <w:iCs w:val="1"/>
          <w:color w:val="auto"/>
        </w:rPr>
        <w:t>DSM-IV criteria</w:t>
      </w:r>
      <w:r>
        <w:rPr>
          <w:rFonts w:ascii="Arial" w:cs="Arial" w:eastAsia="Arial" w:hAnsi="Arial"/>
          <w:sz w:val="16"/>
          <w:szCs w:val="16"/>
          <w:color w:val="auto"/>
        </w:rPr>
        <w:t>. The American Psychiatric Association provides a set of standardized criteria for classifying mental disorders known as the Diagnostic and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0" w:name="page41"/>
    <w:bookmarkEnd w:id="40"/>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Inattention – the patient makes careless mistakes in activities and is easily distracted</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Hyperactivity – the patients fidgets, squirms, talks excessively or displays restless behavior</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Impulsiveness – the patient interrupts others and cannot wait for a turn</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must be clear evidence of significant impairment in social, school, or work functioning</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of impairment present before 7 years of age and present in two or more settings (school/work and home)</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are not better accounted for by another mental disorder</w:t>
      </w:r>
    </w:p>
    <w:p>
      <w:pPr>
        <w:spacing w:after="0" w:line="20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6"/>
          <w:szCs w:val="16"/>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Products and Market Participants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principal pharmaceutical companies marketing drugs to treat ADHD are shown in the following table, together with the drug brand name, patent expiration date, class/method of action and reported 2011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Brand Name</w:t>
            </w:r>
          </w:p>
        </w:tc>
        <w:tc>
          <w:tcPr>
            <w:tcW w:w="54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Company</w:t>
            </w:r>
          </w:p>
        </w:tc>
        <w:tc>
          <w:tcPr>
            <w:tcW w:w="540" w:type="dxa"/>
            <w:vAlign w:val="bottom"/>
          </w:tcPr>
          <w:p>
            <w:pPr>
              <w:spacing w:after="0"/>
              <w:rPr>
                <w:sz w:val="16"/>
                <w:szCs w:val="16"/>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Patent Expires</w:t>
            </w:r>
          </w:p>
        </w:tc>
        <w:tc>
          <w:tcPr>
            <w:tcW w:w="900" w:type="dxa"/>
            <w:vAlign w:val="bottom"/>
          </w:tcPr>
          <w:p>
            <w:pPr>
              <w:spacing w:after="0"/>
              <w:rPr>
                <w:sz w:val="16"/>
                <w:szCs w:val="16"/>
                <w:color w:val="auto"/>
              </w:rPr>
            </w:pPr>
          </w:p>
        </w:tc>
        <w:tc>
          <w:tcPr>
            <w:tcW w:w="25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1"/>
              </w:rPr>
              <w:t>Class/Method of Action</w:t>
            </w:r>
          </w:p>
        </w:tc>
        <w:tc>
          <w:tcPr>
            <w:tcW w:w="2480" w:type="dxa"/>
            <w:vAlign w:val="bottom"/>
            <w:gridSpan w:val="3"/>
          </w:tcPr>
          <w:p>
            <w:pPr>
              <w:jc w:val="center"/>
              <w:ind w:left="100"/>
              <w:spacing w:after="0"/>
              <w:rPr>
                <w:sz w:val="20"/>
                <w:szCs w:val="20"/>
                <w:color w:val="auto"/>
              </w:rPr>
            </w:pPr>
            <w:r>
              <w:rPr>
                <w:rFonts w:ascii="Arial" w:cs="Arial" w:eastAsia="Arial" w:hAnsi="Arial"/>
                <w:sz w:val="16"/>
                <w:szCs w:val="16"/>
                <w:b w:val="1"/>
                <w:bCs w:val="1"/>
                <w:color w:val="auto"/>
                <w:w w:val="85"/>
              </w:rPr>
              <w:t>2011 Sales</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0" w:type="dxa"/>
            <w:vAlign w:val="bottom"/>
            <w:shd w:val="clear" w:color="auto" w:fill="CCFFCC"/>
          </w:tcPr>
          <w:p>
            <w:pPr>
              <w:spacing w:after="0"/>
              <w:rPr>
                <w:sz w:val="16"/>
                <w:szCs w:val="16"/>
                <w:color w:val="auto"/>
              </w:rPr>
            </w:pPr>
          </w:p>
        </w:tc>
        <w:tc>
          <w:tcPr>
            <w:tcW w:w="88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Vyvanse</w:t>
            </w:r>
          </w:p>
        </w:tc>
        <w:tc>
          <w:tcPr>
            <w:tcW w:w="540" w:type="dxa"/>
            <w:vAlign w:val="bottom"/>
            <w:vMerge w:val="restart"/>
            <w:shd w:val="clear" w:color="auto" w:fill="CCFFCC"/>
          </w:tcPr>
          <w:p>
            <w:pPr>
              <w:spacing w:after="0"/>
              <w:rPr>
                <w:sz w:val="16"/>
                <w:szCs w:val="16"/>
                <w:color w:val="auto"/>
              </w:rPr>
            </w:pPr>
          </w:p>
        </w:tc>
        <w:tc>
          <w:tcPr>
            <w:tcW w:w="360" w:type="dxa"/>
            <w:vAlign w:val="bottom"/>
            <w:shd w:val="clear" w:color="auto" w:fill="CCFFCC"/>
          </w:tcPr>
          <w:p>
            <w:pPr>
              <w:spacing w:after="0"/>
              <w:rPr>
                <w:sz w:val="16"/>
                <w:szCs w:val="16"/>
                <w:color w:val="auto"/>
              </w:rPr>
            </w:pPr>
          </w:p>
        </w:tc>
        <w:tc>
          <w:tcPr>
            <w:tcW w:w="660" w:type="dxa"/>
            <w:vAlign w:val="bottom"/>
            <w:vMerge w:val="restart"/>
            <w:shd w:val="clear" w:color="auto" w:fill="CCFFCC"/>
          </w:tcPr>
          <w:p>
            <w:pPr>
              <w:ind w:left="80"/>
              <w:spacing w:after="0"/>
              <w:rPr>
                <w:sz w:val="20"/>
                <w:szCs w:val="20"/>
                <w:color w:val="auto"/>
              </w:rPr>
            </w:pPr>
            <w:r>
              <w:rPr>
                <w:rFonts w:ascii="Arial" w:cs="Arial" w:eastAsia="Arial" w:hAnsi="Arial"/>
                <w:sz w:val="16"/>
                <w:szCs w:val="16"/>
                <w:color w:val="auto"/>
              </w:rPr>
              <w:t>Shire</w:t>
            </w:r>
          </w:p>
        </w:tc>
        <w:tc>
          <w:tcPr>
            <w:tcW w:w="520" w:type="dxa"/>
            <w:vAlign w:val="bottom"/>
            <w:vMerge w:val="restart"/>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00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June 2023</w:t>
            </w:r>
          </w:p>
        </w:tc>
        <w:tc>
          <w:tcPr>
            <w:tcW w:w="700" w:type="dxa"/>
            <w:vAlign w:val="bottom"/>
            <w:vMerge w:val="restart"/>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620" w:type="dxa"/>
            <w:vAlign w:val="bottom"/>
            <w:shd w:val="clear" w:color="auto" w:fill="CCFFCC"/>
          </w:tcPr>
          <w:p>
            <w:pPr>
              <w:jc w:val="center"/>
              <w:ind w:right="60"/>
              <w:spacing w:after="0"/>
              <w:rPr>
                <w:sz w:val="20"/>
                <w:szCs w:val="20"/>
                <w:color w:val="auto"/>
              </w:rPr>
            </w:pPr>
            <w:r>
              <w:rPr>
                <w:rFonts w:ascii="Arial" w:cs="Arial" w:eastAsia="Arial" w:hAnsi="Arial"/>
                <w:sz w:val="16"/>
                <w:szCs w:val="16"/>
                <w:color w:val="auto"/>
                <w:w w:val="95"/>
              </w:rPr>
              <w:t>Stimulant</w:t>
            </w:r>
          </w:p>
        </w:tc>
        <w:tc>
          <w:tcPr>
            <w:tcW w:w="940" w:type="dxa"/>
            <w:vAlign w:val="bottom"/>
            <w:shd w:val="clear" w:color="auto" w:fill="CCFFCC"/>
          </w:tcPr>
          <w:p>
            <w:pPr>
              <w:spacing w:after="0"/>
              <w:rPr>
                <w:sz w:val="16"/>
                <w:szCs w:val="16"/>
                <w:color w:val="auto"/>
              </w:rPr>
            </w:pPr>
          </w:p>
        </w:tc>
        <w:tc>
          <w:tcPr>
            <w:tcW w:w="2480" w:type="dxa"/>
            <w:vAlign w:val="bottom"/>
            <w:gridSpan w:val="3"/>
            <w:vMerge w:val="restart"/>
            <w:shd w:val="clear" w:color="auto" w:fill="CCFFCC"/>
          </w:tcPr>
          <w:p>
            <w:pPr>
              <w:ind w:left="780"/>
              <w:spacing w:after="0"/>
              <w:rPr>
                <w:sz w:val="20"/>
                <w:szCs w:val="20"/>
                <w:color w:val="auto"/>
              </w:rPr>
            </w:pPr>
            <w:r>
              <w:rPr>
                <w:rFonts w:ascii="Arial" w:cs="Arial" w:eastAsia="Arial" w:hAnsi="Arial"/>
                <w:sz w:val="16"/>
                <w:szCs w:val="16"/>
                <w:color w:val="auto"/>
              </w:rPr>
              <w:t>$1,272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880" w:type="dxa"/>
            <w:vAlign w:val="bottom"/>
            <w:vMerge w:val="continue"/>
            <w:shd w:val="clear" w:color="auto" w:fill="CCFFCC"/>
          </w:tcPr>
          <w:p>
            <w:pPr>
              <w:spacing w:after="0"/>
              <w:rPr>
                <w:sz w:val="9"/>
                <w:szCs w:val="9"/>
                <w:color w:val="auto"/>
              </w:rPr>
            </w:pPr>
          </w:p>
        </w:tc>
        <w:tc>
          <w:tcPr>
            <w:tcW w:w="540" w:type="dxa"/>
            <w:vAlign w:val="bottom"/>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vMerge w:val="continue"/>
            <w:shd w:val="clear" w:color="auto" w:fill="CCFFCC"/>
          </w:tcPr>
          <w:p>
            <w:pPr>
              <w:spacing w:after="0"/>
              <w:rPr>
                <w:sz w:val="9"/>
                <w:szCs w:val="9"/>
                <w:color w:val="auto"/>
              </w:rPr>
            </w:pPr>
          </w:p>
        </w:tc>
        <w:tc>
          <w:tcPr>
            <w:tcW w:w="520" w:type="dxa"/>
            <w:vAlign w:val="bottom"/>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vMerge w:val="continue"/>
            <w:shd w:val="clear" w:color="auto" w:fill="CCFFCC"/>
          </w:tcPr>
          <w:p>
            <w:pPr>
              <w:spacing w:after="0"/>
              <w:rPr>
                <w:sz w:val="9"/>
                <w:szCs w:val="9"/>
                <w:color w:val="auto"/>
              </w:rPr>
            </w:pPr>
          </w:p>
        </w:tc>
        <w:tc>
          <w:tcPr>
            <w:tcW w:w="700" w:type="dxa"/>
            <w:vAlign w:val="bottom"/>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9"/>
              </w:rPr>
              <w:t>Concerta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89"/>
              </w:rPr>
              <w:t>J&amp;J</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w w:val="91"/>
              </w:rPr>
              <w:t>May 2011</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$682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8"/>
              </w:rPr>
              <w:t>Adderall XR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2012</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$953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1"/>
              </w:rPr>
              <w:t>Strattera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rPr>
              <w:t>Eli Lilly</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20"/>
              <w:spacing w:after="0"/>
              <w:rPr>
                <w:sz w:val="20"/>
                <w:szCs w:val="20"/>
                <w:color w:val="auto"/>
              </w:rPr>
            </w:pPr>
            <w:r>
              <w:rPr>
                <w:rFonts w:ascii="Arial" w:cs="Arial" w:eastAsia="Arial" w:hAnsi="Arial"/>
                <w:sz w:val="16"/>
                <w:szCs w:val="16"/>
                <w:color w:val="auto"/>
                <w:w w:val="91"/>
              </w:rPr>
              <w:t>August 2010</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$620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940"/>
              <w:spacing w:after="0"/>
              <w:rPr>
                <w:sz w:val="20"/>
                <w:szCs w:val="20"/>
                <w:color w:val="auto"/>
              </w:rPr>
            </w:pPr>
            <w:r>
              <w:rPr>
                <w:rFonts w:ascii="Arial" w:cs="Arial" w:eastAsia="Arial" w:hAnsi="Arial"/>
                <w:sz w:val="16"/>
                <w:szCs w:val="16"/>
                <w:color w:val="auto"/>
                <w:w w:val="93"/>
              </w:rPr>
              <w:t>(NE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2"/>
              </w:rPr>
              <w:t>Focalin</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224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89"/>
              </w:rPr>
              <w:t>December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$340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20" w:type="dxa"/>
            <w:vAlign w:val="bottom"/>
            <w:gridSpan w:val="3"/>
            <w:vMerge w:val="restart"/>
            <w:shd w:val="clear" w:color="auto" w:fill="CCFFCC"/>
          </w:tcPr>
          <w:p>
            <w:pPr>
              <w:ind w:left="160"/>
              <w:spacing w:after="0"/>
              <w:rPr>
                <w:sz w:val="20"/>
                <w:szCs w:val="20"/>
                <w:color w:val="auto"/>
              </w:rPr>
            </w:pPr>
            <w:r>
              <w:rPr>
                <w:rFonts w:ascii="Arial" w:cs="Arial" w:eastAsia="Arial" w:hAnsi="Arial"/>
                <w:sz w:val="16"/>
                <w:szCs w:val="16"/>
                <w:color w:val="auto"/>
              </w:rPr>
              <w:t>Ritalin/ Ritalin LA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2015</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$490 million</w:t>
            </w:r>
          </w:p>
        </w:tc>
        <w:tc>
          <w:tcPr>
            <w:tcW w:w="0" w:type="dxa"/>
            <w:vAlign w:val="bottom"/>
          </w:tcPr>
          <w:p>
            <w:pPr>
              <w:spacing w:after="0"/>
              <w:rPr>
                <w:sz w:val="1"/>
                <w:szCs w:val="1"/>
                <w:color w:val="auto"/>
              </w:rPr>
            </w:pPr>
          </w:p>
        </w:tc>
      </w:tr>
      <w:tr>
        <w:trPr>
          <w:trHeight w:val="109"/>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rPr>
              <w:t>Intuniv</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2240" w:type="dxa"/>
            <w:vAlign w:val="bottom"/>
            <w:gridSpan w:val="3"/>
            <w:vMerge w:val="restart"/>
            <w:shd w:val="clear" w:color="auto" w:fill="CCFFCC"/>
          </w:tcPr>
          <w:p>
            <w:pPr>
              <w:jc w:val="center"/>
              <w:ind w:right="160"/>
              <w:spacing w:after="0"/>
              <w:rPr>
                <w:sz w:val="20"/>
                <w:szCs w:val="20"/>
                <w:color w:val="auto"/>
              </w:rPr>
            </w:pPr>
            <w:r>
              <w:rPr>
                <w:rFonts w:ascii="Arial" w:cs="Arial" w:eastAsia="Arial" w:hAnsi="Arial"/>
                <w:sz w:val="16"/>
                <w:szCs w:val="16"/>
                <w:color w:val="auto"/>
                <w:w w:val="87"/>
              </w:rPr>
              <w:t>September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00"/>
              <w:spacing w:after="0" w:line="180" w:lineRule="exact"/>
              <w:rPr>
                <w:sz w:val="20"/>
                <w:szCs w:val="20"/>
                <w:color w:val="auto"/>
              </w:rPr>
            </w:pPr>
            <w:r>
              <w:rPr>
                <w:rFonts w:ascii="Arial" w:cs="Arial" w:eastAsia="Arial" w:hAnsi="Arial"/>
                <w:sz w:val="16"/>
                <w:szCs w:val="16"/>
                <w:color w:val="auto"/>
                <w:w w:val="94"/>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$223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1000"/>
              <w:spacing w:after="0"/>
              <w:rPr>
                <w:sz w:val="20"/>
                <w:szCs w:val="20"/>
                <w:color w:val="auto"/>
              </w:rPr>
            </w:pPr>
            <w:r>
              <w:rPr>
                <w:rFonts w:ascii="Arial" w:cs="Arial" w:eastAsia="Arial" w:hAnsi="Arial"/>
                <w:sz w:val="16"/>
                <w:szCs w:val="16"/>
                <w:color w:val="auto"/>
                <w:w w:val="92"/>
              </w:rPr>
              <w:t>(NE receptor agonist)</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center"/>
              <w:ind w:right="520"/>
              <w:spacing w:after="0" w:line="180" w:lineRule="exact"/>
              <w:rPr>
                <w:sz w:val="20"/>
                <w:szCs w:val="20"/>
                <w:color w:val="auto"/>
              </w:rPr>
            </w:pPr>
            <w:r>
              <w:rPr>
                <w:rFonts w:ascii="Arial" w:cs="Arial" w:eastAsia="Arial" w:hAnsi="Arial"/>
                <w:sz w:val="16"/>
                <w:szCs w:val="16"/>
                <w:color w:val="auto"/>
                <w:w w:val="95"/>
              </w:rPr>
              <w:t>Dextro-</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$269 million</w:t>
            </w:r>
          </w:p>
        </w:tc>
        <w:tc>
          <w:tcPr>
            <w:tcW w:w="0" w:type="dxa"/>
            <w:vAlign w:val="bottom"/>
          </w:tcPr>
          <w:p>
            <w:pPr>
              <w:spacing w:after="0"/>
              <w:rPr>
                <w:sz w:val="1"/>
                <w:szCs w:val="1"/>
                <w:color w:val="auto"/>
              </w:rPr>
            </w:pPr>
          </w:p>
        </w:tc>
      </w:tr>
      <w:tr>
        <w:trPr>
          <w:trHeight w:val="109"/>
        </w:trPr>
        <w:tc>
          <w:tcPr>
            <w:tcW w:w="1720" w:type="dxa"/>
            <w:vAlign w:val="bottom"/>
            <w:gridSpan w:val="3"/>
            <w:vMerge w:val="restart"/>
            <w:shd w:val="clear" w:color="auto" w:fill="CCFFCC"/>
          </w:tcPr>
          <w:p>
            <w:pPr>
              <w:jc w:val="center"/>
              <w:ind w:right="240"/>
              <w:spacing w:after="0"/>
              <w:rPr>
                <w:sz w:val="20"/>
                <w:szCs w:val="20"/>
                <w:color w:val="auto"/>
              </w:rPr>
            </w:pPr>
            <w:r>
              <w:rPr>
                <w:rFonts w:ascii="Arial" w:cs="Arial" w:eastAsia="Arial" w:hAnsi="Arial"/>
                <w:sz w:val="16"/>
                <w:szCs w:val="16"/>
                <w:color w:val="auto"/>
                <w:w w:val="90"/>
              </w:rPr>
              <w:t>amphetamine ER</w:t>
            </w: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continue"/>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Adderall IR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$29 million</w:t>
            </w:r>
          </w:p>
        </w:tc>
        <w:tc>
          <w:tcPr>
            <w:tcW w:w="0" w:type="dxa"/>
            <w:vAlign w:val="bottom"/>
          </w:tcPr>
          <w:p>
            <w:pPr>
              <w:spacing w:after="0"/>
              <w:rPr>
                <w:sz w:val="1"/>
                <w:szCs w:val="1"/>
                <w:color w:val="auto"/>
              </w:rPr>
            </w:pPr>
          </w:p>
        </w:tc>
      </w:tr>
      <w:tr>
        <w:trPr>
          <w:trHeight w:val="121"/>
        </w:trPr>
        <w:tc>
          <w:tcPr>
            <w:tcW w:w="300" w:type="dxa"/>
            <w:vAlign w:val="bottom"/>
            <w:shd w:val="clear" w:color="auto" w:fill="CCFFCC"/>
          </w:tcPr>
          <w:p>
            <w:pPr>
              <w:spacing w:after="0"/>
              <w:rPr>
                <w:sz w:val="10"/>
                <w:szCs w:val="10"/>
                <w:color w:val="auto"/>
              </w:rPr>
            </w:pPr>
          </w:p>
        </w:tc>
        <w:tc>
          <w:tcPr>
            <w:tcW w:w="1420" w:type="dxa"/>
            <w:vAlign w:val="bottom"/>
            <w:gridSpan w:val="2"/>
            <w:vMerge w:val="continue"/>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80" w:type="dxa"/>
            <w:vAlign w:val="bottom"/>
            <w:gridSpan w:val="2"/>
            <w:vMerge w:val="continue"/>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700" w:type="dxa"/>
            <w:vAlign w:val="bottom"/>
            <w:gridSpan w:val="2"/>
            <w:vMerge w:val="continue"/>
            <w:shd w:val="clear" w:color="auto" w:fill="CCFFCC"/>
          </w:tcPr>
          <w:p>
            <w:pPr>
              <w:spacing w:after="0"/>
              <w:rPr>
                <w:sz w:val="10"/>
                <w:szCs w:val="10"/>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10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3460" w:type="dxa"/>
            <w:vAlign w:val="bottom"/>
            <w:gridSpan w:val="3"/>
            <w:vMerge w:val="continue"/>
            <w:shd w:val="clear" w:color="auto" w:fill="CCFFCC"/>
          </w:tcPr>
          <w:p>
            <w:pPr>
              <w:spacing w:after="0"/>
              <w:rPr>
                <w:sz w:val="7"/>
                <w:szCs w:val="7"/>
                <w:color w:val="auto"/>
              </w:rPr>
            </w:pPr>
          </w:p>
        </w:tc>
        <w:tc>
          <w:tcPr>
            <w:tcW w:w="98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540" w:firstLine="288"/>
        <w:spacing w:after="0" w:line="277" w:lineRule="auto"/>
        <w:rPr>
          <w:sz w:val="20"/>
          <w:szCs w:val="20"/>
          <w:color w:val="auto"/>
        </w:rPr>
      </w:pPr>
      <w:r>
        <w:rPr>
          <w:rFonts w:ascii="Arial" w:cs="Arial" w:eastAsia="Arial" w:hAnsi="Arial"/>
          <w:sz w:val="16"/>
          <w:szCs w:val="16"/>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Limitations of Current Treatment Options for ADHD</w:t>
      </w:r>
    </w:p>
    <w:p>
      <w:pPr>
        <w:spacing w:after="0" w:line="20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52" w:lineRule="exact"/>
        <w:rPr>
          <w:sz w:val="20"/>
          <w:szCs w:val="20"/>
          <w:color w:val="auto"/>
        </w:rPr>
      </w:pPr>
    </w:p>
    <w:p>
      <w:pPr>
        <w:ind w:right="60" w:firstLine="357"/>
        <w:spacing w:after="0" w:line="255"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1" w:name="page42"/>
    <w:bookmarkEnd w:id="41"/>
    <w:p>
      <w:pPr>
        <w:jc w:val="both"/>
        <w:ind w:right="80" w:firstLine="357"/>
        <w:spacing w:after="0" w:line="319" w:lineRule="auto"/>
        <w:rPr>
          <w:sz w:val="20"/>
          <w:szCs w:val="20"/>
          <w:color w:val="auto"/>
        </w:rPr>
      </w:pPr>
      <w:r>
        <w:rPr>
          <w:rFonts w:ascii="Arial" w:cs="Arial" w:eastAsia="Arial" w:hAnsi="Arial"/>
          <w:sz w:val="14"/>
          <w:szCs w:val="14"/>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right="20" w:firstLine="335"/>
        <w:spacing w:after="0" w:line="256"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8" w:lineRule="exact"/>
        <w:rPr>
          <w:sz w:val="20"/>
          <w:szCs w:val="20"/>
          <w:color w:val="auto"/>
        </w:rPr>
      </w:pPr>
    </w:p>
    <w:p>
      <w:pPr>
        <w:ind w:left="580" w:right="24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2013 and expected completion in the second quarter of 2015)</w:t>
      </w:r>
    </w:p>
    <w:p>
      <w:pPr>
        <w:spacing w:after="0" w:line="151" w:lineRule="exact"/>
        <w:rPr>
          <w:rFonts w:ascii="Arial" w:cs="Arial" w:eastAsia="Arial" w:hAnsi="Arial"/>
          <w:sz w:val="16"/>
          <w:szCs w:val="16"/>
          <w:color w:val="A6A6A6"/>
        </w:rPr>
      </w:pPr>
    </w:p>
    <w:p>
      <w:pPr>
        <w:ind w:left="580" w:right="3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51" w:lineRule="exact"/>
        <w:rPr>
          <w:rFonts w:ascii="Arial" w:cs="Arial" w:eastAsia="Arial" w:hAnsi="Arial"/>
          <w:sz w:val="16"/>
          <w:szCs w:val="16"/>
          <w:color w:val="A6A6A6"/>
        </w:rPr>
      </w:pPr>
    </w:p>
    <w:p>
      <w:pPr>
        <w:ind w:left="580" w:right="36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51"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Alcobra's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MG01CI Overview and Mechanism of Action</w:t>
      </w:r>
    </w:p>
    <w:p>
      <w:pPr>
        <w:spacing w:after="0" w:line="204"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5"/>
          <w:szCs w:val="15"/>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55"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(including one application that has been allowed by the U.S. PTO) that, if issued, would prevent the use by others of Metadoxine to treat ADHD and all other cognitive disorders.</w:t>
      </w:r>
    </w:p>
    <w:p>
      <w:pPr>
        <w:spacing w:after="0" w:line="168" w:lineRule="exact"/>
        <w:rPr>
          <w:sz w:val="20"/>
          <w:szCs w:val="20"/>
          <w:color w:val="auto"/>
        </w:rPr>
      </w:pPr>
    </w:p>
    <w:p>
      <w:pPr>
        <w:ind w:right="20" w:firstLine="360"/>
        <w:spacing w:after="0" w:line="273" w:lineRule="auto"/>
        <w:rPr>
          <w:sz w:val="20"/>
          <w:szCs w:val="20"/>
          <w:color w:val="auto"/>
        </w:rPr>
      </w:pPr>
      <w:r>
        <w:rPr>
          <w:rFonts w:ascii="Arial" w:cs="Arial" w:eastAsia="Arial" w:hAnsi="Arial"/>
          <w:sz w:val="15"/>
          <w:szCs w:val="15"/>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2" w:name="page43"/>
    <w:bookmarkEnd w:id="42"/>
    <w:p>
      <w:pPr>
        <w:ind w:right="140" w:firstLine="346"/>
        <w:spacing w:after="0" w:line="289" w:lineRule="auto"/>
        <w:rPr>
          <w:sz w:val="20"/>
          <w:szCs w:val="20"/>
          <w:color w:val="auto"/>
        </w:rPr>
      </w:pPr>
      <w:r>
        <w:rPr>
          <w:rFonts w:ascii="Arial" w:cs="Arial" w:eastAsia="Arial" w:hAnsi="Arial"/>
          <w:sz w:val="14"/>
          <w:szCs w:val="14"/>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52" w:lineRule="exact"/>
        <w:rPr>
          <w:sz w:val="20"/>
          <w:szCs w:val="20"/>
          <w:color w:val="auto"/>
        </w:rPr>
      </w:pPr>
    </w:p>
    <w:p>
      <w:pPr>
        <w:ind w:right="40" w:firstLine="346"/>
        <w:spacing w:after="0" w:line="252" w:lineRule="auto"/>
        <w:rPr>
          <w:sz w:val="20"/>
          <w:szCs w:val="20"/>
          <w:color w:val="auto"/>
        </w:rPr>
      </w:pPr>
      <w:r>
        <w:rPr>
          <w:rFonts w:ascii="Arial" w:cs="Arial" w:eastAsia="Arial" w:hAnsi="Arial"/>
          <w:sz w:val="19"/>
          <w:szCs w:val="19"/>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59" w:lineRule="exact"/>
        <w:rPr>
          <w:sz w:val="20"/>
          <w:szCs w:val="20"/>
          <w:color w:val="auto"/>
        </w:rPr>
      </w:pPr>
    </w:p>
    <w:p>
      <w:pPr>
        <w:jc w:val="both"/>
        <w:ind w:right="20" w:firstLine="346"/>
        <w:spacing w:after="0" w:line="264" w:lineRule="auto"/>
        <w:rPr>
          <w:sz w:val="20"/>
          <w:szCs w:val="20"/>
          <w:color w:val="auto"/>
        </w:rPr>
      </w:pPr>
      <w:r>
        <w:rPr>
          <w:rFonts w:ascii="Arial" w:cs="Arial" w:eastAsia="Arial" w:hAnsi="Arial"/>
          <w:sz w:val="16"/>
          <w:szCs w:val="16"/>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Data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Symptom and Clinical Efficacy Measurement</w:t>
      </w:r>
    </w:p>
    <w:p>
      <w:pPr>
        <w:spacing w:after="0" w:line="200" w:lineRule="exact"/>
        <w:rPr>
          <w:sz w:val="20"/>
          <w:szCs w:val="20"/>
          <w:color w:val="auto"/>
        </w:rPr>
      </w:pPr>
    </w:p>
    <w:p>
      <w:pPr>
        <w:jc w:val="both"/>
        <w:ind w:right="20" w:firstLine="346"/>
        <w:spacing w:after="0" w:line="351" w:lineRule="auto"/>
        <w:rPr>
          <w:sz w:val="20"/>
          <w:szCs w:val="20"/>
          <w:color w:val="auto"/>
        </w:rPr>
      </w:pPr>
      <w:r>
        <w:rPr>
          <w:rFonts w:ascii="Arial" w:cs="Arial" w:eastAsia="Arial" w:hAnsi="Arial"/>
          <w:sz w:val="14"/>
          <w:szCs w:val="14"/>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06" w:lineRule="exact"/>
        <w:rPr>
          <w:sz w:val="20"/>
          <w:szCs w:val="20"/>
          <w:color w:val="auto"/>
        </w:rPr>
      </w:pPr>
    </w:p>
    <w:p>
      <w:pPr>
        <w:jc w:val="both"/>
        <w:ind w:left="360" w:right="20" w:hanging="4"/>
        <w:spacing w:after="0" w:line="259" w:lineRule="auto"/>
        <w:tabs>
          <w:tab w:leader="none" w:pos="452"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Conners’ Adult ADHD Rating Scales (CAARS). </w:t>
      </w:r>
      <w:r>
        <w:rPr>
          <w:rFonts w:ascii="Arial" w:cs="Arial" w:eastAsia="Arial" w:hAnsi="Arial"/>
          <w:sz w:val="16"/>
          <w:szCs w:val="16"/>
          <w:color w:val="auto"/>
        </w:rPr>
        <w:t>CAARS measure the presence and severity of ADHD symptoms to determine whether or not ADHD is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66" w:lineRule="exact"/>
        <w:rPr>
          <w:rFonts w:ascii="Arial" w:cs="Arial" w:eastAsia="Arial" w:hAnsi="Arial"/>
          <w:sz w:val="16"/>
          <w:szCs w:val="16"/>
          <w:color w:val="A6A6A6"/>
        </w:rPr>
      </w:pPr>
    </w:p>
    <w:p>
      <w:pPr>
        <w:jc w:val="both"/>
        <w:ind w:left="360" w:hanging="4"/>
        <w:spacing w:after="0" w:line="264" w:lineRule="auto"/>
        <w:tabs>
          <w:tab w:leader="none" w:pos="440"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Adult ADHD Quality of Life Questionnaire (AAQoL). </w:t>
      </w:r>
      <w:r>
        <w:rPr>
          <w:rFonts w:ascii="Arial" w:cs="Arial" w:eastAsia="Arial" w:hAnsi="Arial"/>
          <w:sz w:val="16"/>
          <w:szCs w:val="16"/>
          <w:color w:val="auto"/>
        </w:rPr>
        <w:t>AAQoL provides a validated disease-specific measure of the impact of ADHD on the quality of life. It is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61" w:lineRule="exact"/>
        <w:rPr>
          <w:rFonts w:ascii="Arial" w:cs="Arial" w:eastAsia="Arial" w:hAnsi="Arial"/>
          <w:sz w:val="16"/>
          <w:szCs w:val="16"/>
          <w:color w:val="A6A6A6"/>
        </w:rPr>
      </w:pPr>
    </w:p>
    <w:p>
      <w:pPr>
        <w:jc w:val="both"/>
        <w:ind w:left="360" w:hanging="4"/>
        <w:spacing w:after="0" w:line="273" w:lineRule="auto"/>
        <w:tabs>
          <w:tab w:leader="none" w:pos="440" w:val="left"/>
        </w:tabs>
        <w:numPr>
          <w:ilvl w:val="0"/>
          <w:numId w:val="41"/>
        </w:numPr>
        <w:rPr>
          <w:rFonts w:ascii="Arial" w:cs="Arial" w:eastAsia="Arial" w:hAnsi="Arial"/>
          <w:sz w:val="15"/>
          <w:szCs w:val="15"/>
          <w:color w:val="A6A6A6"/>
        </w:rPr>
      </w:pPr>
      <w:r>
        <w:rPr>
          <w:rFonts w:ascii="Arial" w:cs="Arial" w:eastAsia="Arial" w:hAnsi="Arial"/>
          <w:sz w:val="15"/>
          <w:szCs w:val="15"/>
          <w:i w:val="1"/>
          <w:iCs w:val="1"/>
          <w:color w:val="auto"/>
        </w:rPr>
        <w:t xml:space="preserve">Test of Variables of Attention (TOVA). </w:t>
      </w:r>
      <w:r>
        <w:rPr>
          <w:rFonts w:ascii="Arial" w:cs="Arial" w:eastAsia="Arial" w:hAnsi="Arial"/>
          <w:sz w:val="15"/>
          <w:szCs w:val="15"/>
          <w:color w:val="auto"/>
        </w:rPr>
        <w:t>TOVA is a computerized test that assists in the screening, diagnosis, and treatment monitoring of attention disorders such as ADHD.</w:t>
      </w:r>
      <w:r>
        <w:rPr>
          <w:rFonts w:ascii="Arial" w:cs="Arial" w:eastAsia="Arial" w:hAnsi="Arial"/>
          <w:sz w:val="15"/>
          <w:szCs w:val="15"/>
          <w:i w:val="1"/>
          <w:iCs w:val="1"/>
          <w:color w:val="auto"/>
        </w:rPr>
        <w:t xml:space="preserve"> </w:t>
      </w:r>
      <w:r>
        <w:rPr>
          <w:rFonts w:ascii="Arial" w:cs="Arial" w:eastAsia="Arial" w:hAnsi="Arial"/>
          <w:sz w:val="15"/>
          <w:szCs w:val="15"/>
          <w:color w:val="auto"/>
        </w:rPr>
        <w:t>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Results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We have conducted several clinical trials in adult ADHD patients in Israel testing the safety and efficacy of our novel non-stimulant drug candidate, MG01CI. These trials included: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6" w:right="219" w:bottom="1440" w:gutter="0" w:footer="0" w:header="0"/>
        </w:sectPr>
      </w:pPr>
    </w:p>
    <w:bookmarkStart w:id="43" w:name="page44"/>
    <w:bookmarkEnd w:id="43"/>
    <w:p>
      <w:pPr>
        <w:ind w:left="940" w:hanging="295"/>
        <w:spacing w:after="0"/>
        <w:tabs>
          <w:tab w:leader="none" w:pos="940" w:val="left"/>
        </w:tabs>
        <w:numPr>
          <w:ilvl w:val="0"/>
          <w:numId w:val="42"/>
        </w:numPr>
        <w:rPr>
          <w:rFonts w:ascii="Arial" w:cs="Arial" w:eastAsia="Arial" w:hAnsi="Arial"/>
          <w:sz w:val="15"/>
          <w:szCs w:val="15"/>
          <w:color w:val="A6A6A6"/>
        </w:rPr>
      </w:pPr>
      <w:r>
        <w:rPr>
          <w:rFonts w:ascii="Arial" w:cs="Arial" w:eastAsia="Arial" w:hAnsi="Arial"/>
          <w:sz w:val="15"/>
          <w:szCs w:val="15"/>
          <w:color w:val="auto"/>
        </w:rPr>
        <w:t>A Phase IIa proof of concept study of 38 adult ADHD patients, followed by two extension studies to determine length of efficacy and optimized dosages; and</w:t>
      </w:r>
    </w:p>
    <w:p>
      <w:pPr>
        <w:spacing w:after="0" w:line="211" w:lineRule="exact"/>
        <w:rPr>
          <w:rFonts w:ascii="Arial" w:cs="Arial" w:eastAsia="Arial" w:hAnsi="Arial"/>
          <w:sz w:val="15"/>
          <w:szCs w:val="15"/>
          <w:color w:val="A6A6A6"/>
        </w:rPr>
      </w:pPr>
    </w:p>
    <w:p>
      <w:pPr>
        <w:ind w:left="940" w:right="20" w:hanging="295"/>
        <w:spacing w:after="0" w:line="277" w:lineRule="auto"/>
        <w:tabs>
          <w:tab w:leader="none" w:pos="94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information about our clinical trials is shown in the following chart.</w:t>
      </w:r>
    </w:p>
    <w:p>
      <w:pPr>
        <w:spacing w:after="0" w:line="21"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38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color w:val="auto"/>
              </w:rPr>
              <w:t>Phase IIa</w:t>
            </w:r>
          </w:p>
        </w:tc>
        <w:tc>
          <w:tcPr>
            <w:tcW w:w="38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color w:val="auto"/>
              </w:rPr>
              <w:t>Phase IIb</w:t>
            </w:r>
          </w:p>
        </w:tc>
      </w:tr>
      <w:tr>
        <w:trPr>
          <w:trHeight w:val="184"/>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When the clinical study was held</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Q2-Q3 2011</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How long the clinical study was active</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4 months</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rPr>
              <w:t>How we targeted patients to enroll</w:t>
            </w:r>
          </w:p>
        </w:tc>
        <w:tc>
          <w:tcPr>
            <w:tcW w:w="284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ADHD</w:t>
            </w:r>
          </w:p>
        </w:tc>
        <w:tc>
          <w:tcPr>
            <w:tcW w:w="38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clinics; online</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advertisement; newspaper advertisement</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w w:val="93"/>
              </w:rPr>
              <w:t>Whether we conducted the study with any other parties</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w w:val="97"/>
              </w:rPr>
              <w:t>The steps taken to ensure the accuracy of the results</w:t>
            </w:r>
          </w:p>
        </w:tc>
        <w:tc>
          <w:tcPr>
            <w:tcW w:w="6720" w:type="dxa"/>
            <w:vAlign w:val="bottom"/>
            <w:tcBorders>
              <w:right w:val="single" w:sz="8" w:color="auto"/>
            </w:tcBorders>
            <w:gridSpan w:val="2"/>
          </w:tcPr>
          <w:p>
            <w:pPr>
              <w:ind w:left="80"/>
              <w:spacing w:after="0" w:line="171" w:lineRule="exact"/>
              <w:rPr>
                <w:sz w:val="20"/>
                <w:szCs w:val="20"/>
                <w:color w:val="auto"/>
              </w:rPr>
            </w:pPr>
            <w:r>
              <w:rPr>
                <w:rFonts w:ascii="Arial" w:cs="Arial" w:eastAsia="Arial" w:hAnsi="Arial"/>
                <w:sz w:val="16"/>
                <w:szCs w:val="16"/>
                <w:color w:val="auto"/>
                <w:w w:val="93"/>
              </w:rPr>
              <w:t>Outside contract research organization (CRO) oversight, including monitoring visits; outside medical</w:t>
            </w:r>
          </w:p>
        </w:tc>
      </w:tr>
      <w:tr>
        <w:trPr>
          <w:trHeight w:val="192"/>
        </w:trPr>
        <w:tc>
          <w:tcPr>
            <w:tcW w:w="3800" w:type="dxa"/>
            <w:vAlign w:val="bottom"/>
            <w:tcBorders>
              <w:left w:val="single" w:sz="8" w:color="auto"/>
              <w:right w:val="single" w:sz="8" w:color="auto"/>
            </w:tcBorders>
          </w:tcPr>
          <w:p>
            <w:pPr>
              <w:spacing w:after="0"/>
              <w:rPr>
                <w:sz w:val="16"/>
                <w:szCs w:val="16"/>
                <w:color w:val="auto"/>
              </w:rPr>
            </w:pPr>
          </w:p>
        </w:tc>
        <w:tc>
          <w:tcPr>
            <w:tcW w:w="67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monitor; double-typing of data in the data management system; automatic and manual query</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generation; and external expert review</w:t>
            </w: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5"/>
          <w:szCs w:val="15"/>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5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991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9918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bottom w:val="single" w:sz="8" w:color="auto"/>
            </w:tcBorders>
            <w:shd w:val="clear" w:color="auto" w:fill="000000"/>
          </w:tcPr>
          <w:p>
            <w:pPr>
              <w:jc w:val="center"/>
              <w:ind w:right="40"/>
              <w:spacing w:after="0"/>
              <w:rPr>
                <w:sz w:val="20"/>
                <w:szCs w:val="20"/>
                <w:color w:val="auto"/>
              </w:rPr>
            </w:pPr>
            <w:r>
              <w:rPr>
                <w:rFonts w:ascii="Arial" w:cs="Arial" w:eastAsia="Arial" w:hAnsi="Arial"/>
                <w:sz w:val="16"/>
                <w:szCs w:val="16"/>
                <w:b w:val="1"/>
                <w:bCs w:val="1"/>
                <w:color w:val="FFFFFF"/>
                <w:w w:val="93"/>
              </w:rPr>
              <w:t>Parameter (n=38)</w:t>
            </w:r>
          </w:p>
        </w:tc>
        <w:tc>
          <w:tcPr>
            <w:tcW w:w="3880" w:type="dxa"/>
            <w:vAlign w:val="bottom"/>
            <w:tcBorders>
              <w:bottom w:val="single" w:sz="8" w:color="auto"/>
            </w:tcBorders>
            <w:gridSpan w:val="2"/>
            <w:shd w:val="clear" w:color="auto" w:fill="000000"/>
          </w:tcPr>
          <w:p>
            <w:pPr>
              <w:jc w:val="center"/>
              <w:ind w:right="280"/>
              <w:spacing w:after="0"/>
              <w:rPr>
                <w:sz w:val="20"/>
                <w:szCs w:val="20"/>
                <w:color w:val="auto"/>
              </w:rPr>
            </w:pPr>
            <w:r>
              <w:rPr>
                <w:rFonts w:ascii="Arial" w:cs="Arial" w:eastAsia="Arial" w:hAnsi="Arial"/>
                <w:sz w:val="16"/>
                <w:szCs w:val="16"/>
                <w:b w:val="1"/>
                <w:bCs w:val="1"/>
                <w:color w:val="FFFFFF"/>
                <w:w w:val="88"/>
              </w:rPr>
              <w:t>Change from baseline</w:t>
            </w:r>
          </w:p>
        </w:tc>
        <w:tc>
          <w:tcPr>
            <w:tcW w:w="3520" w:type="dxa"/>
            <w:vAlign w:val="bottom"/>
            <w:tcBorders>
              <w:bottom w:val="single" w:sz="8" w:color="auto"/>
            </w:tcBorders>
            <w:shd w:val="clear" w:color="auto" w:fill="000000"/>
          </w:tcPr>
          <w:p>
            <w:pPr>
              <w:ind w:left="1600"/>
              <w:spacing w:after="0"/>
              <w:rPr>
                <w:sz w:val="20"/>
                <w:szCs w:val="20"/>
                <w:color w:val="auto"/>
              </w:rPr>
            </w:pPr>
            <w:r>
              <w:rPr>
                <w:rFonts w:ascii="Arial" w:cs="Arial" w:eastAsia="Arial" w:hAnsi="Arial"/>
                <w:sz w:val="16"/>
                <w:szCs w:val="16"/>
                <w:b w:val="1"/>
                <w:bCs w:val="1"/>
                <w:color w:val="FFFFFF"/>
              </w:rPr>
              <w:t>p</w:t>
            </w:r>
          </w:p>
        </w:tc>
      </w:tr>
      <w:tr>
        <w:trPr>
          <w:trHeight w:val="264"/>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0"/>
              </w:rPr>
              <w:t>Omission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+12.9</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(+16.6%)</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p&lt;0.03</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Commission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(+7.1%)</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3"/>
              </w:rPr>
              <w:t>p&lt;0.01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87"/>
              </w:rPr>
              <w:t>Response Time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(+12.4%)</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p&lt;0.02</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Response Time Variability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+17.1</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(+38.6%)</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2"/>
              </w:rPr>
              <w:t>p&lt;0.001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3"/>
              </w:rPr>
              <w:t>ADHD Score</w:t>
            </w:r>
          </w:p>
        </w:tc>
        <w:tc>
          <w:tcPr>
            <w:tcW w:w="3880" w:type="dxa"/>
            <w:vAlign w:val="bottom"/>
            <w:gridSpan w:val="2"/>
            <w:shd w:val="clear" w:color="auto" w:fill="CBCBCB"/>
          </w:tcPr>
          <w:p>
            <w:pPr>
              <w:jc w:val="right"/>
              <w:ind w:right="1560"/>
              <w:spacing w:after="0"/>
              <w:rPr>
                <w:sz w:val="20"/>
                <w:szCs w:val="20"/>
                <w:color w:val="auto"/>
              </w:rPr>
            </w:pPr>
            <w:r>
              <w:rPr>
                <w:rFonts w:ascii="Arial" w:cs="Arial" w:eastAsia="Arial" w:hAnsi="Arial"/>
                <w:sz w:val="16"/>
                <w:szCs w:val="16"/>
                <w:color w:val="auto"/>
              </w:rPr>
              <w:t>+3.9 (+65.8%)</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2"/>
              </w:rPr>
              <w:t>p&lt;0.001</w:t>
            </w: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TOVA Subscores</w:t>
      </w:r>
    </w:p>
    <w:p>
      <w:pPr>
        <w:spacing w:after="0" w:line="21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1532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3289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WAIS-R subtest</w:t>
            </w:r>
          </w:p>
        </w:tc>
        <w:tc>
          <w:tcPr>
            <w:tcW w:w="2560" w:type="dxa"/>
            <w:vAlign w:val="bottom"/>
            <w:vMerge w:val="restart"/>
            <w:shd w:val="clear" w:color="auto" w:fill="000000"/>
          </w:tcPr>
          <w:p>
            <w:pPr>
              <w:ind w:left="460"/>
              <w:spacing w:after="0"/>
              <w:rPr>
                <w:sz w:val="20"/>
                <w:szCs w:val="20"/>
                <w:color w:val="auto"/>
              </w:rPr>
            </w:pPr>
            <w:r>
              <w:rPr>
                <w:rFonts w:ascii="Arial" w:cs="Arial" w:eastAsia="Arial" w:hAnsi="Arial"/>
                <w:sz w:val="16"/>
                <w:szCs w:val="16"/>
                <w:b w:val="1"/>
                <w:bCs w:val="1"/>
                <w:color w:val="FFFFFF"/>
              </w:rPr>
              <w:t>Baseline mean (min,max)</w:t>
            </w:r>
          </w:p>
        </w:tc>
        <w:tc>
          <w:tcPr>
            <w:tcW w:w="3100" w:type="dxa"/>
            <w:vAlign w:val="bottom"/>
            <w:gridSpan w:val="2"/>
            <w:vMerge w:val="restart"/>
            <w:shd w:val="clear" w:color="auto" w:fill="000000"/>
          </w:tcPr>
          <w:p>
            <w:pPr>
              <w:ind w:left="380"/>
              <w:spacing w:after="0"/>
              <w:rPr>
                <w:sz w:val="20"/>
                <w:szCs w:val="20"/>
                <w:color w:val="auto"/>
              </w:rPr>
            </w:pPr>
            <w:r>
              <w:rPr>
                <w:rFonts w:ascii="Arial" w:cs="Arial" w:eastAsia="Arial" w:hAnsi="Arial"/>
                <w:sz w:val="16"/>
                <w:szCs w:val="16"/>
                <w:b w:val="1"/>
                <w:bCs w:val="1"/>
                <w:color w:val="FFFFFF"/>
              </w:rPr>
              <w:t>Post medication mean (min,max)</w:t>
            </w:r>
          </w:p>
        </w:tc>
        <w:tc>
          <w:tcPr>
            <w:tcW w:w="1620" w:type="dxa"/>
            <w:vAlign w:val="bottom"/>
            <w:vMerge w:val="restart"/>
            <w:shd w:val="clear" w:color="auto" w:fill="000000"/>
          </w:tcPr>
          <w:p>
            <w:pPr>
              <w:jc w:val="center"/>
              <w:ind w:right="100"/>
              <w:spacing w:after="0"/>
              <w:rPr>
                <w:sz w:val="20"/>
                <w:szCs w:val="20"/>
                <w:color w:val="auto"/>
              </w:rPr>
            </w:pPr>
            <w:r>
              <w:rPr>
                <w:rFonts w:ascii="Arial" w:cs="Arial" w:eastAsia="Arial" w:hAnsi="Arial"/>
                <w:sz w:val="16"/>
                <w:szCs w:val="16"/>
                <w:b w:val="1"/>
                <w:bCs w:val="1"/>
                <w:color w:val="FFFFFF"/>
                <w:w w:val="88"/>
              </w:rPr>
              <w:t>Change</w:t>
            </w:r>
          </w:p>
        </w:tc>
        <w:tc>
          <w:tcPr>
            <w:tcW w:w="2020" w:type="dxa"/>
            <w:vAlign w:val="bottom"/>
            <w:vMerge w:val="restart"/>
            <w:shd w:val="clear" w:color="auto" w:fill="000000"/>
          </w:tcPr>
          <w:p>
            <w:pPr>
              <w:ind w:left="860"/>
              <w:spacing w:after="0"/>
              <w:rPr>
                <w:sz w:val="20"/>
                <w:szCs w:val="20"/>
                <w:color w:val="auto"/>
              </w:rPr>
            </w:pPr>
            <w:r>
              <w:rPr>
                <w:rFonts w:ascii="Arial" w:cs="Arial" w:eastAsia="Arial" w:hAnsi="Arial"/>
                <w:sz w:val="16"/>
                <w:szCs w:val="16"/>
                <w:b w:val="1"/>
                <w:bCs w:val="1"/>
                <w:color w:val="FFFFFF"/>
              </w:rPr>
              <w:t>p</w:t>
            </w:r>
          </w:p>
        </w:tc>
        <w:tc>
          <w:tcPr>
            <w:tcW w:w="0" w:type="dxa"/>
            <w:vAlign w:val="bottom"/>
          </w:tcPr>
          <w:p>
            <w:pPr>
              <w:spacing w:after="0"/>
              <w:rPr>
                <w:sz w:val="1"/>
                <w:szCs w:val="1"/>
                <w:color w:val="auto"/>
              </w:rPr>
            </w:pPr>
          </w:p>
        </w:tc>
      </w:tr>
      <w:tr>
        <w:trPr>
          <w:trHeight w:val="209"/>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(n-38)</w:t>
            </w:r>
          </w:p>
        </w:tc>
        <w:tc>
          <w:tcPr>
            <w:tcW w:w="2560" w:type="dxa"/>
            <w:vAlign w:val="bottom"/>
            <w:vMerge w:val="continue"/>
            <w:shd w:val="clear" w:color="auto" w:fill="000000"/>
          </w:tcPr>
          <w:p>
            <w:pPr>
              <w:spacing w:after="0"/>
              <w:rPr>
                <w:sz w:val="18"/>
                <w:szCs w:val="18"/>
                <w:color w:val="auto"/>
              </w:rPr>
            </w:pPr>
          </w:p>
        </w:tc>
        <w:tc>
          <w:tcPr>
            <w:tcW w:w="3100" w:type="dxa"/>
            <w:vAlign w:val="bottom"/>
            <w:gridSpan w:val="2"/>
            <w:vMerge w:val="continue"/>
            <w:shd w:val="clear" w:color="auto" w:fill="000000"/>
          </w:tcPr>
          <w:p>
            <w:pPr>
              <w:spacing w:after="0"/>
              <w:rPr>
                <w:sz w:val="18"/>
                <w:szCs w:val="18"/>
                <w:color w:val="auto"/>
              </w:rPr>
            </w:pPr>
          </w:p>
        </w:tc>
        <w:tc>
          <w:tcPr>
            <w:tcW w:w="1620" w:type="dxa"/>
            <w:vAlign w:val="bottom"/>
            <w:vMerge w:val="continue"/>
            <w:shd w:val="clear" w:color="auto" w:fill="000000"/>
          </w:tcPr>
          <w:p>
            <w:pPr>
              <w:spacing w:after="0"/>
              <w:rPr>
                <w:sz w:val="18"/>
                <w:szCs w:val="18"/>
                <w:color w:val="auto"/>
              </w:rPr>
            </w:pPr>
          </w:p>
        </w:tc>
        <w:tc>
          <w:tcPr>
            <w:tcW w:w="2020" w:type="dxa"/>
            <w:vAlign w:val="bottom"/>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000000"/>
          </w:tcPr>
          <w:p>
            <w:pPr>
              <w:spacing w:after="0"/>
              <w:rPr>
                <w:sz w:val="18"/>
                <w:szCs w:val="18"/>
                <w:color w:val="auto"/>
              </w:rPr>
            </w:pPr>
          </w:p>
        </w:tc>
        <w:tc>
          <w:tcPr>
            <w:tcW w:w="2560" w:type="dxa"/>
            <w:vAlign w:val="bottom"/>
            <w:shd w:val="clear" w:color="auto" w:fill="000000"/>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1700" w:type="dxa"/>
            <w:vAlign w:val="bottom"/>
            <w:shd w:val="clear" w:color="auto" w:fill="000000"/>
          </w:tcPr>
          <w:p>
            <w:pPr>
              <w:spacing w:after="0"/>
              <w:rPr>
                <w:sz w:val="18"/>
                <w:szCs w:val="18"/>
                <w:color w:val="auto"/>
              </w:rPr>
            </w:pPr>
          </w:p>
        </w:tc>
        <w:tc>
          <w:tcPr>
            <w:tcW w:w="1620" w:type="dxa"/>
            <w:vAlign w:val="bottom"/>
            <w:shd w:val="clear" w:color="auto" w:fill="000000"/>
          </w:tcPr>
          <w:p>
            <w:pPr>
              <w:spacing w:after="0"/>
              <w:rPr>
                <w:sz w:val="18"/>
                <w:szCs w:val="18"/>
                <w:color w:val="auto"/>
              </w:rPr>
            </w:pPr>
          </w:p>
        </w:tc>
        <w:tc>
          <w:tcPr>
            <w:tcW w:w="20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1"/>
              </w:rPr>
              <w:t>Correct Symbols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37.9</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(22,57)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+3.4</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8"/>
              </w:rPr>
              <w:t>Symbol Search</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0"/>
              </w:rPr>
              <w:t>74.6 (54,119)</w:t>
            </w:r>
          </w:p>
        </w:tc>
        <w:tc>
          <w:tcPr>
            <w:tcW w:w="3100" w:type="dxa"/>
            <w:vAlign w:val="bottom"/>
            <w:gridSpan w:val="2"/>
            <w:shd w:val="clear" w:color="auto" w:fill="D9D9D9"/>
          </w:tcPr>
          <w:p>
            <w:pPr>
              <w:jc w:val="right"/>
              <w:ind w:right="1100"/>
              <w:spacing w:after="0"/>
              <w:rPr>
                <w:sz w:val="20"/>
                <w:szCs w:val="20"/>
                <w:color w:val="auto"/>
              </w:rPr>
            </w:pPr>
            <w:r>
              <w:rPr>
                <w:rFonts w:ascii="Arial" w:cs="Arial" w:eastAsia="Arial" w:hAnsi="Arial"/>
                <w:sz w:val="16"/>
                <w:szCs w:val="16"/>
                <w:color w:val="auto"/>
              </w:rPr>
              <w:t>81.7 (61,112)</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+7.2</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2"/>
              </w:rPr>
              <w:t>p&lt;0.001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00" w:type="dxa"/>
            <w:vAlign w:val="bottom"/>
            <w:gridSpan w:val="2"/>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3"/>
              </w:rPr>
              <w:t>Digits Forward</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10.0 (5,14)</w:t>
            </w:r>
          </w:p>
        </w:tc>
        <w:tc>
          <w:tcPr>
            <w:tcW w:w="3100" w:type="dxa"/>
            <w:vAlign w:val="bottom"/>
            <w:gridSpan w:val="2"/>
            <w:shd w:val="clear" w:color="auto" w:fill="BFBFBF"/>
          </w:tcPr>
          <w:p>
            <w:pPr>
              <w:jc w:val="right"/>
              <w:ind w:right="1160"/>
              <w:spacing w:after="0"/>
              <w:rPr>
                <w:sz w:val="20"/>
                <w:szCs w:val="20"/>
                <w:color w:val="auto"/>
              </w:rPr>
            </w:pPr>
            <w:r>
              <w:rPr>
                <w:rFonts w:ascii="Arial" w:cs="Arial" w:eastAsia="Arial" w:hAnsi="Arial"/>
                <w:sz w:val="16"/>
                <w:szCs w:val="16"/>
                <w:color w:val="auto"/>
              </w:rPr>
              <w:t>10.7 (7,14)</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+0.7</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p&lt;0.003</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00" w:type="dxa"/>
            <w:vAlign w:val="bottom"/>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4"/>
              </w:rPr>
              <w:t>Digits Backward</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3"/>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w:t>
            </w:r>
          </w:p>
        </w:tc>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(2,14)</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+0.9</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3"/>
              </w:rPr>
              <w:t>p&lt;0.01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0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4"/>
              </w:rPr>
              <w:t>Total Digits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18.6</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(10,27)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+1.6</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b w:val="1"/>
                <w:bCs w:val="1"/>
                <w:color w:val="auto"/>
              </w:rPr>
              <w:t>Wechsler Subscores</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110490</wp:posOffset>
            </wp:positionV>
            <wp:extent cx="3173095" cy="1853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309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Following Single MG01CI Dosing</w:t>
      </w:r>
    </w:p>
    <w:p>
      <w:pPr>
        <w:spacing w:after="0" w:line="20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6"/>
          <w:szCs w:val="16"/>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ectPr>
          <w:pgSz w:w="11900" w:h="16838" w:orient="portrait"/>
          <w:cols w:equalWidth="0" w:num="1">
            <w:col w:w="11440"/>
          </w:cols>
          <w:pgMar w:left="240" w:top="824" w:right="219" w:bottom="0" w:gutter="0" w:footer="0" w:header="0"/>
        </w:sectPr>
      </w:pPr>
    </w:p>
    <w:bookmarkStart w:id="44" w:name="page45"/>
    <w:bookmarkEnd w:id="44"/>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653415</wp:posOffset>
            </wp:positionV>
            <wp:extent cx="7317740" cy="5492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Before and 90 Minutes Following One of Three MG01CI Doses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Phase IIb Clinical Study</w:t>
      </w:r>
    </w:p>
    <w:p>
      <w:pPr>
        <w:spacing w:after="0" w:line="204" w:lineRule="exact"/>
        <w:rPr>
          <w:sz w:val="20"/>
          <w:szCs w:val="20"/>
          <w:color w:val="auto"/>
        </w:rPr>
      </w:pPr>
    </w:p>
    <w:p>
      <w:pPr>
        <w:ind w:right="260" w:firstLine="360"/>
        <w:spacing w:after="0" w:line="312" w:lineRule="auto"/>
        <w:rPr>
          <w:sz w:val="20"/>
          <w:szCs w:val="20"/>
          <w:color w:val="auto"/>
        </w:rPr>
      </w:pPr>
      <w:r>
        <w:rPr>
          <w:rFonts w:ascii="Arial" w:cs="Arial" w:eastAsia="Arial" w:hAnsi="Arial"/>
          <w:sz w:val="15"/>
          <w:szCs w:val="15"/>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2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6"/>
          <w:szCs w:val="16"/>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52"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ectPr>
          <w:pgSz w:w="11900" w:h="16838" w:orient="portrait"/>
          <w:cols w:equalWidth="0" w:num="1">
            <w:col w:w="11420"/>
          </w:cols>
          <w:pgMar w:left="240" w:top="1440"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492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60"/>
        <w:spacing w:after="0" w:line="319" w:lineRule="auto"/>
        <w:rPr>
          <w:sz w:val="20"/>
          <w:szCs w:val="20"/>
          <w:color w:val="auto"/>
        </w:rPr>
      </w:pPr>
      <w:r>
        <w:rPr>
          <w:rFonts w:ascii="Arial" w:cs="Arial" w:eastAsia="Arial" w:hAnsi="Arial"/>
          <w:sz w:val="14"/>
          <w:szCs w:val="14"/>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Summary of Clinical Data and Key Conclusions</w:t>
      </w:r>
    </w:p>
    <w:p>
      <w:pPr>
        <w:spacing w:after="0" w:line="20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Subjects treated with MG01CI showed statistically significant improvement in CAARS Total ADHD Symptoms Score, as well as higher response rates on the CAARS Total ADHD Symptom Score over subjects treated with placebo.</w:t>
      </w:r>
    </w:p>
    <w:p>
      <w:pPr>
        <w:spacing w:after="0" w:line="15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Improvements in ADHD symptoms (scored by CAARS) were significantly different in subjects treated with MG01Cl vs. placebo as early as 2 weeks following treatment initiation.</w:t>
      </w:r>
    </w:p>
    <w:p>
      <w:pPr>
        <w:spacing w:after="0" w:line="152" w:lineRule="exact"/>
        <w:rPr>
          <w:sz w:val="20"/>
          <w:szCs w:val="20"/>
          <w:color w:val="auto"/>
        </w:rPr>
      </w:pPr>
    </w:p>
    <w:p>
      <w:pPr>
        <w:ind w:right="360" w:firstLine="360"/>
        <w:spacing w:after="0" w:line="259"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67" w:lineRule="exact"/>
        <w:rPr>
          <w:sz w:val="20"/>
          <w:szCs w:val="20"/>
          <w:color w:val="auto"/>
        </w:rPr>
      </w:pPr>
    </w:p>
    <w:p>
      <w:pPr>
        <w:ind w:right="100" w:firstLine="360"/>
        <w:spacing w:after="0" w:line="351" w:lineRule="auto"/>
        <w:rPr>
          <w:sz w:val="20"/>
          <w:szCs w:val="20"/>
          <w:color w:val="auto"/>
        </w:rPr>
      </w:pPr>
      <w:r>
        <w:rPr>
          <w:rFonts w:ascii="Arial" w:cs="Arial" w:eastAsia="Arial" w:hAnsi="Arial"/>
          <w:sz w:val="14"/>
          <w:szCs w:val="14"/>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Adverse Events</w:t>
      </w:r>
    </w:p>
    <w:p>
      <w:pPr>
        <w:spacing w:after="0" w:line="20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products containing Metadoxine outside the United States cite either complete lack of adverse events or infrequent diarrhea and moderate skin rash.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Commercialization</w:t>
      </w:r>
    </w:p>
    <w:p>
      <w:pPr>
        <w:spacing w:after="0" w:line="2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6"/>
          <w:szCs w:val="16"/>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204" w:lineRule="exact"/>
        <w:rPr>
          <w:sz w:val="20"/>
          <w:szCs w:val="20"/>
          <w:color w:val="auto"/>
        </w:rPr>
      </w:pPr>
    </w:p>
    <w:p>
      <w:pPr>
        <w:ind w:right="120" w:firstLine="369"/>
        <w:spacing w:after="0" w:line="264"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62" w:lineRule="exact"/>
        <w:rPr>
          <w:sz w:val="20"/>
          <w:szCs w:val="20"/>
          <w:color w:val="auto"/>
        </w:rPr>
      </w:pPr>
    </w:p>
    <w:p>
      <w:pPr>
        <w:ind w:right="20" w:firstLine="369"/>
        <w:spacing w:after="0" w:line="25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68" w:lineRule="exact"/>
        <w:rPr>
          <w:sz w:val="20"/>
          <w:szCs w:val="20"/>
          <w:color w:val="auto"/>
        </w:rPr>
      </w:pPr>
    </w:p>
    <w:p>
      <w:pPr>
        <w:ind w:right="140" w:firstLine="370"/>
        <w:spacing w:after="0" w:line="278" w:lineRule="auto"/>
        <w:rPr>
          <w:sz w:val="20"/>
          <w:szCs w:val="20"/>
          <w:color w:val="auto"/>
        </w:rPr>
      </w:pPr>
      <w:r>
        <w:rPr>
          <w:rFonts w:ascii="Arial" w:cs="Arial" w:eastAsia="Arial" w:hAnsi="Arial"/>
          <w:sz w:val="15"/>
          <w:szCs w:val="15"/>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4" w:lineRule="exact"/>
        <w:rPr>
          <w:sz w:val="20"/>
          <w:szCs w:val="20"/>
          <w:color w:val="auto"/>
        </w:rPr>
      </w:pPr>
    </w:p>
    <w:p>
      <w:pPr>
        <w:ind w:firstLine="370"/>
        <w:spacing w:after="0" w:line="289" w:lineRule="auto"/>
        <w:rPr>
          <w:sz w:val="20"/>
          <w:szCs w:val="20"/>
          <w:color w:val="auto"/>
        </w:rPr>
      </w:pPr>
      <w:r>
        <w:rPr>
          <w:rFonts w:ascii="Arial" w:cs="Arial" w:eastAsia="Arial" w:hAnsi="Arial"/>
          <w:sz w:val="15"/>
          <w:szCs w:val="15"/>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46"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from the Office of the Israeli Chief Scientist</w:t>
      </w:r>
    </w:p>
    <w:p>
      <w:pPr>
        <w:spacing w:after="0" w:line="204" w:lineRule="exact"/>
        <w:rPr>
          <w:sz w:val="20"/>
          <w:szCs w:val="20"/>
          <w:color w:val="auto"/>
        </w:rPr>
      </w:pPr>
    </w:p>
    <w:p>
      <w:pPr>
        <w:ind w:right="140" w:firstLine="370"/>
        <w:spacing w:after="0" w:line="25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Strategic Relationship with Teva Pharmaceuticals</w:t>
      </w:r>
    </w:p>
    <w:p>
      <w:pPr>
        <w:spacing w:after="0" w:line="204" w:lineRule="exact"/>
        <w:rPr>
          <w:sz w:val="20"/>
          <w:szCs w:val="20"/>
          <w:color w:val="auto"/>
        </w:rPr>
      </w:pPr>
    </w:p>
    <w:p>
      <w:pPr>
        <w:ind w:right="40" w:firstLine="370"/>
        <w:spacing w:after="0" w:line="259"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4" w:lineRule="exact"/>
        <w:rPr>
          <w:sz w:val="20"/>
          <w:szCs w:val="20"/>
          <w:color w:val="auto"/>
        </w:rPr>
      </w:pPr>
    </w:p>
    <w:p>
      <w:pPr>
        <w:ind w:right="240" w:firstLine="370"/>
        <w:spacing w:after="0" w:line="278" w:lineRule="auto"/>
        <w:rPr>
          <w:sz w:val="20"/>
          <w:szCs w:val="20"/>
          <w:color w:val="auto"/>
        </w:rPr>
      </w:pPr>
      <w:r>
        <w:rPr>
          <w:rFonts w:ascii="Arial" w:cs="Arial" w:eastAsia="Arial" w:hAnsi="Arial"/>
          <w:sz w:val="15"/>
          <w:szCs w:val="15"/>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8" w:name="page49"/>
    <w:bookmarkEnd w:id="48"/>
    <w:p>
      <w:pPr>
        <w:ind w:right="160" w:firstLine="370"/>
        <w:spacing w:after="0" w:line="312" w:lineRule="auto"/>
        <w:rPr>
          <w:sz w:val="20"/>
          <w:szCs w:val="20"/>
          <w:color w:val="auto"/>
        </w:rPr>
      </w:pPr>
      <w:r>
        <w:rPr>
          <w:rFonts w:ascii="Arial" w:cs="Arial" w:eastAsia="Arial" w:hAnsi="Arial"/>
          <w:sz w:val="15"/>
          <w:szCs w:val="15"/>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28"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4"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67" w:lineRule="exact"/>
        <w:rPr>
          <w:sz w:val="20"/>
          <w:szCs w:val="20"/>
          <w:color w:val="auto"/>
        </w:rPr>
      </w:pPr>
    </w:p>
    <w:p>
      <w:pPr>
        <w:ind w:right="80" w:firstLine="370"/>
        <w:spacing w:after="0" w:line="255" w:lineRule="auto"/>
        <w:rPr>
          <w:sz w:val="20"/>
          <w:szCs w:val="20"/>
          <w:color w:val="auto"/>
        </w:rPr>
      </w:pPr>
      <w:r>
        <w:rPr>
          <w:rFonts w:ascii="Arial" w:cs="Arial" w:eastAsia="Arial" w:hAnsi="Arial"/>
          <w:sz w:val="16"/>
          <w:szCs w:val="16"/>
          <w:color w:val="auto"/>
        </w:rPr>
        <w:t>One of our patent applications has been allowed by the U.S. PTO, and we expect the patent to be issued shortly. 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69"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success depends in part on our ability to:</w:t>
      </w:r>
    </w:p>
    <w:p>
      <w:pPr>
        <w:spacing w:after="0" w:line="200" w:lineRule="exact"/>
        <w:rPr>
          <w:sz w:val="20"/>
          <w:szCs w:val="20"/>
          <w:color w:val="auto"/>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preserve trade secrets;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prevent third parties from infringing upon our proprietary rights;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49" w:name="page50"/>
    <w:bookmarkEnd w:id="49"/>
    <w:p>
      <w:pPr>
        <w:ind w:right="60" w:firstLine="370"/>
        <w:spacing w:after="0" w:line="282"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00"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8" w:lineRule="exact"/>
        <w:rPr>
          <w:sz w:val="20"/>
          <w:szCs w:val="20"/>
          <w:color w:val="auto"/>
        </w:rPr>
      </w:pPr>
    </w:p>
    <w:p>
      <w:pPr>
        <w:ind w:right="280" w:firstLine="370"/>
        <w:spacing w:after="0" w:line="319" w:lineRule="auto"/>
        <w:rPr>
          <w:sz w:val="20"/>
          <w:szCs w:val="20"/>
          <w:color w:val="auto"/>
        </w:rPr>
      </w:pPr>
      <w:r>
        <w:rPr>
          <w:rFonts w:ascii="Arial" w:cs="Arial" w:eastAsia="Arial" w:hAnsi="Arial"/>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27" w:lineRule="exact"/>
        <w:rPr>
          <w:sz w:val="20"/>
          <w:szCs w:val="20"/>
          <w:color w:val="auto"/>
        </w:rPr>
      </w:pPr>
    </w:p>
    <w:p>
      <w:pPr>
        <w:jc w:val="both"/>
        <w:ind w:right="200" w:firstLine="370"/>
        <w:spacing w:after="0" w:line="26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Marketing Approval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drugs may be marketed in the United States generally involves the following:</w:t>
      </w:r>
    </w:p>
    <w:p>
      <w:pPr>
        <w:spacing w:after="0" w:line="200" w:lineRule="exact"/>
        <w:rPr>
          <w:sz w:val="20"/>
          <w:szCs w:val="20"/>
          <w:color w:val="auto"/>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nonclinical laboratory and animal tests;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submission of an Investigational New Drug, or IND, application which must become effective before clinical trials may begin;</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adequate and well-controlled human clinical trials to establish the safety and efficacy of the proposed drug for its intended use or uses;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pre-approval inspection of manufacturing facilities and clinical trial sites;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FDA approval of a new drug application (NDA) which must occur before a drug can be marketed or sold.</w:t>
      </w:r>
    </w:p>
    <w:p>
      <w:pPr>
        <w:spacing w:after="0" w:line="20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6"/>
          <w:szCs w:val="16"/>
          <w:color w:val="auto"/>
        </w:rPr>
        <w:t>The testing and approval process requires substantial time and financial resources, and we cannot be certain that any approvals for MG01CI will be granted on a timely basis if at all.</w:t>
      </w:r>
    </w:p>
    <w:p>
      <w:pPr>
        <w:spacing w:after="0" w:line="152" w:lineRule="exact"/>
        <w:rPr>
          <w:sz w:val="20"/>
          <w:szCs w:val="20"/>
          <w:color w:val="auto"/>
        </w:rPr>
      </w:pPr>
    </w:p>
    <w:p>
      <w:pPr>
        <w:ind w:right="460" w:firstLine="370"/>
        <w:spacing w:after="0" w:line="312" w:lineRule="auto"/>
        <w:rPr>
          <w:sz w:val="20"/>
          <w:szCs w:val="20"/>
          <w:color w:val="auto"/>
        </w:rPr>
      </w:pPr>
      <w:r>
        <w:rPr>
          <w:rFonts w:ascii="Arial" w:cs="Arial" w:eastAsia="Arial" w:hAnsi="Arial"/>
          <w:sz w:val="15"/>
          <w:szCs w:val="15"/>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28" w:lineRule="exact"/>
        <w:rPr>
          <w:sz w:val="20"/>
          <w:szCs w:val="20"/>
          <w:color w:val="auto"/>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regulatory approval to commence a study;</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5"/>
          <w:szCs w:val="15"/>
          <w:color w:val="A6A6A6"/>
        </w:rPr>
      </w:pPr>
      <w:r>
        <w:rPr>
          <w:rFonts w:ascii="Arial" w:cs="Arial" w:eastAsia="Arial" w:hAnsi="Arial"/>
          <w:sz w:val="15"/>
          <w:szCs w:val="15"/>
          <w:color w:val="auto"/>
        </w:rPr>
        <w:t>reaching agreement with third-party clinical trial sites and their subsequent performance in conducting accurate and reliable studies on a timely basis;</w:t>
      </w:r>
    </w:p>
    <w:p>
      <w:pPr>
        <w:spacing w:after="0" w:line="211" w:lineRule="exact"/>
        <w:rPr>
          <w:rFonts w:ascii="Arial" w:cs="Arial" w:eastAsia="Arial" w:hAnsi="Arial"/>
          <w:sz w:val="15"/>
          <w:szCs w:val="15"/>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institutional review board approval to conduct a study at a prospective site;</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recruiting patients to participate in a study;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supply of the drug.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0" w:name="page51"/>
    <w:bookmarkEnd w:id="50"/>
    <w:p>
      <w:pPr>
        <w:ind w:right="240" w:firstLine="369"/>
        <w:spacing w:after="0" w:line="257" w:lineRule="auto"/>
        <w:rPr>
          <w:sz w:val="20"/>
          <w:szCs w:val="20"/>
          <w:color w:val="auto"/>
        </w:rPr>
      </w:pPr>
      <w:r>
        <w:rPr>
          <w:rFonts w:ascii="Arial" w:cs="Arial" w:eastAsia="Arial" w:hAnsi="Arial"/>
          <w:sz w:val="16"/>
          <w:szCs w:val="16"/>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68" w:lineRule="exact"/>
        <w:rPr>
          <w:sz w:val="20"/>
          <w:szCs w:val="20"/>
          <w:color w:val="auto"/>
        </w:rPr>
      </w:pPr>
    </w:p>
    <w:p>
      <w:pPr>
        <w:ind w:right="20" w:firstLine="335"/>
        <w:spacing w:after="0" w:line="259" w:lineRule="auto"/>
        <w:rPr>
          <w:sz w:val="20"/>
          <w:szCs w:val="20"/>
          <w:color w:val="auto"/>
        </w:rPr>
      </w:pPr>
      <w:r>
        <w:rPr>
          <w:rFonts w:ascii="Arial" w:cs="Arial" w:eastAsia="Arial" w:hAnsi="Arial"/>
          <w:sz w:val="16"/>
          <w:szCs w:val="16"/>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NDA approval, human clinical trials are typically conducted in phases that may overlap.</w:t>
      </w:r>
    </w:p>
    <w:p>
      <w:pPr>
        <w:spacing w:after="0" w:line="200" w:lineRule="exact"/>
        <w:rPr>
          <w:sz w:val="20"/>
          <w:szCs w:val="20"/>
          <w:color w:val="auto"/>
        </w:rPr>
      </w:pPr>
    </w:p>
    <w:p>
      <w:pPr>
        <w:jc w:val="both"/>
        <w:ind w:left="360" w:hanging="4"/>
        <w:spacing w:after="0" w:line="264" w:lineRule="auto"/>
        <w:tabs>
          <w:tab w:leader="none" w:pos="640" w:val="left"/>
        </w:tabs>
        <w:numPr>
          <w:ilvl w:val="0"/>
          <w:numId w:val="46"/>
        </w:numPr>
        <w:rPr>
          <w:rFonts w:ascii="Arial" w:cs="Arial" w:eastAsia="Arial" w:hAnsi="Arial"/>
          <w:sz w:val="16"/>
          <w:szCs w:val="16"/>
          <w:color w:val="BFBFBF"/>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The drug is initially introduced into healthy human subjects and tested for safety, dosage tolerance, absorption, metabolism, distribution and excretion.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w:t>
      </w:r>
    </w:p>
    <w:p>
      <w:pPr>
        <w:spacing w:after="0" w:line="161" w:lineRule="exact"/>
        <w:rPr>
          <w:rFonts w:ascii="Arial" w:cs="Arial" w:eastAsia="Arial" w:hAnsi="Arial"/>
          <w:sz w:val="16"/>
          <w:szCs w:val="16"/>
          <w:color w:val="BFBFBF"/>
        </w:rPr>
      </w:pPr>
    </w:p>
    <w:p>
      <w:pPr>
        <w:ind w:left="360" w:right="60" w:hanging="4"/>
        <w:spacing w:after="0" w:line="319"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 </w:t>
      </w:r>
      <w:r>
        <w:rPr>
          <w:rFonts w:ascii="Arial" w:cs="Arial" w:eastAsia="Arial" w:hAnsi="Arial"/>
          <w:sz w:val="14"/>
          <w:szCs w:val="14"/>
          <w:color w:val="auto"/>
        </w:rPr>
        <w:t>This phase involves trials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19" w:lineRule="exact"/>
        <w:rPr>
          <w:rFonts w:ascii="Arial" w:cs="Arial" w:eastAsia="Arial" w:hAnsi="Arial"/>
          <w:sz w:val="14"/>
          <w:szCs w:val="14"/>
          <w:color w:val="BFBFBF"/>
        </w:rPr>
      </w:pPr>
    </w:p>
    <w:p>
      <w:pPr>
        <w:ind w:left="360" w:right="320" w:hanging="4"/>
        <w:spacing w:after="0" w:line="351"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III. </w:t>
      </w:r>
      <w:r>
        <w:rPr>
          <w:rFonts w:ascii="Arial" w:cs="Arial" w:eastAsia="Arial" w:hAnsi="Arial"/>
          <w:sz w:val="14"/>
          <w:szCs w:val="14"/>
          <w:color w:val="auto"/>
        </w:rPr>
        <w:t>This phase involves trials undertaken to further evaluate dosage, clinical efficacy and safety in an expanded patient population, often at geographically</w:t>
      </w:r>
      <w:r>
        <w:rPr>
          <w:rFonts w:ascii="Arial" w:cs="Arial" w:eastAsia="Arial" w:hAnsi="Arial"/>
          <w:sz w:val="14"/>
          <w:szCs w:val="14"/>
          <w:i w:val="1"/>
          <w:iCs w:val="1"/>
          <w:color w:val="auto"/>
        </w:rPr>
        <w:t xml:space="preserve"> </w:t>
      </w:r>
      <w:r>
        <w:rPr>
          <w:rFonts w:ascii="Arial" w:cs="Arial" w:eastAsia="Arial" w:hAnsi="Arial"/>
          <w:sz w:val="14"/>
          <w:szCs w:val="14"/>
          <w:color w:val="auto"/>
        </w:rPr>
        <w:t>dispersed clinical trial sites. These trials are intended to establish the overall risk/benefit ratio of the product and provide an adequate basis for product labeling.</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of these trials must be conducted in accordance with good clinical practice requirements in order for the data to be considered reliable for regulatory purposes.</w:t>
      </w:r>
    </w:p>
    <w:p>
      <w:pPr>
        <w:spacing w:after="0" w:line="212" w:lineRule="exact"/>
        <w:rPr>
          <w:sz w:val="20"/>
          <w:szCs w:val="20"/>
          <w:color w:val="auto"/>
        </w:rPr>
      </w:pPr>
    </w:p>
    <w:p>
      <w:pPr>
        <w:ind w:right="100" w:firstLine="370"/>
        <w:spacing w:after="0" w:line="278" w:lineRule="auto"/>
        <w:rPr>
          <w:sz w:val="20"/>
          <w:szCs w:val="20"/>
          <w:color w:val="auto"/>
        </w:rPr>
      </w:pPr>
      <w:r>
        <w:rPr>
          <w:rFonts w:ascii="Arial" w:cs="Arial" w:eastAsia="Arial" w:hAnsi="Arial"/>
          <w:sz w:val="15"/>
          <w:szCs w:val="15"/>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NDA Approval Process</w:t>
      </w:r>
    </w:p>
    <w:p>
      <w:pPr>
        <w:spacing w:after="0" w:line="200" w:lineRule="exact"/>
        <w:rPr>
          <w:sz w:val="20"/>
          <w:szCs w:val="20"/>
          <w:color w:val="auto"/>
        </w:rPr>
      </w:pPr>
    </w:p>
    <w:p>
      <w:pPr>
        <w:ind w:right="120" w:firstLine="370"/>
        <w:spacing w:after="0" w:line="256"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8" w:lineRule="exact"/>
        <w:rPr>
          <w:sz w:val="20"/>
          <w:szCs w:val="20"/>
          <w:color w:val="auto"/>
        </w:rPr>
      </w:pPr>
    </w:p>
    <w:p>
      <w:pPr>
        <w:ind w:right="40" w:firstLine="370"/>
        <w:spacing w:after="0" w:line="274" w:lineRule="auto"/>
        <w:rPr>
          <w:sz w:val="20"/>
          <w:szCs w:val="20"/>
          <w:color w:val="auto"/>
        </w:rPr>
      </w:pPr>
      <w:r>
        <w:rPr>
          <w:rFonts w:ascii="Arial" w:cs="Arial" w:eastAsia="Arial" w:hAnsi="Arial"/>
          <w:sz w:val="15"/>
          <w:szCs w:val="15"/>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1" w:name="page52"/>
    <w:bookmarkEnd w:id="51"/>
    <w:p>
      <w:pPr>
        <w:ind w:right="60" w:firstLine="370"/>
        <w:spacing w:after="0" w:line="282" w:lineRule="auto"/>
        <w:rPr>
          <w:sz w:val="20"/>
          <w:szCs w:val="20"/>
          <w:color w:val="auto"/>
        </w:rPr>
      </w:pPr>
      <w:r>
        <w:rPr>
          <w:rFonts w:ascii="Arial" w:cs="Arial" w:eastAsia="Arial" w:hAnsi="Arial"/>
          <w:sz w:val="15"/>
          <w:szCs w:val="15"/>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50" w:lineRule="exact"/>
        <w:rPr>
          <w:sz w:val="20"/>
          <w:szCs w:val="20"/>
          <w:color w:val="auto"/>
        </w:rPr>
      </w:pPr>
    </w:p>
    <w:p>
      <w:pPr>
        <w:jc w:val="both"/>
        <w:ind w:right="20" w:firstLine="370"/>
        <w:spacing w:after="0" w:line="289" w:lineRule="auto"/>
        <w:rPr>
          <w:sz w:val="20"/>
          <w:szCs w:val="20"/>
          <w:color w:val="auto"/>
        </w:rPr>
      </w:pPr>
      <w:r>
        <w:rPr>
          <w:rFonts w:ascii="Arial" w:cs="Arial" w:eastAsia="Arial" w:hAnsi="Arial"/>
          <w:sz w:val="15"/>
          <w:szCs w:val="15"/>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6" w:lineRule="exact"/>
        <w:rPr>
          <w:sz w:val="20"/>
          <w:szCs w:val="20"/>
          <w:color w:val="auto"/>
        </w:rPr>
      </w:pPr>
    </w:p>
    <w:p>
      <w:pPr>
        <w:ind w:right="320" w:firstLine="256"/>
        <w:spacing w:after="0" w:line="351" w:lineRule="auto"/>
        <w:rPr>
          <w:sz w:val="20"/>
          <w:szCs w:val="20"/>
          <w:color w:val="auto"/>
        </w:rPr>
      </w:pPr>
      <w:r>
        <w:rPr>
          <w:rFonts w:ascii="Arial" w:cs="Arial" w:eastAsia="Arial" w:hAnsi="Arial"/>
          <w:sz w:val="14"/>
          <w:szCs w:val="14"/>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06" w:lineRule="exact"/>
        <w:rPr>
          <w:sz w:val="20"/>
          <w:szCs w:val="20"/>
          <w:color w:val="auto"/>
        </w:rPr>
      </w:pPr>
    </w:p>
    <w:p>
      <w:pPr>
        <w:ind w:firstLine="216"/>
        <w:spacing w:after="0" w:line="278" w:lineRule="auto"/>
        <w:rPr>
          <w:sz w:val="20"/>
          <w:szCs w:val="20"/>
          <w:color w:val="auto"/>
        </w:rPr>
      </w:pPr>
      <w:r>
        <w:rPr>
          <w:rFonts w:ascii="Arial" w:cs="Arial" w:eastAsia="Arial" w:hAnsi="Arial"/>
          <w:sz w:val="15"/>
          <w:szCs w:val="15"/>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67" w:lineRule="exact"/>
        <w:rPr>
          <w:sz w:val="20"/>
          <w:szCs w:val="20"/>
          <w:color w:val="auto"/>
        </w:rPr>
      </w:pPr>
    </w:p>
    <w:p>
      <w:pPr>
        <w:jc w:val="both"/>
        <w:ind w:right="380" w:firstLine="370"/>
        <w:spacing w:after="0" w:line="319" w:lineRule="auto"/>
        <w:rPr>
          <w:sz w:val="20"/>
          <w:szCs w:val="20"/>
          <w:color w:val="auto"/>
        </w:rPr>
      </w:pPr>
      <w:r>
        <w:rPr>
          <w:rFonts w:ascii="Arial" w:cs="Arial" w:eastAsia="Arial" w:hAnsi="Arial"/>
          <w:sz w:val="14"/>
          <w:szCs w:val="14"/>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27" w:lineRule="exact"/>
        <w:rPr>
          <w:sz w:val="20"/>
          <w:szCs w:val="20"/>
          <w:color w:val="auto"/>
        </w:rPr>
      </w:pPr>
    </w:p>
    <w:p>
      <w:pPr>
        <w:ind w:right="140" w:firstLine="370"/>
        <w:spacing w:after="0" w:line="277" w:lineRule="auto"/>
        <w:rPr>
          <w:sz w:val="20"/>
          <w:szCs w:val="20"/>
          <w:color w:val="auto"/>
        </w:rPr>
      </w:pPr>
      <w:r>
        <w:rPr>
          <w:rFonts w:ascii="Arial" w:cs="Arial" w:eastAsia="Arial" w:hAnsi="Arial"/>
          <w:sz w:val="16"/>
          <w:szCs w:val="16"/>
          <w:color w:val="auto"/>
        </w:rPr>
        <w:t>Any approvals that we may ultimately receive could be withdrawn if required post-marketing trials or analyses do not meet the FDA requirements, which could materially harm the commercial prospects for MG01CI.</w:t>
      </w:r>
    </w:p>
    <w:p>
      <w:pPr>
        <w:spacing w:after="0" w:line="152" w:lineRule="exact"/>
        <w:rPr>
          <w:sz w:val="20"/>
          <w:szCs w:val="20"/>
          <w:color w:val="auto"/>
        </w:rPr>
      </w:pPr>
    </w:p>
    <w:p>
      <w:pPr>
        <w:ind w:right="40" w:firstLine="370"/>
        <w:spacing w:after="0" w:line="278" w:lineRule="auto"/>
        <w:rPr>
          <w:sz w:val="20"/>
          <w:szCs w:val="20"/>
          <w:color w:val="auto"/>
        </w:rPr>
      </w:pPr>
      <w:r>
        <w:rPr>
          <w:rFonts w:ascii="Arial" w:cs="Arial" w:eastAsia="Arial" w:hAnsi="Arial"/>
          <w:sz w:val="15"/>
          <w:szCs w:val="15"/>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5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2" w:name="page53"/>
    <w:bookmarkEnd w:id="52"/>
    <w:p>
      <w:pPr>
        <w:ind w:left="320"/>
        <w:spacing w:after="0"/>
        <w:rPr>
          <w:sz w:val="20"/>
          <w:szCs w:val="20"/>
          <w:color w:val="auto"/>
        </w:rPr>
      </w:pPr>
      <w:r>
        <w:rPr>
          <w:rFonts w:ascii="Arial" w:cs="Arial" w:eastAsia="Arial" w:hAnsi="Arial"/>
          <w:sz w:val="16"/>
          <w:szCs w:val="16"/>
          <w:b w:val="1"/>
          <w:bCs w:val="1"/>
          <w:i w:val="1"/>
          <w:iCs w:val="1"/>
          <w:color w:val="auto"/>
        </w:rPr>
        <w:t>FDA Post-Approval Requirements</w:t>
      </w:r>
    </w:p>
    <w:p>
      <w:pPr>
        <w:spacing w:after="0" w:line="200" w:lineRule="exact"/>
        <w:rPr>
          <w:sz w:val="20"/>
          <w:szCs w:val="20"/>
          <w:color w:val="auto"/>
        </w:rPr>
      </w:pPr>
    </w:p>
    <w:p>
      <w:pPr>
        <w:ind w:right="20" w:firstLine="369"/>
        <w:spacing w:after="0" w:line="272" w:lineRule="auto"/>
        <w:rPr>
          <w:sz w:val="20"/>
          <w:szCs w:val="20"/>
          <w:color w:val="auto"/>
        </w:rPr>
      </w:pPr>
      <w:r>
        <w:rPr>
          <w:rFonts w:ascii="Arial" w:cs="Arial" w:eastAsia="Arial" w:hAnsi="Arial"/>
          <w:sz w:val="15"/>
          <w:szCs w:val="15"/>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Labeling, Marketing and Promotion</w:t>
      </w:r>
    </w:p>
    <w:p>
      <w:pPr>
        <w:spacing w:after="0" w:line="200" w:lineRule="exact"/>
        <w:rPr>
          <w:sz w:val="20"/>
          <w:szCs w:val="20"/>
          <w:color w:val="auto"/>
        </w:rPr>
      </w:pPr>
    </w:p>
    <w:p>
      <w:pPr>
        <w:ind w:right="80" w:firstLine="369"/>
        <w:spacing w:after="0" w:line="302" w:lineRule="auto"/>
        <w:rPr>
          <w:sz w:val="20"/>
          <w:szCs w:val="20"/>
          <w:color w:val="auto"/>
        </w:rPr>
      </w:pPr>
      <w:r>
        <w:rPr>
          <w:rFonts w:ascii="Arial" w:cs="Arial" w:eastAsia="Arial" w:hAnsi="Arial"/>
          <w:sz w:val="14"/>
          <w:szCs w:val="14"/>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Pediatric Research Equity Act</w:t>
      </w:r>
    </w:p>
    <w:p>
      <w:pPr>
        <w:spacing w:after="0" w:line="200" w:lineRule="exact"/>
        <w:rPr>
          <w:sz w:val="20"/>
          <w:szCs w:val="20"/>
          <w:color w:val="auto"/>
        </w:rPr>
      </w:pPr>
    </w:p>
    <w:p>
      <w:pPr>
        <w:ind w:firstLine="369"/>
        <w:spacing w:after="0" w:line="289" w:lineRule="auto"/>
        <w:rPr>
          <w:sz w:val="20"/>
          <w:szCs w:val="20"/>
          <w:color w:val="auto"/>
        </w:rPr>
      </w:pPr>
      <w:r>
        <w:rPr>
          <w:rFonts w:ascii="Arial" w:cs="Arial" w:eastAsia="Arial" w:hAnsi="Arial"/>
          <w:sz w:val="15"/>
          <w:szCs w:val="15"/>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Anti-Kickback and False Claims Laws</w:t>
      </w:r>
    </w:p>
    <w:p>
      <w:pPr>
        <w:spacing w:after="0" w:line="200" w:lineRule="exact"/>
        <w:rPr>
          <w:sz w:val="20"/>
          <w:szCs w:val="20"/>
          <w:color w:val="auto"/>
        </w:rPr>
      </w:pPr>
    </w:p>
    <w:p>
      <w:pPr>
        <w:ind w:firstLine="369"/>
        <w:spacing w:after="0" w:line="295" w:lineRule="auto"/>
        <w:rPr>
          <w:sz w:val="20"/>
          <w:szCs w:val="20"/>
          <w:color w:val="auto"/>
        </w:rPr>
      </w:pPr>
      <w:r>
        <w:rPr>
          <w:rFonts w:ascii="Arial" w:cs="Arial" w:eastAsia="Arial" w:hAnsi="Arial"/>
          <w:sz w:val="14"/>
          <w:szCs w:val="14"/>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7" w:lineRule="exact"/>
        <w:rPr>
          <w:sz w:val="20"/>
          <w:szCs w:val="20"/>
          <w:color w:val="auto"/>
        </w:rPr>
      </w:pPr>
    </w:p>
    <w:p>
      <w:pPr>
        <w:ind w:right="20" w:firstLine="369"/>
        <w:spacing w:after="0" w:line="282" w:lineRule="auto"/>
        <w:rPr>
          <w:sz w:val="20"/>
          <w:szCs w:val="20"/>
          <w:color w:val="auto"/>
        </w:rPr>
      </w:pPr>
      <w:r>
        <w:rPr>
          <w:rFonts w:ascii="Arial" w:cs="Arial" w:eastAsia="Arial" w:hAnsi="Arial"/>
          <w:sz w:val="15"/>
          <w:szCs w:val="15"/>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0" w:lineRule="exact"/>
        <w:rPr>
          <w:sz w:val="20"/>
          <w:szCs w:val="20"/>
          <w:color w:val="auto"/>
        </w:rPr>
      </w:pPr>
    </w:p>
    <w:p>
      <w:pPr>
        <w:ind w:right="40" w:firstLine="369"/>
        <w:spacing w:after="0" w:line="264"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3" w:name="page54"/>
    <w:bookmarkEnd w:id="53"/>
    <w:p>
      <w:pPr>
        <w:ind w:firstLine="369"/>
        <w:spacing w:after="0" w:line="278" w:lineRule="auto"/>
        <w:rPr>
          <w:sz w:val="20"/>
          <w:szCs w:val="20"/>
          <w:color w:val="auto"/>
        </w:rPr>
      </w:pPr>
      <w:r>
        <w:rPr>
          <w:rFonts w:ascii="Arial" w:cs="Arial" w:eastAsia="Arial" w:hAnsi="Arial"/>
          <w:sz w:val="15"/>
          <w:szCs w:val="15"/>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Patient Protection and Affordable Health Care Act</w:t>
      </w:r>
    </w:p>
    <w:p>
      <w:pPr>
        <w:spacing w:after="0" w:line="200" w:lineRule="exact"/>
        <w:rPr>
          <w:sz w:val="20"/>
          <w:szCs w:val="20"/>
          <w:color w:val="auto"/>
        </w:rPr>
      </w:pPr>
    </w:p>
    <w:p>
      <w:pPr>
        <w:jc w:val="both"/>
        <w:ind w:right="100" w:firstLine="370"/>
        <w:spacing w:after="0" w:line="264"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62" w:lineRule="exact"/>
        <w:rPr>
          <w:sz w:val="20"/>
          <w:szCs w:val="20"/>
          <w:color w:val="auto"/>
        </w:rPr>
      </w:pPr>
    </w:p>
    <w:p>
      <w:pPr>
        <w:ind w:right="280" w:firstLine="369"/>
        <w:spacing w:after="0" w:line="277" w:lineRule="auto"/>
        <w:rPr>
          <w:sz w:val="20"/>
          <w:szCs w:val="20"/>
          <w:color w:val="auto"/>
        </w:rPr>
      </w:pPr>
      <w:r>
        <w:rPr>
          <w:rFonts w:ascii="Arial" w:cs="Arial" w:eastAsia="Arial" w:hAnsi="Arial"/>
          <w:sz w:val="16"/>
          <w:szCs w:val="16"/>
          <w:color w:val="auto"/>
        </w:rPr>
        <w:t>Many of the details regarding the implementation of PPACA are yet to be determined, and at this time, it remains unclear the full effect that PPACA would have on our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200" w:lineRule="exact"/>
        <w:rPr>
          <w:sz w:val="20"/>
          <w:szCs w:val="20"/>
          <w:color w:val="auto"/>
        </w:rPr>
      </w:pPr>
    </w:p>
    <w:p>
      <w:pPr>
        <w:ind w:right="200" w:firstLine="370"/>
        <w:spacing w:after="0" w:line="35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4" w:lineRule="exact"/>
        <w:rPr>
          <w:sz w:val="20"/>
          <w:szCs w:val="20"/>
          <w:color w:val="auto"/>
        </w:rPr>
      </w:pPr>
    </w:p>
    <w:p>
      <w:pPr>
        <w:ind w:right="20" w:firstLine="370"/>
        <w:spacing w:after="0" w:line="25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Facilities</w:t>
      </w:r>
    </w:p>
    <w:p>
      <w:pPr>
        <w:spacing w:after="0" w:line="204"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subject to any material legal proceedings.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jc w:val="center"/>
        <w:ind w:right="8080"/>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our executive officers, directors and director nominees as of April 1, 2013:</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144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70</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Chairman of the Board of Directors</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Yaron Daniely</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37</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Chief Executive Officer, President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Ehud (Udi) Gilboa</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46</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w w:val="94"/>
              </w:rPr>
              <w:t>Chief Financial Officer, Chief Accounting Officer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Dalia Megiddo</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61</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Howard B. Rosen</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55</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Daniel E. Geffken (1) (2)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56</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Audit Committee upon establishment thereof.</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Compensation Committee upon establishment thereof after completion of this offering.</w:t>
      </w:r>
    </w:p>
    <w:p>
      <w:pPr>
        <w:spacing w:after="0" w:line="18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46" w:lineRule="exact"/>
        <w:rPr>
          <w:sz w:val="20"/>
          <w:szCs w:val="20"/>
          <w:color w:val="auto"/>
        </w:rPr>
      </w:pPr>
    </w:p>
    <w:p>
      <w:pPr>
        <w:ind w:right="40" w:firstLine="577"/>
        <w:spacing w:after="0" w:line="302" w:lineRule="auto"/>
        <w:rPr>
          <w:sz w:val="20"/>
          <w:szCs w:val="20"/>
          <w:color w:val="auto"/>
        </w:rPr>
      </w:pPr>
      <w:r>
        <w:rPr>
          <w:rFonts w:ascii="Arial" w:cs="Arial" w:eastAsia="Arial" w:hAnsi="Arial"/>
          <w:sz w:val="14"/>
          <w:szCs w:val="14"/>
          <w:i w:val="1"/>
          <w:iCs w:val="1"/>
          <w:color w:val="auto"/>
        </w:rPr>
        <w:t xml:space="preserve">Dr. Aharon Schwartz </w:t>
      </w:r>
      <w:r>
        <w:rPr>
          <w:rFonts w:ascii="Arial" w:cs="Arial" w:eastAsia="Arial" w:hAnsi="Arial"/>
          <w:sz w:val="14"/>
          <w:szCs w:val="14"/>
          <w:color w:val="auto"/>
        </w:rPr>
        <w:t>joined our Board as Chairman in January 2013. He retired from Teva Pharmaceutical Industries Ltd where he served in a number of positions from</w:t>
      </w:r>
      <w:r>
        <w:rPr>
          <w:rFonts w:ascii="Arial" w:cs="Arial" w:eastAsia="Arial" w:hAnsi="Arial"/>
          <w:sz w:val="14"/>
          <w:szCs w:val="14"/>
          <w:i w:val="1"/>
          <w:iCs w:val="1"/>
          <w:color w:val="auto"/>
        </w:rPr>
        <w:t xml:space="preserve"> </w:t>
      </w:r>
      <w:r>
        <w:rPr>
          <w:rFonts w:ascii="Arial" w:cs="Arial" w:eastAsia="Arial" w:hAnsi="Arial"/>
          <w:sz w:val="14"/>
          <w:szCs w:val="14"/>
          <w:color w:val="auto"/>
        </w:rPr>
        <w:t>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40" w:lineRule="exact"/>
        <w:rPr>
          <w:sz w:val="20"/>
          <w:szCs w:val="20"/>
          <w:color w:val="auto"/>
        </w:rPr>
      </w:pPr>
    </w:p>
    <w:p>
      <w:pPr>
        <w:ind w:right="40" w:firstLine="577"/>
        <w:spacing w:after="0" w:line="295" w:lineRule="auto"/>
        <w:rPr>
          <w:sz w:val="20"/>
          <w:szCs w:val="20"/>
          <w:color w:val="auto"/>
        </w:rPr>
      </w:pPr>
      <w:r>
        <w:rPr>
          <w:rFonts w:ascii="Arial" w:cs="Arial" w:eastAsia="Arial" w:hAnsi="Arial"/>
          <w:sz w:val="14"/>
          <w:szCs w:val="14"/>
          <w:i w:val="1"/>
          <w:iCs w:val="1"/>
          <w:color w:val="auto"/>
        </w:rPr>
        <w:t xml:space="preserve">Dr. Yaron Daniely </w:t>
      </w:r>
      <w:r>
        <w:rPr>
          <w:rFonts w:ascii="Arial" w:cs="Arial" w:eastAsia="Arial" w:hAnsi="Arial"/>
          <w:sz w:val="14"/>
          <w:szCs w:val="14"/>
          <w:color w:val="auto"/>
        </w:rPr>
        <w:t>became our President and Chief Executive Officer and a Director in March 2010. Immediately prior to joining us and since 2007, Dr. Daniely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47" w:lineRule="exact"/>
        <w:rPr>
          <w:sz w:val="20"/>
          <w:szCs w:val="20"/>
          <w:color w:val="auto"/>
        </w:rPr>
      </w:pPr>
    </w:p>
    <w:p>
      <w:pPr>
        <w:ind w:right="40" w:firstLine="617"/>
        <w:spacing w:after="0" w:line="278" w:lineRule="auto"/>
        <w:rPr>
          <w:sz w:val="20"/>
          <w:szCs w:val="20"/>
          <w:color w:val="auto"/>
        </w:rPr>
      </w:pPr>
      <w:r>
        <w:rPr>
          <w:rFonts w:ascii="Arial" w:cs="Arial" w:eastAsia="Arial" w:hAnsi="Arial"/>
          <w:sz w:val="15"/>
          <w:szCs w:val="15"/>
          <w:i w:val="1"/>
          <w:iCs w:val="1"/>
          <w:color w:val="auto"/>
        </w:rPr>
        <w:t xml:space="preserve">Udi Gilboa </w:t>
      </w:r>
      <w:r>
        <w:rPr>
          <w:rFonts w:ascii="Arial" w:cs="Arial" w:eastAsia="Arial" w:hAnsi="Arial"/>
          <w:sz w:val="15"/>
          <w:szCs w:val="15"/>
          <w:color w:val="auto"/>
        </w:rPr>
        <w:t>co-founded the Company in February 2008 and became a director at that time. He has served as our Chief Financial Officer and Chief Accounting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54"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 medicine.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68" w:lineRule="exact"/>
        <w:rPr>
          <w:sz w:val="20"/>
          <w:szCs w:val="20"/>
          <w:color w:val="auto"/>
        </w:rPr>
      </w:pPr>
    </w:p>
    <w:p>
      <w:pPr>
        <w:ind w:right="120" w:firstLine="577"/>
        <w:spacing w:after="0" w:line="308" w:lineRule="auto"/>
        <w:rPr>
          <w:sz w:val="20"/>
          <w:szCs w:val="20"/>
          <w:color w:val="auto"/>
        </w:rPr>
      </w:pPr>
      <w:r>
        <w:rPr>
          <w:rFonts w:ascii="Arial" w:cs="Arial" w:eastAsia="Arial" w:hAnsi="Arial"/>
          <w:sz w:val="14"/>
          <w:szCs w:val="14"/>
          <w:i w:val="1"/>
          <w:iCs w:val="1"/>
          <w:color w:val="auto"/>
        </w:rPr>
        <w:t xml:space="preserve">Hanna Ron </w:t>
      </w:r>
      <w:r>
        <w:rPr>
          <w:rFonts w:ascii="Arial" w:cs="Arial" w:eastAsia="Arial" w:hAnsi="Arial"/>
          <w:sz w:val="14"/>
          <w:szCs w:val="14"/>
          <w:color w:val="auto"/>
        </w:rPr>
        <w:t>is a key employee of the Company. She has over 26 years of experience in the pharmaceutical industry and is an expert in chemistry, manufacturing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35" w:lineRule="exact"/>
        <w:rPr>
          <w:sz w:val="20"/>
          <w:szCs w:val="20"/>
          <w:color w:val="auto"/>
        </w:rPr>
      </w:pPr>
    </w:p>
    <w:p>
      <w:pPr>
        <w:ind w:right="60" w:firstLine="577"/>
        <w:spacing w:after="0" w:line="271" w:lineRule="auto"/>
        <w:rPr>
          <w:sz w:val="20"/>
          <w:szCs w:val="20"/>
          <w:color w:val="auto"/>
        </w:rPr>
      </w:pPr>
      <w:r>
        <w:rPr>
          <w:rFonts w:ascii="Arial" w:cs="Arial" w:eastAsia="Arial" w:hAnsi="Arial"/>
          <w:sz w:val="15"/>
          <w:szCs w:val="15"/>
          <w:i w:val="1"/>
          <w:iCs w:val="1"/>
          <w:color w:val="auto"/>
        </w:rPr>
        <w:t xml:space="preserve">Howard B. Rosen </w:t>
      </w:r>
      <w:r>
        <w:rPr>
          <w:rFonts w:ascii="Arial" w:cs="Arial" w:eastAsia="Arial" w:hAnsi="Arial"/>
          <w:sz w:val="15"/>
          <w:szCs w:val="15"/>
          <w:color w:val="auto"/>
        </w:rPr>
        <w:t>has consented to being elected as a director of the Company, immediately following the closing of this offering. Since 2008, Mr. Rosen has served as a</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1" w:lineRule="exact"/>
        <w:rPr>
          <w:sz w:val="20"/>
          <w:szCs w:val="20"/>
          <w:color w:val="auto"/>
        </w:rPr>
      </w:pPr>
    </w:p>
    <w:p>
      <w:pPr>
        <w:jc w:val="both"/>
        <w:ind w:right="40" w:firstLine="577"/>
        <w:spacing w:after="0" w:line="292" w:lineRule="auto"/>
        <w:rPr>
          <w:sz w:val="20"/>
          <w:szCs w:val="20"/>
          <w:color w:val="auto"/>
        </w:rPr>
      </w:pPr>
      <w:r>
        <w:rPr>
          <w:rFonts w:ascii="Arial" w:cs="Arial" w:eastAsia="Arial" w:hAnsi="Arial"/>
          <w:sz w:val="14"/>
          <w:szCs w:val="14"/>
          <w:i w:val="1"/>
          <w:iCs w:val="1"/>
          <w:color w:val="auto"/>
        </w:rPr>
        <w:t xml:space="preserve">Daniel E. Geffken </w:t>
      </w:r>
      <w:r>
        <w:rPr>
          <w:rFonts w:ascii="Arial" w:cs="Arial" w:eastAsia="Arial" w:hAnsi="Arial"/>
          <w:sz w:val="14"/>
          <w:szCs w:val="14"/>
          <w:color w:val="auto"/>
        </w:rPr>
        <w:t>has consented to being elected as a director of the Company, effective immediately after this registration statement becomes effective and execution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w:t>
      </w:r>
    </w:p>
    <w:p>
      <w:pPr>
        <w:spacing w:after="0" w:line="1"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auto"/>
        </w:rPr>
        <w:t>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731"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Arrangements Concerning Election of Directors; Family Relationships</w:t>
      </w:r>
    </w:p>
    <w:p>
      <w:pPr>
        <w:spacing w:after="0" w:line="204"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Advisory Board</w:t>
      </w:r>
    </w:p>
    <w:p>
      <w:pPr>
        <w:spacing w:after="0" w:line="204" w:lineRule="exact"/>
        <w:rPr>
          <w:sz w:val="20"/>
          <w:szCs w:val="20"/>
          <w:color w:val="auto"/>
        </w:rPr>
      </w:pPr>
    </w:p>
    <w:p>
      <w:pPr>
        <w:ind w:right="80" w:firstLine="360"/>
        <w:spacing w:after="0" w:line="302" w:lineRule="auto"/>
        <w:rPr>
          <w:sz w:val="20"/>
          <w:szCs w:val="20"/>
          <w:color w:val="auto"/>
        </w:rPr>
      </w:pPr>
      <w:r>
        <w:rPr>
          <w:rFonts w:ascii="Arial" w:cs="Arial" w:eastAsia="Arial" w:hAnsi="Arial"/>
          <w:sz w:val="14"/>
          <w:szCs w:val="14"/>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204" w:lineRule="exact"/>
        <w:rPr>
          <w:sz w:val="20"/>
          <w:szCs w:val="20"/>
          <w:color w:val="auto"/>
        </w:rPr>
      </w:pPr>
    </w:p>
    <w:p>
      <w:pPr>
        <w:ind w:right="100" w:firstLine="360"/>
        <w:spacing w:after="0" w:line="274" w:lineRule="auto"/>
        <w:rPr>
          <w:sz w:val="20"/>
          <w:szCs w:val="20"/>
          <w:color w:val="auto"/>
        </w:rPr>
      </w:pPr>
      <w:r>
        <w:rPr>
          <w:rFonts w:ascii="Arial" w:cs="Arial" w:eastAsia="Arial" w:hAnsi="Arial"/>
          <w:sz w:val="15"/>
          <w:szCs w:val="15"/>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Practices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0"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6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6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6"/>
          <w:szCs w:val="16"/>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7"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6" w:name="page57"/>
    <w:bookmarkEnd w:id="56"/>
    <w:p>
      <w:pPr>
        <w:ind w:left="4" w:right="60" w:firstLine="360"/>
        <w:spacing w:after="0" w:line="273" w:lineRule="auto"/>
        <w:rPr>
          <w:sz w:val="20"/>
          <w:szCs w:val="20"/>
          <w:color w:val="auto"/>
        </w:rPr>
      </w:pPr>
      <w:r>
        <w:rPr>
          <w:rFonts w:ascii="Arial" w:cs="Arial" w:eastAsia="Arial" w:hAnsi="Arial"/>
          <w:sz w:val="15"/>
          <w:szCs w:val="15"/>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200" w:lineRule="exact"/>
        <w:rPr>
          <w:sz w:val="20"/>
          <w:szCs w:val="20"/>
          <w:color w:val="auto"/>
        </w:rPr>
      </w:pPr>
    </w:p>
    <w:p>
      <w:pPr>
        <w:ind w:left="4" w:right="140" w:firstLine="360"/>
        <w:spacing w:after="0" w:line="259"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67" w:lineRule="exact"/>
        <w:rPr>
          <w:sz w:val="20"/>
          <w:szCs w:val="20"/>
          <w:color w:val="auto"/>
        </w:rPr>
      </w:pPr>
    </w:p>
    <w:p>
      <w:pPr>
        <w:ind w:left="4" w:right="360" w:firstLine="360"/>
        <w:spacing w:after="0" w:line="277" w:lineRule="auto"/>
        <w:rPr>
          <w:sz w:val="20"/>
          <w:szCs w:val="20"/>
          <w:color w:val="auto"/>
        </w:rPr>
      </w:pPr>
      <w:r>
        <w:rPr>
          <w:rFonts w:ascii="Arial" w:cs="Arial" w:eastAsia="Arial" w:hAnsi="Arial"/>
          <w:sz w:val="16"/>
          <w:szCs w:val="16"/>
          <w:color w:val="auto"/>
        </w:rPr>
        <w:t>The Israeli Companies Law provides that external directors must be elected by a majority vote of the shares present and voting at a shareholders meeting, provided that either:</w:t>
      </w:r>
    </w:p>
    <w:p>
      <w:pPr>
        <w:spacing w:after="0" w:line="152" w:lineRule="exact"/>
        <w:rPr>
          <w:sz w:val="20"/>
          <w:szCs w:val="20"/>
          <w:color w:val="auto"/>
        </w:rPr>
      </w:pPr>
    </w:p>
    <w:p>
      <w:pPr>
        <w:ind w:left="644" w:right="180" w:hanging="284"/>
        <w:spacing w:after="0" w:line="264"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1" w:lineRule="exact"/>
        <w:rPr>
          <w:rFonts w:ascii="Arial" w:cs="Arial" w:eastAsia="Arial" w:hAnsi="Arial"/>
          <w:sz w:val="16"/>
          <w:szCs w:val="16"/>
          <w:color w:val="A6A6A6"/>
        </w:rPr>
      </w:pPr>
    </w:p>
    <w:p>
      <w:pPr>
        <w:ind w:left="644" w:right="280" w:hanging="284"/>
        <w:spacing w:after="0" w:line="277"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52" w:lineRule="exact"/>
        <w:rPr>
          <w:sz w:val="20"/>
          <w:szCs w:val="20"/>
          <w:color w:val="auto"/>
        </w:rPr>
      </w:pPr>
    </w:p>
    <w:p>
      <w:pPr>
        <w:ind w:left="4" w:right="120" w:firstLine="360"/>
        <w:spacing w:after="0" w:line="25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68" w:lineRule="exact"/>
        <w:rPr>
          <w:sz w:val="20"/>
          <w:szCs w:val="20"/>
          <w:color w:val="auto"/>
        </w:rPr>
      </w:pPr>
    </w:p>
    <w:p>
      <w:pPr>
        <w:ind w:left="4" w:right="40" w:firstLine="360"/>
        <w:spacing w:after="0" w:line="290"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w:t>
      </w:r>
    </w:p>
    <w:p>
      <w:pPr>
        <w:spacing w:after="0" w:line="1" w:lineRule="exact"/>
        <w:rPr>
          <w:sz w:val="20"/>
          <w:szCs w:val="20"/>
          <w:color w:val="auto"/>
        </w:rPr>
      </w:pPr>
    </w:p>
    <w:p>
      <w:pPr>
        <w:ind w:left="4" w:hanging="4"/>
        <w:spacing w:after="0" w:line="272" w:lineRule="auto"/>
        <w:tabs>
          <w:tab w:leader="none" w:pos="2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7" w:name="page58"/>
    <w:bookmarkEnd w:id="57"/>
    <w:p>
      <w:pPr>
        <w:ind w:firstLine="360"/>
        <w:spacing w:after="0" w:line="277" w:lineRule="auto"/>
        <w:rPr>
          <w:sz w:val="20"/>
          <w:szCs w:val="20"/>
          <w:color w:val="auto"/>
        </w:rPr>
      </w:pPr>
      <w:r>
        <w:rPr>
          <w:rFonts w:ascii="Arial" w:cs="Arial" w:eastAsia="Arial" w:hAnsi="Arial"/>
          <w:sz w:val="16"/>
          <w:szCs w:val="16"/>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52" w:lineRule="exact"/>
        <w:rPr>
          <w:sz w:val="20"/>
          <w:szCs w:val="20"/>
          <w:color w:val="auto"/>
        </w:rPr>
      </w:pPr>
    </w:p>
    <w:p>
      <w:pPr>
        <w:ind w:right="180" w:firstLine="360"/>
        <w:spacing w:after="0" w:line="25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68"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relative is defined as a spouse, sibling, parent, grandparent or descendant; spouse's sibling, parent or descendant; and the spouse of each of the foregoing persons.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term affiliation and the similar types of prohibited relationships include (subject to certain exemptions):</w:t>
      </w:r>
    </w:p>
    <w:p>
      <w:pPr>
        <w:spacing w:after="0" w:line="188" w:lineRule="exact"/>
        <w:rPr>
          <w:sz w:val="20"/>
          <w:szCs w:val="20"/>
          <w:color w:val="auto"/>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an employment relationship;</w:t>
      </w:r>
    </w:p>
    <w:p>
      <w:pPr>
        <w:spacing w:after="0" w:line="20"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8"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control; and</w:t>
      </w:r>
    </w:p>
    <w:p>
      <w:pPr>
        <w:spacing w:after="0" w:line="8" w:lineRule="exact"/>
        <w:rPr>
          <w:rFonts w:ascii="Arial" w:cs="Arial" w:eastAsia="Arial" w:hAnsi="Arial"/>
          <w:sz w:val="16"/>
          <w:szCs w:val="16"/>
          <w:color w:val="A6A6A6"/>
        </w:rPr>
      </w:pPr>
    </w:p>
    <w:p>
      <w:pPr>
        <w:ind w:left="640" w:hanging="284"/>
        <w:spacing w:after="0" w:line="261" w:lineRule="auto"/>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8" w:name="page59"/>
    <w:bookmarkEnd w:id="58"/>
    <w:p>
      <w:pPr>
        <w:ind w:right="260" w:firstLine="360"/>
        <w:spacing w:after="0" w:line="264"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2" w:lineRule="exact"/>
        <w:rPr>
          <w:sz w:val="20"/>
          <w:szCs w:val="20"/>
          <w:color w:val="auto"/>
        </w:rPr>
      </w:pPr>
    </w:p>
    <w:p>
      <w:pPr>
        <w:jc w:val="both"/>
        <w:ind w:right="100" w:firstLine="360"/>
        <w:spacing w:after="0" w:line="278"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0"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4" w:lineRule="exact"/>
        <w:rPr>
          <w:sz w:val="20"/>
          <w:szCs w:val="20"/>
          <w:color w:val="auto"/>
        </w:rPr>
      </w:pPr>
    </w:p>
    <w:p>
      <w:pPr>
        <w:ind w:right="120" w:firstLine="360"/>
        <w:spacing w:after="0" w:line="278"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0" w:lineRule="exact"/>
        <w:rPr>
          <w:sz w:val="20"/>
          <w:szCs w:val="20"/>
          <w:color w:val="auto"/>
        </w:rPr>
      </w:pPr>
    </w:p>
    <w:p>
      <w:pPr>
        <w:ind w:right="80" w:firstLine="360"/>
        <w:spacing w:after="0" w:line="282" w:lineRule="auto"/>
        <w:rPr>
          <w:sz w:val="20"/>
          <w:szCs w:val="20"/>
          <w:color w:val="auto"/>
        </w:rPr>
      </w:pPr>
      <w:r>
        <w:rPr>
          <w:rFonts w:ascii="Arial" w:cs="Arial" w:eastAsia="Arial" w:hAnsi="Arial"/>
          <w:sz w:val="15"/>
          <w:szCs w:val="15"/>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5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9" w:name="page60"/>
    <w:bookmarkEnd w:id="59"/>
    <w:p>
      <w:pPr>
        <w:jc w:val="both"/>
        <w:ind w:left="644" w:hanging="284"/>
        <w:spacing w:after="0" w:line="289" w:lineRule="auto"/>
        <w:tabs>
          <w:tab w:leader="none" w:pos="644" w:val="left"/>
        </w:tabs>
        <w:numPr>
          <w:ilvl w:val="0"/>
          <w:numId w:val="51"/>
        </w:numPr>
        <w:rPr>
          <w:rFonts w:ascii="Arial" w:cs="Arial" w:eastAsia="Arial" w:hAnsi="Arial"/>
          <w:sz w:val="15"/>
          <w:szCs w:val="15"/>
          <w:color w:val="A6A6A6"/>
        </w:rPr>
      </w:pPr>
      <w:r>
        <w:rPr>
          <w:rFonts w:ascii="Arial" w:cs="Arial" w:eastAsia="Arial" w:hAnsi="Arial"/>
          <w:sz w:val="15"/>
          <w:szCs w:val="15"/>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45" w:lineRule="exact"/>
        <w:rPr>
          <w:rFonts w:ascii="Arial" w:cs="Arial" w:eastAsia="Arial" w:hAnsi="Arial"/>
          <w:sz w:val="15"/>
          <w:szCs w:val="15"/>
          <w:color w:val="A6A6A6"/>
        </w:rPr>
      </w:pPr>
    </w:p>
    <w:p>
      <w:pPr>
        <w:ind w:left="644" w:hanging="284"/>
        <w:spacing w:after="0" w:line="277" w:lineRule="auto"/>
        <w:tabs>
          <w:tab w:leader="none" w:pos="644"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2" w:lineRule="exact"/>
        <w:rPr>
          <w:sz w:val="20"/>
          <w:szCs w:val="20"/>
          <w:color w:val="auto"/>
        </w:rPr>
      </w:pPr>
    </w:p>
    <w:p>
      <w:pPr>
        <w:ind w:left="4" w:right="200" w:firstLine="360"/>
        <w:spacing w:after="0" w:line="312" w:lineRule="auto"/>
        <w:rPr>
          <w:sz w:val="20"/>
          <w:szCs w:val="20"/>
          <w:color w:val="auto"/>
        </w:rPr>
      </w:pPr>
      <w:r>
        <w:rPr>
          <w:rFonts w:ascii="Arial" w:cs="Arial" w:eastAsia="Arial" w:hAnsi="Arial"/>
          <w:sz w:val="15"/>
          <w:szCs w:val="15"/>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28" w:lineRule="exact"/>
        <w:rPr>
          <w:sz w:val="20"/>
          <w:szCs w:val="20"/>
          <w:color w:val="auto"/>
        </w:rPr>
      </w:pPr>
    </w:p>
    <w:p>
      <w:pPr>
        <w:ind w:left="4" w:right="60" w:firstLine="360"/>
        <w:spacing w:after="0" w:line="255"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69" w:lineRule="exact"/>
        <w:rPr>
          <w:sz w:val="20"/>
          <w:szCs w:val="20"/>
          <w:color w:val="auto"/>
        </w:rPr>
      </w:pPr>
    </w:p>
    <w:p>
      <w:pPr>
        <w:jc w:val="both"/>
        <w:ind w:left="4" w:right="480" w:firstLine="360"/>
        <w:spacing w:after="0" w:line="295" w:lineRule="auto"/>
        <w:rPr>
          <w:sz w:val="20"/>
          <w:szCs w:val="20"/>
          <w:color w:val="auto"/>
        </w:rPr>
      </w:pPr>
      <w:r>
        <w:rPr>
          <w:rFonts w:ascii="Arial" w:cs="Arial" w:eastAsia="Arial" w:hAnsi="Arial"/>
          <w:sz w:val="14"/>
          <w:szCs w:val="14"/>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 w:lineRule="exact"/>
        <w:rPr>
          <w:sz w:val="20"/>
          <w:szCs w:val="20"/>
          <w:color w:val="auto"/>
        </w:rPr>
      </w:pPr>
    </w:p>
    <w:p>
      <w:pPr>
        <w:ind w:left="4" w:right="20" w:hanging="4"/>
        <w:spacing w:after="0" w:line="291" w:lineRule="auto"/>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50"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0" w:lineRule="exact"/>
        <w:rPr>
          <w:sz w:val="20"/>
          <w:szCs w:val="20"/>
          <w:color w:val="auto"/>
        </w:rPr>
      </w:pPr>
    </w:p>
    <w:p>
      <w:pPr>
        <w:ind w:left="4" w:right="280" w:firstLine="360"/>
        <w:spacing w:after="0" w:line="259" w:lineRule="auto"/>
        <w:rPr>
          <w:sz w:val="20"/>
          <w:szCs w:val="20"/>
          <w:color w:val="auto"/>
        </w:rPr>
      </w:pPr>
      <w:r>
        <w:rPr>
          <w:rFonts w:ascii="Arial" w:cs="Arial" w:eastAsia="Arial" w:hAnsi="Arial"/>
          <w:sz w:val="16"/>
          <w:szCs w:val="16"/>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67" w:lineRule="exact"/>
        <w:rPr>
          <w:sz w:val="20"/>
          <w:szCs w:val="20"/>
          <w:color w:val="auto"/>
        </w:rPr>
      </w:pPr>
    </w:p>
    <w:p>
      <w:pPr>
        <w:ind w:left="4" w:right="20" w:firstLine="360"/>
        <w:spacing w:after="0" w:line="278" w:lineRule="auto"/>
        <w:rPr>
          <w:sz w:val="20"/>
          <w:szCs w:val="20"/>
          <w:color w:val="auto"/>
        </w:rPr>
      </w:pPr>
      <w:r>
        <w:rPr>
          <w:rFonts w:ascii="Arial" w:cs="Arial" w:eastAsia="Arial" w:hAnsi="Arial"/>
          <w:sz w:val="15"/>
          <w:szCs w:val="15"/>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54" w:lineRule="exact"/>
        <w:rPr>
          <w:sz w:val="20"/>
          <w:szCs w:val="20"/>
          <w:color w:val="auto"/>
        </w:rPr>
      </w:pPr>
    </w:p>
    <w:p>
      <w:pPr>
        <w:ind w:left="4" w:right="100" w:firstLine="360"/>
        <w:spacing w:after="0" w:line="264" w:lineRule="auto"/>
        <w:rPr>
          <w:sz w:val="20"/>
          <w:szCs w:val="20"/>
          <w:color w:val="auto"/>
        </w:rPr>
      </w:pPr>
      <w:r>
        <w:rPr>
          <w:rFonts w:ascii="Arial" w:cs="Arial" w:eastAsia="Arial" w:hAnsi="Arial"/>
          <w:sz w:val="16"/>
          <w:szCs w:val="16"/>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0" w:name="page61"/>
    <w:bookmarkEnd w:id="60"/>
    <w:p>
      <w:pPr>
        <w:ind w:left="360"/>
        <w:spacing w:after="0"/>
        <w:rPr>
          <w:sz w:val="20"/>
          <w:szCs w:val="20"/>
          <w:color w:val="auto"/>
        </w:rPr>
      </w:pPr>
      <w:r>
        <w:rPr>
          <w:rFonts w:ascii="Arial" w:cs="Arial" w:eastAsia="Arial" w:hAnsi="Arial"/>
          <w:sz w:val="16"/>
          <w:szCs w:val="16"/>
          <w:color w:val="auto"/>
        </w:rPr>
        <w:t>We plan to form a compensation committee shortly after the election of external directors to our board.</w:t>
      </w:r>
    </w:p>
    <w:p>
      <w:pPr>
        <w:spacing w:after="0" w:line="200"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9 months from the consummation of this offering.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200" w:lineRule="exact"/>
        <w:rPr>
          <w:sz w:val="20"/>
          <w:szCs w:val="20"/>
          <w:color w:val="auto"/>
        </w:rPr>
      </w:pPr>
    </w:p>
    <w:p>
      <w:pPr>
        <w:ind w:right="40" w:firstLine="360"/>
        <w:spacing w:after="0" w:line="282" w:lineRule="auto"/>
        <w:rPr>
          <w:sz w:val="20"/>
          <w:szCs w:val="20"/>
          <w:color w:val="auto"/>
        </w:rPr>
      </w:pPr>
      <w:r>
        <w:rPr>
          <w:rFonts w:ascii="Arial" w:cs="Arial" w:eastAsia="Arial" w:hAnsi="Arial"/>
          <w:sz w:val="15"/>
          <w:szCs w:val="15"/>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50" w:lineRule="exact"/>
        <w:rPr>
          <w:sz w:val="20"/>
          <w:szCs w:val="20"/>
          <w:color w:val="auto"/>
        </w:rPr>
      </w:pPr>
    </w:p>
    <w:p>
      <w:pPr>
        <w:ind w:right="140" w:firstLine="360"/>
        <w:spacing w:after="0" w:line="289" w:lineRule="auto"/>
        <w:rPr>
          <w:sz w:val="20"/>
          <w:szCs w:val="20"/>
          <w:color w:val="auto"/>
        </w:rPr>
      </w:pPr>
      <w:r>
        <w:rPr>
          <w:rFonts w:ascii="Arial" w:cs="Arial" w:eastAsia="Arial" w:hAnsi="Arial"/>
          <w:sz w:val="15"/>
          <w:szCs w:val="15"/>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 —Agreements and Arrangements with, and Compensation of, Directors and Executive Officers" for a summary of these agreements.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0" w:lineRule="exact"/>
        <w:rPr>
          <w:sz w:val="20"/>
          <w:szCs w:val="20"/>
          <w:color w:val="auto"/>
        </w:rPr>
      </w:pPr>
    </w:p>
    <w:p>
      <w:pPr>
        <w:ind w:right="60" w:firstLine="360"/>
        <w:spacing w:after="0" w:line="277"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2" w:lineRule="exact"/>
        <w:rPr>
          <w:sz w:val="20"/>
          <w:szCs w:val="20"/>
          <w:color w:val="auto"/>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holds more than 5% of the Company's outstanding shares or voting rights;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has the power to appoint a director or the general manager of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an office holder (including a director) of the Company (or a relative thereof);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member of the Company's independent accounting firm, or anyone on his or her behalf.</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0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4"/>
          <w:szCs w:val="14"/>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3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62" w:lineRule="exact"/>
        <w:rPr>
          <w:sz w:val="20"/>
          <w:szCs w:val="20"/>
          <w:color w:val="auto"/>
        </w:rPr>
      </w:pPr>
    </w:p>
    <w:p>
      <w:pPr>
        <w:ind w:left="360" w:hanging="4"/>
        <w:spacing w:after="0" w:line="278" w:lineRule="auto"/>
        <w:tabs>
          <w:tab w:leader="none" w:pos="640" w:val="left"/>
        </w:tabs>
        <w:numPr>
          <w:ilvl w:val="0"/>
          <w:numId w:val="54"/>
        </w:numPr>
        <w:rPr>
          <w:rFonts w:ascii="Arial" w:cs="Arial" w:eastAsia="Arial" w:hAnsi="Arial"/>
          <w:sz w:val="15"/>
          <w:szCs w:val="15"/>
          <w:color w:val="A6A6A6"/>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Listing Rules of the NASDAQ Stock Market, which require listed issuers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1" w:name="page62"/>
    <w:bookmarkEnd w:id="61"/>
    <w:p>
      <w:pPr>
        <w:ind w:left="360" w:right="40" w:hanging="4"/>
        <w:spacing w:after="0" w:line="278"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Nomination of our directors. </w:t>
      </w:r>
      <w:r>
        <w:rPr>
          <w:rFonts w:ascii="Arial" w:cs="Arial" w:eastAsia="Arial" w:hAnsi="Arial"/>
          <w:sz w:val="15"/>
          <w:szCs w:val="15"/>
          <w:color w:val="auto"/>
        </w:rPr>
        <w:t>With the exception of our external directors and directors elected by our Board of Directors due to vacancy, our directors are elected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54" w:lineRule="exact"/>
        <w:rPr>
          <w:rFonts w:ascii="Arial" w:cs="Arial" w:eastAsia="Arial" w:hAnsi="Arial"/>
          <w:sz w:val="15"/>
          <w:szCs w:val="15"/>
          <w:color w:val="A6A6A6"/>
        </w:rPr>
      </w:pPr>
    </w:p>
    <w:p>
      <w:pPr>
        <w:jc w:val="both"/>
        <w:ind w:left="360" w:hanging="4"/>
        <w:spacing w:after="0" w:line="289"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Compensation of officers. </w:t>
      </w:r>
      <w:r>
        <w:rPr>
          <w:rFonts w:ascii="Arial" w:cs="Arial" w:eastAsia="Arial" w:hAnsi="Arial"/>
          <w:sz w:val="15"/>
          <w:szCs w:val="15"/>
          <w:color w:val="auto"/>
        </w:rPr>
        <w:t>Israeli law and our amended and restated articles of association do not require that the independent members of our Board of Directors (or a</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5"/>
          <w:szCs w:val="15"/>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55"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72" w:lineRule="exact"/>
        <w:rPr>
          <w:sz w:val="20"/>
          <w:szCs w:val="20"/>
          <w:color w:val="auto"/>
        </w:rPr>
      </w:pPr>
    </w:p>
    <w:p>
      <w:pPr>
        <w:ind w:right="520" w:firstLine="360"/>
        <w:spacing w:after="0" w:line="312" w:lineRule="auto"/>
        <w:rPr>
          <w:sz w:val="20"/>
          <w:szCs w:val="20"/>
          <w:color w:val="auto"/>
        </w:rPr>
      </w:pPr>
      <w:r>
        <w:rPr>
          <w:rFonts w:ascii="Arial" w:cs="Arial" w:eastAsia="Arial" w:hAnsi="Arial"/>
          <w:sz w:val="15"/>
          <w:szCs w:val="15"/>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8" w:lineRule="exact"/>
        <w:rPr>
          <w:sz w:val="20"/>
          <w:szCs w:val="20"/>
          <w:color w:val="auto"/>
        </w:rPr>
      </w:pPr>
    </w:p>
    <w:p>
      <w:pPr>
        <w:ind w:left="360" w:right="20" w:hanging="4"/>
        <w:spacing w:after="0" w:line="255" w:lineRule="auto"/>
        <w:tabs>
          <w:tab w:leader="none" w:pos="640"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 under NASDAQ</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2" w:name="page63"/>
    <w:bookmarkEnd w:id="62"/>
    <w:p>
      <w:pPr>
        <w:ind w:left="360" w:hanging="4"/>
        <w:spacing w:after="0" w:line="291" w:lineRule="auto"/>
        <w:tabs>
          <w:tab w:leader="none" w:pos="640" w:val="left"/>
        </w:tabs>
        <w:numPr>
          <w:ilvl w:val="0"/>
          <w:numId w:val="57"/>
        </w:numPr>
        <w:rPr>
          <w:rFonts w:ascii="Arial" w:cs="Arial" w:eastAsia="Arial" w:hAnsi="Arial"/>
          <w:sz w:val="14"/>
          <w:szCs w:val="14"/>
          <w:color w:val="A6A6A6"/>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In addition, under the Israeli Companies Law, a merger requires approval of the shareholders of each of the merging companies.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Fiduciary duties of directors and executive officers</w:t>
      </w: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5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2" w:lineRule="exact"/>
        <w:rPr>
          <w:sz w:val="20"/>
          <w:szCs w:val="20"/>
          <w:color w:val="auto"/>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a duty to:</w:t>
      </w:r>
    </w:p>
    <w:p>
      <w:pPr>
        <w:spacing w:after="0" w:line="200" w:lineRule="exact"/>
        <w:rPr>
          <w:sz w:val="20"/>
          <w:szCs w:val="20"/>
          <w:color w:val="auto"/>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activity that is competitive with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Personal Interests of an Office Holder</w:t>
      </w:r>
    </w:p>
    <w:p>
      <w:pPr>
        <w:spacing w:after="0" w:line="200" w:lineRule="exact"/>
        <w:rPr>
          <w:sz w:val="20"/>
          <w:szCs w:val="20"/>
          <w:color w:val="auto"/>
        </w:rPr>
      </w:pPr>
    </w:p>
    <w:p>
      <w:pPr>
        <w:ind w:right="40" w:firstLine="357"/>
        <w:spacing w:after="0" w:line="294"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3" w:name="page64"/>
    <w:bookmarkEnd w:id="63"/>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other than in the ordinary course of business;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is not on market terms;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may have a material impact on a company's profitability, assets or liabilities.</w:t>
      </w:r>
    </w:p>
    <w:p>
      <w:pPr>
        <w:spacing w:after="0" w:line="200" w:lineRule="exact"/>
        <w:rPr>
          <w:sz w:val="20"/>
          <w:szCs w:val="20"/>
          <w:color w:val="auto"/>
        </w:rPr>
      </w:pPr>
    </w:p>
    <w:p>
      <w:pPr>
        <w:ind w:right="220" w:firstLine="360"/>
        <w:spacing w:after="0" w:line="254"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72"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Disclosure of Personal Interests of Controlling Shareholders</w:t>
      </w:r>
    </w:p>
    <w:p>
      <w:pPr>
        <w:spacing w:after="0" w:line="200" w:lineRule="exact"/>
        <w:rPr>
          <w:sz w:val="20"/>
          <w:szCs w:val="20"/>
          <w:color w:val="auto"/>
        </w:rPr>
      </w:pPr>
    </w:p>
    <w:p>
      <w:pPr>
        <w:ind w:firstLine="360"/>
        <w:spacing w:after="0" w:line="297"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43" w:lineRule="exact"/>
        <w:rPr>
          <w:sz w:val="20"/>
          <w:szCs w:val="20"/>
          <w:color w:val="auto"/>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disinterested majority; or</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360"/>
        <w:spacing w:after="0"/>
        <w:rPr>
          <w:sz w:val="20"/>
          <w:szCs w:val="20"/>
          <w:color w:val="auto"/>
        </w:rPr>
      </w:pPr>
      <w:r>
        <w:rPr>
          <w:rFonts w:ascii="Arial" w:cs="Arial" w:eastAsia="Arial" w:hAnsi="Arial"/>
          <w:sz w:val="16"/>
          <w:szCs w:val="16"/>
          <w:i w:val="1"/>
          <w:iCs w:val="1"/>
          <w:color w:val="auto"/>
        </w:rPr>
        <w:t>Shareholder Duties</w:t>
      </w:r>
    </w:p>
    <w:p>
      <w:pPr>
        <w:spacing w:after="0" w:line="20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2" w:lineRule="exact"/>
        <w:rPr>
          <w:sz w:val="20"/>
          <w:szCs w:val="20"/>
          <w:color w:val="auto"/>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amendment to the Company's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increase of the Company's authorized share capital;</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 merger;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approval of interested party transactions and acts of office holders that require shareholder approval.</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shareholder also has a general duty to refrain from discriminating against other shareholders.</w:t>
      </w:r>
    </w:p>
    <w:p>
      <w:pPr>
        <w:spacing w:after="0" w:line="200" w:lineRule="exact"/>
        <w:rPr>
          <w:sz w:val="20"/>
          <w:szCs w:val="20"/>
          <w:color w:val="auto"/>
        </w:rPr>
      </w:pPr>
    </w:p>
    <w:p>
      <w:pPr>
        <w:ind w:firstLine="360"/>
        <w:spacing w:after="0" w:line="282" w:lineRule="auto"/>
        <w:rPr>
          <w:sz w:val="20"/>
          <w:szCs w:val="20"/>
          <w:color w:val="auto"/>
        </w:rPr>
      </w:pPr>
      <w:r>
        <w:rPr>
          <w:rFonts w:ascii="Arial" w:cs="Arial" w:eastAsia="Arial" w:hAnsi="Arial"/>
          <w:sz w:val="15"/>
          <w:szCs w:val="15"/>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204"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67" w:lineRule="exact"/>
        <w:rPr>
          <w:sz w:val="20"/>
          <w:szCs w:val="20"/>
          <w:color w:val="auto"/>
        </w:rPr>
      </w:pPr>
    </w:p>
    <w:p>
      <w:pPr>
        <w:ind w:right="80" w:firstLine="360"/>
        <w:spacing w:after="0" w:line="264" w:lineRule="auto"/>
        <w:rPr>
          <w:sz w:val="20"/>
          <w:szCs w:val="20"/>
          <w:color w:val="auto"/>
        </w:rPr>
      </w:pPr>
      <w:r>
        <w:rPr>
          <w:rFonts w:ascii="Arial" w:cs="Arial" w:eastAsia="Arial" w:hAnsi="Arial"/>
          <w:sz w:val="16"/>
          <w:szCs w:val="16"/>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62" w:lineRule="exact"/>
        <w:rPr>
          <w:sz w:val="20"/>
          <w:szCs w:val="20"/>
          <w:color w:val="auto"/>
        </w:rPr>
      </w:pPr>
    </w:p>
    <w:p>
      <w:pPr>
        <w:ind w:left="360" w:right="80" w:hanging="4"/>
        <w:spacing w:after="0" w:line="257"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8" w:lineRule="exact"/>
        <w:rPr>
          <w:rFonts w:ascii="Arial" w:cs="Arial" w:eastAsia="Arial" w:hAnsi="Arial"/>
          <w:sz w:val="16"/>
          <w:szCs w:val="16"/>
          <w:color w:val="A6A6A6"/>
        </w:rPr>
      </w:pPr>
    </w:p>
    <w:p>
      <w:pPr>
        <w:ind w:left="360" w:right="120" w:hanging="4"/>
        <w:spacing w:after="0" w:line="308" w:lineRule="auto"/>
        <w:tabs>
          <w:tab w:leader="none" w:pos="640" w:val="left"/>
        </w:tabs>
        <w:numPr>
          <w:ilvl w:val="0"/>
          <w:numId w:val="63"/>
        </w:numPr>
        <w:rPr>
          <w:rFonts w:ascii="Arial" w:cs="Arial" w:eastAsia="Arial" w:hAnsi="Arial"/>
          <w:sz w:val="14"/>
          <w:szCs w:val="14"/>
          <w:color w:val="A6A6A6"/>
        </w:rPr>
      </w:pPr>
      <w:r>
        <w:rPr>
          <w:rFonts w:ascii="Arial" w:cs="Arial" w:eastAsia="Arial" w:hAnsi="Arial"/>
          <w:sz w:val="14"/>
          <w:szCs w:val="14"/>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34" w:lineRule="exact"/>
        <w:rPr>
          <w:rFonts w:ascii="Arial" w:cs="Arial" w:eastAsia="Arial" w:hAnsi="Arial"/>
          <w:sz w:val="14"/>
          <w:szCs w:val="14"/>
          <w:color w:val="A6A6A6"/>
        </w:rPr>
      </w:pPr>
    </w:p>
    <w:p>
      <w:pPr>
        <w:ind w:left="360" w:right="80" w:hanging="4"/>
        <w:spacing w:after="0" w:line="264"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52" w:lineRule="exact"/>
        <w:rPr>
          <w:sz w:val="20"/>
          <w:szCs w:val="20"/>
          <w:color w:val="auto"/>
        </w:rPr>
      </w:pPr>
    </w:p>
    <w:p>
      <w:pPr>
        <w:ind w:left="360" w:right="80" w:hanging="4"/>
        <w:spacing w:after="0" w:line="277"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5" w:name="page66"/>
    <w:bookmarkEnd w:id="65"/>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ind w:left="360" w:right="20" w:hanging="4"/>
        <w:spacing w:after="0" w:line="277" w:lineRule="auto"/>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practices—Compensation of officers."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amended and restated articles of association permit us to exculpate, indemnify and insure our office holders to the fullest extent permitted by the Israeli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188" w:lineRule="exact"/>
        <w:rPr>
          <w:sz w:val="20"/>
          <w:szCs w:val="20"/>
          <w:color w:val="auto"/>
        </w:rPr>
      </w:pPr>
    </w:p>
    <w:p>
      <w:pPr>
        <w:ind w:right="160" w:firstLine="360"/>
        <w:spacing w:after="0" w:line="319" w:lineRule="auto"/>
        <w:rPr>
          <w:sz w:val="20"/>
          <w:szCs w:val="20"/>
          <w:color w:val="auto"/>
        </w:rPr>
      </w:pPr>
      <w:r>
        <w:rPr>
          <w:rFonts w:ascii="Arial" w:cs="Arial" w:eastAsia="Arial" w:hAnsi="Arial"/>
          <w:sz w:val="14"/>
          <w:szCs w:val="14"/>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4" w:lineRule="exact"/>
        <w:rPr>
          <w:sz w:val="20"/>
          <w:szCs w:val="20"/>
          <w:color w:val="auto"/>
        </w:rPr>
      </w:pPr>
    </w:p>
    <w:p>
      <w:pPr>
        <w:ind w:firstLine="360"/>
        <w:spacing w:after="0" w:line="273" w:lineRule="auto"/>
        <w:rPr>
          <w:sz w:val="20"/>
          <w:szCs w:val="20"/>
          <w:color w:val="auto"/>
        </w:rPr>
      </w:pPr>
      <w:r>
        <w:rPr>
          <w:rFonts w:ascii="Arial" w:cs="Arial" w:eastAsia="Arial" w:hAnsi="Arial"/>
          <w:sz w:val="15"/>
          <w:szCs w:val="15"/>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4"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6" w:name="page67"/>
    <w:bookmarkEnd w:id="66"/>
    <w:p>
      <w:pPr>
        <w:ind w:left="364"/>
        <w:spacing w:after="0"/>
        <w:rPr>
          <w:sz w:val="20"/>
          <w:szCs w:val="20"/>
          <w:color w:val="auto"/>
        </w:rPr>
      </w:pPr>
      <w:r>
        <w:rPr>
          <w:rFonts w:ascii="Arial" w:cs="Arial" w:eastAsia="Arial" w:hAnsi="Arial"/>
          <w:sz w:val="16"/>
          <w:szCs w:val="16"/>
          <w:color w:val="auto"/>
        </w:rPr>
        <w:t>We do not have written agreements with any director providing for benefits upon the termination of his employment with our company.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04" w:lineRule="exact"/>
        <w:rPr>
          <w:sz w:val="20"/>
          <w:szCs w:val="20"/>
          <w:color w:val="auto"/>
        </w:rPr>
      </w:pPr>
    </w:p>
    <w:p>
      <w:pPr>
        <w:ind w:left="4" w:firstLine="360"/>
        <w:spacing w:after="0" w:line="278" w:lineRule="auto"/>
        <w:rPr>
          <w:sz w:val="20"/>
          <w:szCs w:val="20"/>
          <w:color w:val="auto"/>
        </w:rPr>
      </w:pPr>
      <w:r>
        <w:rPr>
          <w:rFonts w:ascii="Arial" w:cs="Arial" w:eastAsia="Arial" w:hAnsi="Arial"/>
          <w:sz w:val="15"/>
          <w:szCs w:val="15"/>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54" w:lineRule="exact"/>
        <w:rPr>
          <w:sz w:val="20"/>
          <w:szCs w:val="20"/>
          <w:color w:val="auto"/>
        </w:rPr>
      </w:pPr>
    </w:p>
    <w:p>
      <w:pPr>
        <w:ind w:left="4" w:right="40" w:firstLine="360"/>
        <w:spacing w:after="0" w:line="264" w:lineRule="auto"/>
        <w:rPr>
          <w:sz w:val="20"/>
          <w:szCs w:val="20"/>
          <w:color w:val="auto"/>
        </w:rPr>
      </w:pPr>
      <w:r>
        <w:rPr>
          <w:rFonts w:ascii="Arial" w:cs="Arial" w:eastAsia="Arial" w:hAnsi="Arial"/>
          <w:sz w:val="16"/>
          <w:szCs w:val="16"/>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2010 Incentive Option Plan</w:t>
      </w:r>
    </w:p>
    <w:p>
      <w:pPr>
        <w:spacing w:after="0" w:line="204" w:lineRule="exact"/>
        <w:rPr>
          <w:sz w:val="20"/>
          <w:szCs w:val="20"/>
          <w:color w:val="auto"/>
        </w:rPr>
      </w:pPr>
    </w:p>
    <w:p>
      <w:pPr>
        <w:jc w:val="both"/>
        <w:ind w:left="4" w:right="100" w:firstLine="360"/>
        <w:spacing w:after="0" w:line="264"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396,022 ordinary shares were vested as of April 1, 2013, with a weighted average exercise price of $0.26 per share.</w:t>
      </w:r>
    </w:p>
    <w:p>
      <w:pPr>
        <w:spacing w:after="0" w:line="162" w:lineRule="exact"/>
        <w:rPr>
          <w:sz w:val="20"/>
          <w:szCs w:val="20"/>
          <w:color w:val="auto"/>
        </w:rPr>
      </w:pPr>
    </w:p>
    <w:p>
      <w:pPr>
        <w:ind w:left="4" w:right="740" w:firstLine="360"/>
        <w:spacing w:after="0" w:line="277" w:lineRule="auto"/>
        <w:rPr>
          <w:sz w:val="20"/>
          <w:szCs w:val="20"/>
          <w:color w:val="auto"/>
        </w:rPr>
      </w:pPr>
      <w:r>
        <w:rPr>
          <w:rFonts w:ascii="Arial" w:cs="Arial" w:eastAsia="Arial" w:hAnsi="Arial"/>
          <w:sz w:val="16"/>
          <w:szCs w:val="16"/>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52" w:lineRule="exact"/>
        <w:rPr>
          <w:sz w:val="20"/>
          <w:szCs w:val="20"/>
          <w:color w:val="auto"/>
        </w:rPr>
      </w:pPr>
    </w:p>
    <w:p>
      <w:pPr>
        <w:ind w:left="4" w:right="40" w:firstLine="360"/>
        <w:spacing w:after="0" w:line="277"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5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200" w:lineRule="exact"/>
        <w:rPr>
          <w:sz w:val="20"/>
          <w:szCs w:val="20"/>
          <w:color w:val="auto"/>
        </w:rPr>
      </w:pPr>
    </w:p>
    <w:p>
      <w:pPr>
        <w:ind w:left="4" w:right="100" w:firstLine="360"/>
        <w:spacing w:after="0" w:line="291"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ind w:left="4" w:hanging="4"/>
        <w:spacing w:after="0" w:line="274" w:lineRule="auto"/>
        <w:tabs>
          <w:tab w:leader="none" w:pos="231" w:val="left"/>
        </w:tabs>
        <w:numPr>
          <w:ilvl w:val="0"/>
          <w:numId w:val="67"/>
        </w:numPr>
        <w:rPr>
          <w:rFonts w:ascii="Arial" w:cs="Arial" w:eastAsia="Arial" w:hAnsi="Arial"/>
          <w:sz w:val="15"/>
          <w:szCs w:val="15"/>
          <w:color w:val="auto"/>
        </w:rPr>
      </w:pPr>
      <w:r>
        <w:rPr>
          <w:rFonts w:ascii="Arial" w:cs="Arial" w:eastAsia="Arial" w:hAnsi="Arial"/>
          <w:sz w:val="15"/>
          <w:szCs w:val="15"/>
          <w:color w:val="auto"/>
        </w:rPr>
        <w:t>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55" w:lineRule="exact"/>
        <w:rPr>
          <w:sz w:val="20"/>
          <w:szCs w:val="20"/>
          <w:color w:val="auto"/>
        </w:rPr>
      </w:pPr>
    </w:p>
    <w:p>
      <w:pPr>
        <w:ind w:left="4" w:right="80" w:firstLine="360"/>
        <w:spacing w:after="0" w:line="25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ertain relationships and related party transactions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Employment Agreement with Dr. Yaron Daniely</w:t>
      </w:r>
    </w:p>
    <w:p>
      <w:pPr>
        <w:spacing w:after="0" w:line="200" w:lineRule="exact"/>
        <w:rPr>
          <w:sz w:val="20"/>
          <w:szCs w:val="20"/>
          <w:color w:val="auto"/>
        </w:rPr>
      </w:pPr>
    </w:p>
    <w:p>
      <w:pPr>
        <w:ind w:firstLine="360"/>
        <w:spacing w:after="0" w:line="293" w:lineRule="auto"/>
        <w:rPr>
          <w:sz w:val="20"/>
          <w:szCs w:val="20"/>
          <w:color w:val="auto"/>
        </w:rPr>
      </w:pPr>
      <w:r>
        <w:rPr>
          <w:rFonts w:ascii="Arial" w:cs="Arial" w:eastAsia="Arial" w:hAnsi="Arial"/>
          <w:sz w:val="14"/>
          <w:szCs w:val="14"/>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Consulting Agreement with Dr. Dalia Megiddo</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Agreement with Udi Gilboa</w:t>
      </w:r>
    </w:p>
    <w:p>
      <w:pPr>
        <w:spacing w:after="0" w:line="200"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 days’ notice.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of Aharon Schwartz as Director and Chairman of Our Board of Directors</w:t>
      </w:r>
    </w:p>
    <w:p>
      <w:pPr>
        <w:spacing w:after="0" w:line="200"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68" w:name="page69"/>
    <w:bookmarkEnd w:id="68"/>
    <w:p>
      <w:pPr>
        <w:ind w:left="36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00" w:lineRule="exact"/>
        <w:rPr>
          <w:sz w:val="20"/>
          <w:szCs w:val="20"/>
          <w:color w:val="auto"/>
        </w:rPr>
      </w:pPr>
    </w:p>
    <w:p>
      <w:pPr>
        <w:ind w:firstLine="433"/>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4"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beneficial ownership of our ordinary shares as of April 1, 2013 by:</w:t>
      </w:r>
    </w:p>
    <w:p>
      <w:pPr>
        <w:spacing w:after="0" w:line="200" w:lineRule="exact"/>
        <w:rPr>
          <w:sz w:val="20"/>
          <w:szCs w:val="20"/>
          <w:color w:val="auto"/>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person, or group of affiliated persons, known to us to be the beneficial owner of more than 5% of our outstanding ordinary shares;</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of our directors and executive officers; and</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all of our directors and executive officers as a group.</w:t>
      </w:r>
    </w:p>
    <w:p>
      <w:pPr>
        <w:spacing w:after="0" w:line="200" w:lineRule="exact"/>
        <w:rPr>
          <w:sz w:val="20"/>
          <w:szCs w:val="20"/>
          <w:color w:val="auto"/>
        </w:rPr>
      </w:pPr>
    </w:p>
    <w:p>
      <w:pPr>
        <w:ind w:right="60" w:firstLine="577"/>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April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April 1, 2013.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8" w:lineRule="exact"/>
        <w:rPr>
          <w:sz w:val="20"/>
          <w:szCs w:val="20"/>
          <w:color w:val="auto"/>
        </w:rPr>
      </w:pPr>
    </w:p>
    <w:p>
      <w:pPr>
        <w:ind w:right="280" w:firstLine="577"/>
        <w:spacing w:after="0" w:line="319" w:lineRule="auto"/>
        <w:rPr>
          <w:sz w:val="20"/>
          <w:szCs w:val="20"/>
          <w:color w:val="auto"/>
        </w:rPr>
      </w:pPr>
      <w:r>
        <w:rPr>
          <w:rFonts w:ascii="Arial" w:cs="Arial" w:eastAsia="Arial" w:hAnsi="Arial"/>
          <w:sz w:val="14"/>
          <w:szCs w:val="14"/>
          <w:color w:val="auto"/>
        </w:rPr>
        <w:t>As of April 1,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27" w:lineRule="exact"/>
        <w:rPr>
          <w:sz w:val="20"/>
          <w:szCs w:val="20"/>
          <w:color w:val="auto"/>
        </w:rPr>
      </w:pPr>
    </w:p>
    <w:p>
      <w:pPr>
        <w:ind w:right="20" w:firstLine="577"/>
        <w:spacing w:after="0" w:line="264"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35 Ehad Ha-Am Street, Tel Aviv 65202, Israel.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 of Shares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gridSpan w:val="3"/>
          </w:tcPr>
          <w:p>
            <w:pPr>
              <w:jc w:val="center"/>
              <w:ind w:left="1340"/>
              <w:spacing w:after="0"/>
              <w:rPr>
                <w:sz w:val="20"/>
                <w:szCs w:val="20"/>
                <w:color w:val="auto"/>
              </w:rPr>
            </w:pPr>
            <w:r>
              <w:rPr>
                <w:rFonts w:ascii="Arial" w:cs="Arial" w:eastAsia="Arial" w:hAnsi="Arial"/>
                <w:sz w:val="16"/>
                <w:szCs w:val="16"/>
                <w:b w:val="1"/>
                <w:bCs w:val="1"/>
                <w:color w:val="auto"/>
                <w:w w:val="91"/>
              </w:rPr>
              <w:t>Beneficially Owned</w:t>
            </w: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Percentage Owned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Prior to this</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Before this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Percentage 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After this Offering</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Holders of more than 5% of our voting securities: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Udi Gilboa</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2,734,927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34.7%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color w:val="auto"/>
              </w:rPr>
              <w:t>Dr. Dalia Megiddo</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2,803,817</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35.6%</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Hadasit Medical Research Services &amp; Development Ltd.</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750,667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Directors and executive officers who are not 5% holders: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Dr. Yaron Daniely (1)</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173,532</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FFCC"/>
          </w:tcPr>
          <w:p>
            <w:pPr>
              <w:spacing w:after="0" w:line="176"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52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(4 persons)</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5,712,276</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72.4%</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700" w:right="40" w:hanging="584"/>
        <w:spacing w:after="0" w:line="259"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April 1, 2013 to purchase 173,532 ordinary shares (which have an exercise price of $0.328 per share and expire in November 15, 2020). Does not include the following options not currently exercisable: 78,878 options that are time-vested, 88,050 options that become exercisable upon an initial public offering or an acquisition of the Company and 89,553 options that will commence vesting upon an initial public offering or an acquisition of the Company. The options were granted under our 2010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DESCRIPTION OF SHARE CAPITAL</w:t>
      </w:r>
    </w:p>
    <w:p>
      <w:pPr>
        <w:spacing w:after="0" w:line="20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0"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Warrants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April 1, 2013, we had the following warrants outstanding:</w:t>
      </w:r>
    </w:p>
    <w:p>
      <w:pPr>
        <w:spacing w:after="0" w:line="200" w:lineRule="exact"/>
        <w:rPr>
          <w:sz w:val="20"/>
          <w:szCs w:val="20"/>
          <w:color w:val="auto"/>
        </w:rPr>
      </w:pPr>
    </w:p>
    <w:p>
      <w:pPr>
        <w:ind w:left="360" w:right="220" w:hanging="4"/>
        <w:spacing w:after="0" w:line="277" w:lineRule="auto"/>
        <w:tabs>
          <w:tab w:leader="none" w:pos="64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 xml:space="preserve">Warrants issued to professional advisor. </w:t>
      </w:r>
      <w:r>
        <w:rPr>
          <w:rFonts w:ascii="Arial" w:cs="Arial" w:eastAsia="Arial" w:hAnsi="Arial"/>
          <w:sz w:val="16"/>
          <w:szCs w:val="16"/>
          <w:color w:val="auto"/>
        </w:rPr>
        <w:t>As consideration for certain professional services, on April 2, 2008, we issued to certain advisors warrants to 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58,700 ordinary shares at an exercise price of $0.0005 per share. These warrants shall expire on April 2, 2018.</w:t>
      </w:r>
    </w:p>
    <w:p>
      <w:pPr>
        <w:spacing w:after="0" w:line="151" w:lineRule="exact"/>
        <w:rPr>
          <w:rFonts w:ascii="Arial" w:cs="Arial" w:eastAsia="Arial" w:hAnsi="Arial"/>
          <w:sz w:val="16"/>
          <w:szCs w:val="16"/>
          <w:color w:val="A6A6A6"/>
        </w:rPr>
      </w:pPr>
    </w:p>
    <w:p>
      <w:pPr>
        <w:ind w:left="360" w:right="20" w:hanging="4"/>
        <w:spacing w:after="0" w:line="259" w:lineRule="auto"/>
        <w:tabs>
          <w:tab w:leader="none" w:pos="68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Warrants issued in the February 2010 Preferred B Subscription Agreement</w:t>
      </w:r>
      <w:r>
        <w:rPr>
          <w:rFonts w:ascii="Arial" w:cs="Arial" w:eastAsia="Arial" w:hAnsi="Arial"/>
          <w:sz w:val="16"/>
          <w:szCs w:val="16"/>
          <w:color w:val="auto"/>
        </w:rPr>
        <w:t>. In connection with the February 2010 Preferred B Subscription Agreement, 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below, we issued to the investors warrants to purchase up to 129,257 series B3 preferred shares at an exercise price of $2.73 per share. The warrants are currently exercisable into ordinary shares. These warrants shall expire immediately prior to the closing of this offering and are expected to be exercised on a cashless basis contingent upon the closing of this offering.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History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history of our share capital for the last three years.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Share Options. </w:t>
      </w:r>
      <w:r>
        <w:rPr>
          <w:rFonts w:ascii="Arial" w:cs="Arial" w:eastAsia="Arial" w:hAnsi="Arial"/>
          <w:sz w:val="16"/>
          <w:szCs w:val="16"/>
          <w:color w:val="auto"/>
        </w:rPr>
        <w:t>Since January 1, 2010, we have issued 292,531 ordinary shares upon the exercise of share options.</w:t>
      </w:r>
    </w:p>
    <w:p>
      <w:pPr>
        <w:spacing w:after="0" w:line="200" w:lineRule="exact"/>
        <w:rPr>
          <w:sz w:val="20"/>
          <w:szCs w:val="20"/>
          <w:color w:val="auto"/>
        </w:rPr>
      </w:pPr>
    </w:p>
    <w:p>
      <w:pPr>
        <w:ind w:firstLine="577"/>
        <w:spacing w:after="0" w:line="259"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sold an aggregate of 397,698 series B1 preferred shares at a price of $2.18, and an aggregate of 128,512 series B2 preferred shares at a price of $1.75 per share and issued warrants to purchase up to an aggregate of 129,257 series B3 preferred shares with an exercise price of $2.73 per share, which shall expire immediately prior to the closing of this offering.</w:t>
      </w:r>
    </w:p>
    <w:p>
      <w:pPr>
        <w:spacing w:after="0" w:line="167" w:lineRule="exact"/>
        <w:rPr>
          <w:sz w:val="20"/>
          <w:szCs w:val="20"/>
          <w:color w:val="auto"/>
        </w:rPr>
      </w:pPr>
    </w:p>
    <w:p>
      <w:pPr>
        <w:ind w:right="280" w:firstLine="577"/>
        <w:spacing w:after="0" w:line="277" w:lineRule="auto"/>
        <w:rPr>
          <w:sz w:val="20"/>
          <w:szCs w:val="20"/>
          <w:color w:val="auto"/>
        </w:rPr>
      </w:pPr>
      <w:r>
        <w:rPr>
          <w:rFonts w:ascii="Arial" w:cs="Arial" w:eastAsia="Arial" w:hAnsi="Arial"/>
          <w:sz w:val="16"/>
          <w:szCs w:val="16"/>
          <w:i w:val="1"/>
          <w:iCs w:val="1"/>
          <w:color w:val="auto"/>
        </w:rPr>
        <w:t xml:space="preserve">February 2011 Share Purchase Agreement. </w:t>
      </w:r>
      <w:r>
        <w:rPr>
          <w:rFonts w:ascii="Arial" w:cs="Arial" w:eastAsia="Arial" w:hAnsi="Arial"/>
          <w:sz w:val="16"/>
          <w:szCs w:val="16"/>
          <w:color w:val="auto"/>
        </w:rPr>
        <w:t>On March 24, 2011, we closed the February 2011 Share Purchase Agreement, pursuant to which we sold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304,324 of our ordinary shares at a price of $11.50 per share.</w:t>
      </w:r>
    </w:p>
    <w:p>
      <w:pPr>
        <w:spacing w:after="0" w:line="152" w:lineRule="exact"/>
        <w:rPr>
          <w:sz w:val="20"/>
          <w:szCs w:val="20"/>
          <w:color w:val="auto"/>
        </w:rPr>
      </w:pPr>
    </w:p>
    <w:p>
      <w:pPr>
        <w:ind w:right="420" w:firstLine="577"/>
        <w:spacing w:after="0" w:line="264"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 March 24, 2011,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2" w:lineRule="exact"/>
        <w:rPr>
          <w:sz w:val="20"/>
          <w:szCs w:val="20"/>
          <w:color w:val="auto"/>
        </w:rPr>
      </w:pPr>
    </w:p>
    <w:p>
      <w:pPr>
        <w:jc w:val="both"/>
        <w:ind w:right="180" w:firstLine="577"/>
        <w:spacing w:after="0" w:line="264" w:lineRule="auto"/>
        <w:rPr>
          <w:sz w:val="20"/>
          <w:szCs w:val="20"/>
          <w:color w:val="auto"/>
        </w:rPr>
      </w:pPr>
      <w:r>
        <w:rPr>
          <w:rFonts w:ascii="Arial" w:cs="Arial" w:eastAsia="Arial" w:hAnsi="Arial"/>
          <w:sz w:val="16"/>
          <w:szCs w:val="16"/>
          <w:i w:val="1"/>
          <w:iCs w:val="1"/>
          <w:color w:val="auto"/>
        </w:rPr>
        <w:t>2012 Convertible Notes</w:t>
      </w:r>
      <w:r>
        <w:rPr>
          <w:rFonts w:ascii="Arial" w:cs="Arial" w:eastAsia="Arial" w:hAnsi="Arial"/>
          <w:sz w:val="16"/>
          <w:szCs w:val="16"/>
          <w:color w:val="auto"/>
        </w:rPr>
        <w:t>. During 2012, we issued convertible notes for a total principal amount of $600,000. According to the terms of the convertible notes,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bearing an annual interest rate of 6%, shall be automatically converted into ordinary shares as of immediately after closing of this offering, at a 25% discount from the initial public offering price.</w:t>
      </w:r>
    </w:p>
    <w:p>
      <w:pPr>
        <w:spacing w:after="0" w:line="162" w:lineRule="exact"/>
        <w:rPr>
          <w:sz w:val="20"/>
          <w:szCs w:val="20"/>
          <w:color w:val="auto"/>
        </w:rPr>
      </w:pPr>
    </w:p>
    <w:p>
      <w:pPr>
        <w:jc w:val="both"/>
        <w:ind w:right="100" w:firstLine="577"/>
        <w:spacing w:after="0" w:line="264" w:lineRule="auto"/>
        <w:rPr>
          <w:sz w:val="20"/>
          <w:szCs w:val="20"/>
          <w:color w:val="auto"/>
        </w:rPr>
      </w:pPr>
      <w:r>
        <w:rPr>
          <w:rFonts w:ascii="Arial" w:cs="Arial" w:eastAsia="Arial" w:hAnsi="Arial"/>
          <w:sz w:val="16"/>
          <w:szCs w:val="16"/>
          <w:i w:val="1"/>
          <w:iCs w:val="1"/>
          <w:color w:val="auto"/>
        </w:rPr>
        <w:t xml:space="preserve">2013 Convertible Notes. </w:t>
      </w:r>
      <w:r>
        <w:rPr>
          <w:rFonts w:ascii="Arial" w:cs="Arial" w:eastAsia="Arial" w:hAnsi="Arial"/>
          <w:sz w:val="16"/>
          <w:szCs w:val="16"/>
          <w:color w:val="auto"/>
        </w:rPr>
        <w:t>In February 2013 we issued to certain of our existing shareholders additional convertible notes for an aggregate principal amount of $115,000.</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ordinary shares have one vote for each ordinary share held on all matters submitted to a vote before the shareholders at a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04" w:lineRule="exact"/>
        <w:rPr>
          <w:sz w:val="20"/>
          <w:szCs w:val="20"/>
          <w:color w:val="auto"/>
        </w:rPr>
      </w:pPr>
    </w:p>
    <w:p>
      <w:pPr>
        <w:ind w:right="340" w:firstLine="360"/>
        <w:spacing w:after="0" w:line="259"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7" w:lineRule="exact"/>
        <w:rPr>
          <w:sz w:val="20"/>
          <w:szCs w:val="20"/>
          <w:color w:val="auto"/>
        </w:rPr>
      </w:pPr>
    </w:p>
    <w:p>
      <w:pPr>
        <w:ind w:right="40" w:firstLine="360"/>
        <w:spacing w:after="0" w:line="255"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4" w:lineRule="exact"/>
        <w:rPr>
          <w:sz w:val="20"/>
          <w:szCs w:val="20"/>
          <w:color w:val="auto"/>
        </w:rPr>
      </w:pPr>
    </w:p>
    <w:p>
      <w:pPr>
        <w:ind w:right="80" w:firstLine="360"/>
        <w:spacing w:after="0" w:line="351"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04" w:lineRule="exact"/>
        <w:rPr>
          <w:sz w:val="20"/>
          <w:szCs w:val="20"/>
          <w:color w:val="auto"/>
        </w:rPr>
      </w:pPr>
    </w:p>
    <w:p>
      <w:pPr>
        <w:ind w:right="440" w:firstLine="360"/>
        <w:spacing w:after="0" w:line="259"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7"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6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Exchange Controls</w:t>
      </w:r>
    </w:p>
    <w:p>
      <w:pPr>
        <w:spacing w:after="0" w:line="204" w:lineRule="exact"/>
        <w:rPr>
          <w:sz w:val="20"/>
          <w:szCs w:val="20"/>
          <w:color w:val="auto"/>
        </w:rPr>
      </w:pPr>
    </w:p>
    <w:p>
      <w:pPr>
        <w:ind w:right="480" w:firstLine="360"/>
        <w:spacing w:after="0" w:line="312"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Meetings</w:t>
      </w:r>
    </w:p>
    <w:p>
      <w:pPr>
        <w:spacing w:after="0" w:line="204" w:lineRule="exact"/>
        <w:rPr>
          <w:sz w:val="20"/>
          <w:szCs w:val="20"/>
          <w:color w:val="auto"/>
        </w:rPr>
      </w:pPr>
    </w:p>
    <w:p>
      <w:pPr>
        <w:jc w:val="both"/>
        <w:ind w:right="40" w:firstLine="360"/>
        <w:spacing w:after="0" w:line="302"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4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46" w:lineRule="exact"/>
        <w:rPr>
          <w:sz w:val="20"/>
          <w:szCs w:val="20"/>
          <w:color w:val="auto"/>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amendments to our amended and restated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or termination of our auditors;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of external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approval of acts and transactions involving related parties, as defined by the Israeli Companies Law;</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increases or reductions of our authorized share capital;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 merger.</w:t>
      </w:r>
    </w:p>
    <w:p>
      <w:pPr>
        <w:spacing w:after="0" w:line="39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6"/>
          <w:szCs w:val="16"/>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6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Under the Israeli Companies Law and our amended and restated articles of association, our shareholders are not permitted to take action via written consent in lieu of a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3" w:name="page74"/>
    <w:bookmarkEnd w:id="73"/>
    <w:p>
      <w:pPr>
        <w:ind w:left="36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200" w:lineRule="exact"/>
        <w:rPr>
          <w:sz w:val="20"/>
          <w:szCs w:val="20"/>
          <w:color w:val="auto"/>
        </w:rPr>
      </w:pPr>
    </w:p>
    <w:p>
      <w:pPr>
        <w:ind w:firstLine="360"/>
        <w:spacing w:after="0" w:line="295"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47" w:lineRule="exact"/>
        <w:rPr>
          <w:sz w:val="20"/>
          <w:szCs w:val="20"/>
          <w:color w:val="auto"/>
        </w:rPr>
      </w:pPr>
    </w:p>
    <w:p>
      <w:pPr>
        <w:jc w:val="both"/>
        <w:ind w:right="20" w:firstLine="360"/>
        <w:spacing w:after="0" w:line="289" w:lineRule="auto"/>
        <w:rPr>
          <w:sz w:val="20"/>
          <w:szCs w:val="20"/>
          <w:color w:val="auto"/>
        </w:rPr>
      </w:pPr>
      <w:r>
        <w:rPr>
          <w:rFonts w:ascii="Arial" w:cs="Arial" w:eastAsia="Arial" w:hAnsi="Arial"/>
          <w:sz w:val="15"/>
          <w:szCs w:val="15"/>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6"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52" w:lineRule="exact"/>
        <w:rPr>
          <w:sz w:val="20"/>
          <w:szCs w:val="20"/>
          <w:color w:val="auto"/>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or removal of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transactions with office holders or interested or related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 merger;</w:t>
      </w:r>
    </w:p>
    <w:p>
      <w:pPr>
        <w:spacing w:after="0" w:line="200" w:lineRule="exact"/>
        <w:rPr>
          <w:rFonts w:ascii="Arial" w:cs="Arial" w:eastAsia="Arial" w:hAnsi="Arial"/>
          <w:sz w:val="16"/>
          <w:szCs w:val="16"/>
          <w:color w:val="A6A6A6"/>
        </w:rPr>
      </w:pPr>
    </w:p>
    <w:p>
      <w:pPr>
        <w:ind w:left="360" w:right="48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an arrangement or reorganization of the Company pursuant to Section 350 of the Israeli Companies Law; and</w:t>
      </w:r>
    </w:p>
    <w:p>
      <w:pPr>
        <w:spacing w:after="0" w:line="200" w:lineRule="exact"/>
        <w:rPr>
          <w:rFonts w:ascii="Arial" w:cs="Arial" w:eastAsia="Arial" w:hAnsi="Arial"/>
          <w:sz w:val="16"/>
          <w:szCs w:val="16"/>
          <w:color w:val="A6A6A6"/>
        </w:rPr>
      </w:pPr>
    </w:p>
    <w:p>
      <w:pPr>
        <w:ind w:left="360" w:right="6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44" w:lineRule="exact"/>
        <w:rPr>
          <w:sz w:val="20"/>
          <w:szCs w:val="20"/>
          <w:color w:val="auto"/>
        </w:rPr>
      </w:pPr>
    </w:p>
    <w:p>
      <w:pPr>
        <w:ind w:right="660" w:firstLine="360"/>
        <w:spacing w:after="0" w:line="312" w:lineRule="auto"/>
        <w:rPr>
          <w:sz w:val="20"/>
          <w:szCs w:val="20"/>
          <w:color w:val="auto"/>
        </w:rPr>
      </w:pPr>
      <w:r>
        <w:rPr>
          <w:rFonts w:ascii="Arial" w:cs="Arial" w:eastAsia="Arial" w:hAnsi="Arial"/>
          <w:sz w:val="15"/>
          <w:szCs w:val="15"/>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8"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200" w:lineRule="exact"/>
        <w:rPr>
          <w:sz w:val="20"/>
          <w:szCs w:val="20"/>
          <w:color w:val="auto"/>
        </w:rPr>
      </w:pPr>
    </w:p>
    <w:p>
      <w:pPr>
        <w:ind w:right="60" w:firstLine="360"/>
        <w:spacing w:after="0" w:line="278" w:lineRule="auto"/>
        <w:rPr>
          <w:sz w:val="20"/>
          <w:szCs w:val="20"/>
          <w:color w:val="auto"/>
        </w:rPr>
      </w:pPr>
      <w:r>
        <w:rPr>
          <w:rFonts w:ascii="Arial" w:cs="Arial" w:eastAsia="Arial" w:hAnsi="Arial"/>
          <w:sz w:val="15"/>
          <w:szCs w:val="15"/>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4" w:name="page75"/>
    <w:bookmarkEnd w:id="74"/>
    <w:p>
      <w:pPr>
        <w:ind w:left="360"/>
        <w:spacing w:after="0"/>
        <w:rPr>
          <w:sz w:val="20"/>
          <w:szCs w:val="20"/>
          <w:color w:val="auto"/>
        </w:rPr>
      </w:pPr>
      <w:r>
        <w:rPr>
          <w:rFonts w:ascii="Arial" w:cs="Arial" w:eastAsia="Arial" w:hAnsi="Arial"/>
          <w:sz w:val="16"/>
          <w:szCs w:val="16"/>
          <w:b w:val="1"/>
          <w:bCs w:val="1"/>
          <w:color w:val="auto"/>
        </w:rPr>
        <w:t>Modification of Class Rights</w:t>
      </w:r>
    </w:p>
    <w:p>
      <w:pPr>
        <w:spacing w:after="0" w:line="204"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Acquisitions under Israeli Law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00" w:lineRule="exact"/>
        <w:rPr>
          <w:sz w:val="20"/>
          <w:szCs w:val="20"/>
          <w:color w:val="auto"/>
        </w:rPr>
      </w:pPr>
    </w:p>
    <w:p>
      <w:pPr>
        <w:ind w:right="60" w:firstLine="360"/>
        <w:spacing w:after="0" w:line="271" w:lineRule="auto"/>
        <w:rPr>
          <w:sz w:val="20"/>
          <w:szCs w:val="20"/>
          <w:color w:val="auto"/>
        </w:rPr>
      </w:pPr>
      <w:r>
        <w:rPr>
          <w:rFonts w:ascii="Arial" w:cs="Arial" w:eastAsia="Arial" w:hAnsi="Arial"/>
          <w:sz w:val="15"/>
          <w:szCs w:val="15"/>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0"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5" w:name="page76"/>
    <w:bookmarkEnd w:id="75"/>
    <w:p>
      <w:pPr>
        <w:ind w:right="20" w:firstLine="360"/>
        <w:spacing w:after="0" w:line="289"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Merger</w:t>
      </w:r>
    </w:p>
    <w:p>
      <w:pPr>
        <w:spacing w:after="0" w:line="20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62"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6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62" w:lineRule="exact"/>
        <w:rPr>
          <w:sz w:val="20"/>
          <w:szCs w:val="20"/>
          <w:color w:val="auto"/>
        </w:rPr>
      </w:pPr>
    </w:p>
    <w:p>
      <w:pPr>
        <w:ind w:right="300" w:firstLine="360"/>
        <w:spacing w:after="0" w:line="351" w:lineRule="auto"/>
        <w:rPr>
          <w:sz w:val="20"/>
          <w:szCs w:val="20"/>
          <w:color w:val="auto"/>
        </w:rPr>
      </w:pPr>
      <w:r>
        <w:rPr>
          <w:rFonts w:ascii="Arial" w:cs="Arial" w:eastAsia="Arial" w:hAnsi="Arial"/>
          <w:sz w:val="14"/>
          <w:szCs w:val="14"/>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204"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Changes in Capital</w:t>
      </w:r>
    </w:p>
    <w:p>
      <w:pPr>
        <w:spacing w:after="0" w:line="204"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transfer agent in the United States will be Continental Stock Transfer &amp; Trust Company.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204" w:lineRule="exact"/>
        <w:rPr>
          <w:sz w:val="20"/>
          <w:szCs w:val="20"/>
          <w:color w:val="auto"/>
        </w:rPr>
      </w:pPr>
    </w:p>
    <w:p>
      <w:pPr>
        <w:ind w:right="100" w:firstLine="360"/>
        <w:spacing w:after="0" w:line="299" w:lineRule="auto"/>
        <w:rPr>
          <w:sz w:val="20"/>
          <w:szCs w:val="20"/>
          <w:color w:val="auto"/>
        </w:rPr>
      </w:pPr>
      <w:r>
        <w:rPr>
          <w:rFonts w:ascii="Arial" w:cs="Arial" w:eastAsia="Arial" w:hAnsi="Arial"/>
          <w:sz w:val="14"/>
          <w:szCs w:val="14"/>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11,126,884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42" w:lineRule="exact"/>
        <w:rPr>
          <w:sz w:val="20"/>
          <w:szCs w:val="20"/>
          <w:color w:val="auto"/>
        </w:rPr>
      </w:pPr>
    </w:p>
    <w:p>
      <w:pPr>
        <w:ind w:right="120" w:firstLine="360"/>
        <w:spacing w:after="0" w:line="289" w:lineRule="auto"/>
        <w:rPr>
          <w:sz w:val="20"/>
          <w:szCs w:val="20"/>
          <w:color w:val="auto"/>
        </w:rPr>
      </w:pPr>
      <w:r>
        <w:rPr>
          <w:rFonts w:ascii="Arial" w:cs="Arial" w:eastAsia="Arial" w:hAnsi="Arial"/>
          <w:sz w:val="15"/>
          <w:szCs w:val="15"/>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04"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180-day lock-up period described in the preceding paragraph will be extended if:</w:t>
      </w:r>
    </w:p>
    <w:p>
      <w:pPr>
        <w:spacing w:after="0" w:line="200" w:lineRule="exact"/>
        <w:rPr>
          <w:sz w:val="20"/>
          <w:szCs w:val="20"/>
          <w:color w:val="auto"/>
        </w:rPr>
      </w:pPr>
    </w:p>
    <w:p>
      <w:pPr>
        <w:ind w:left="900" w:hanging="339"/>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last 17 days of the 180-day lock-up period, we release earnings results or announce material news or a material event; or</w:t>
      </w:r>
    </w:p>
    <w:p>
      <w:pPr>
        <w:spacing w:after="0" w:line="200" w:lineRule="exact"/>
        <w:rPr>
          <w:rFonts w:ascii="Arial" w:cs="Arial" w:eastAsia="Arial" w:hAnsi="Arial"/>
          <w:sz w:val="16"/>
          <w:szCs w:val="16"/>
          <w:color w:val="auto"/>
        </w:rPr>
      </w:pPr>
    </w:p>
    <w:p>
      <w:pPr>
        <w:ind w:left="900" w:right="120" w:hanging="339"/>
        <w:spacing w:after="0" w:line="277"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of the 180-day lock-up period, we announce that we will release earnings results during the 15-day period following the last day of the 180-day period,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04" w:lineRule="exact"/>
        <w:rPr>
          <w:sz w:val="20"/>
          <w:szCs w:val="20"/>
          <w:color w:val="auto"/>
        </w:rPr>
      </w:pPr>
    </w:p>
    <w:p>
      <w:pPr>
        <w:ind w:firstLine="392"/>
        <w:spacing w:after="0" w:line="282"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5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6"/>
          <w:szCs w:val="16"/>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62" w:lineRule="exact"/>
        <w:rPr>
          <w:sz w:val="20"/>
          <w:szCs w:val="20"/>
          <w:color w:val="auto"/>
        </w:rPr>
      </w:pPr>
    </w:p>
    <w:p>
      <w:pPr>
        <w:ind w:left="720" w:hanging="364"/>
        <w:spacing w:after="0"/>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one percent of the number of ordinary shares then outstanding, which will equal 111,269 shares; or</w:t>
      </w:r>
    </w:p>
    <w:p>
      <w:pPr>
        <w:spacing w:after="0" w:line="200" w:lineRule="exact"/>
        <w:rPr>
          <w:rFonts w:ascii="Arial" w:cs="Arial" w:eastAsia="Arial" w:hAnsi="Arial"/>
          <w:sz w:val="16"/>
          <w:szCs w:val="16"/>
          <w:color w:val="A6A6A6"/>
        </w:rPr>
      </w:pPr>
    </w:p>
    <w:p>
      <w:pPr>
        <w:ind w:left="720" w:right="620" w:hanging="364"/>
        <w:spacing w:after="0" w:line="277" w:lineRule="auto"/>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the average weekly trading volume of our ordinary shares on the NASDAQ Capital Market during the four calendar weeks preceding the filing of a notice on Form 144 with respect to the sale.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affiliate acquires “restricted securities,” those securities will also be subject to holding period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8" w:name="page79"/>
    <w:bookmarkEnd w:id="78"/>
    <w:p>
      <w:pPr>
        <w:ind w:right="220" w:firstLine="392"/>
        <w:spacing w:after="0" w:line="277" w:lineRule="auto"/>
        <w:rPr>
          <w:sz w:val="20"/>
          <w:szCs w:val="20"/>
          <w:color w:val="auto"/>
        </w:rPr>
      </w:pPr>
      <w:r>
        <w:rPr>
          <w:rFonts w:ascii="Arial" w:cs="Arial" w:eastAsia="Arial" w:hAnsi="Arial"/>
          <w:sz w:val="16"/>
          <w:szCs w:val="16"/>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Statements</w:t>
      </w:r>
    </w:p>
    <w:p>
      <w:pPr>
        <w:spacing w:after="0" w:line="204"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TAXATION</w:t>
      </w:r>
    </w:p>
    <w:p>
      <w:pPr>
        <w:spacing w:after="0" w:line="204"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ISRAELI TAX CONSIDERATIONS</w:t>
      </w:r>
    </w:p>
    <w:p>
      <w:pPr>
        <w:spacing w:after="0" w:line="20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such as the Company, are generally subject to corporate tax at the rate of 25% of their taxable income in 2013.</w:t>
      </w:r>
    </w:p>
    <w:p>
      <w:pPr>
        <w:spacing w:after="0" w:line="200"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our Israeli individual shareholders on receipt of dividends</w:t>
      </w:r>
    </w:p>
    <w:p>
      <w:pPr>
        <w:spacing w:after="0" w:line="20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2"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2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0" w:name="page81"/>
    <w:bookmarkEnd w:id="80"/>
    <w:p>
      <w:pPr>
        <w:ind w:left="360"/>
        <w:spacing w:after="0"/>
        <w:rPr>
          <w:sz w:val="20"/>
          <w:szCs w:val="20"/>
          <w:color w:val="auto"/>
        </w:rPr>
      </w:pPr>
      <w:r>
        <w:rPr>
          <w:rFonts w:ascii="Arial" w:cs="Arial" w:eastAsia="Arial" w:hAnsi="Arial"/>
          <w:sz w:val="16"/>
          <w:szCs w:val="16"/>
          <w:b w:val="1"/>
          <w:bCs w:val="1"/>
          <w:i w:val="1"/>
          <w:iCs w:val="1"/>
          <w:color w:val="auto"/>
        </w:rPr>
        <w:t>Taxation of Israeli Resident Corporations on Receipt of Dividends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Taxes Applicable to Israeli Resident Shareholders</w:t>
      </w:r>
    </w:p>
    <w:p>
      <w:pPr>
        <w:spacing w:after="0" w:line="200"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68"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Non-Israeli Shareholders on Receipt of Dividends</w:t>
      </w:r>
    </w:p>
    <w:p>
      <w:pPr>
        <w:spacing w:after="0" w:line="20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2" w:lineRule="exact"/>
        <w:rPr>
          <w:sz w:val="20"/>
          <w:szCs w:val="20"/>
          <w:color w:val="auto"/>
        </w:rPr>
      </w:pPr>
    </w:p>
    <w:p>
      <w:pPr>
        <w:ind w:right="200" w:firstLine="360"/>
        <w:spacing w:after="0" w:line="312" w:lineRule="auto"/>
        <w:rPr>
          <w:sz w:val="20"/>
          <w:szCs w:val="20"/>
          <w:color w:val="auto"/>
        </w:rPr>
      </w:pPr>
      <w:r>
        <w:rPr>
          <w:rFonts w:ascii="Arial" w:cs="Arial" w:eastAsia="Arial" w:hAnsi="Arial"/>
          <w:sz w:val="15"/>
          <w:szCs w:val="15"/>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28" w:lineRule="exact"/>
        <w:rPr>
          <w:sz w:val="20"/>
          <w:szCs w:val="20"/>
          <w:color w:val="auto"/>
        </w:rPr>
      </w:pPr>
    </w:p>
    <w:p>
      <w:pPr>
        <w:ind w:right="40" w:firstLine="360"/>
        <w:spacing w:after="0" w:line="302"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income taxes applicable to non-Israeli shareholders.</w:t>
      </w:r>
    </w:p>
    <w:p>
      <w:pPr>
        <w:spacing w:after="0" w:line="200" w:lineRule="exact"/>
        <w:rPr>
          <w:sz w:val="20"/>
          <w:szCs w:val="20"/>
          <w:color w:val="auto"/>
        </w:rPr>
      </w:pPr>
    </w:p>
    <w:p>
      <w:pPr>
        <w:ind w:firstLine="360"/>
        <w:spacing w:after="0" w:line="308" w:lineRule="auto"/>
        <w:rPr>
          <w:sz w:val="20"/>
          <w:szCs w:val="20"/>
          <w:color w:val="auto"/>
        </w:rPr>
      </w:pPr>
      <w:r>
        <w:rPr>
          <w:rFonts w:ascii="Arial" w:cs="Arial" w:eastAsia="Arial" w:hAnsi="Arial"/>
          <w:sz w:val="14"/>
          <w:szCs w:val="14"/>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35" w:lineRule="exact"/>
        <w:rPr>
          <w:sz w:val="20"/>
          <w:szCs w:val="20"/>
          <w:color w:val="auto"/>
        </w:rPr>
      </w:pPr>
    </w:p>
    <w:p>
      <w:pPr>
        <w:ind w:right="60" w:firstLine="360"/>
        <w:spacing w:after="0" w:line="297" w:lineRule="auto"/>
        <w:rPr>
          <w:sz w:val="20"/>
          <w:szCs w:val="20"/>
          <w:color w:val="auto"/>
        </w:rPr>
      </w:pPr>
      <w:r>
        <w:rPr>
          <w:rFonts w:ascii="Arial" w:cs="Arial" w:eastAsia="Arial" w:hAnsi="Arial"/>
          <w:sz w:val="14"/>
          <w:szCs w:val="14"/>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1" w:name="page82"/>
    <w:bookmarkEnd w:id="81"/>
    <w:p>
      <w:pPr>
        <w:jc w:val="both"/>
        <w:ind w:right="80" w:firstLine="360"/>
        <w:spacing w:after="0" w:line="264" w:lineRule="auto"/>
        <w:rPr>
          <w:sz w:val="20"/>
          <w:szCs w:val="20"/>
          <w:color w:val="auto"/>
        </w:rPr>
      </w:pPr>
      <w:r>
        <w:rPr>
          <w:rFonts w:ascii="Arial" w:cs="Arial" w:eastAsia="Arial" w:hAnsi="Arial"/>
          <w:sz w:val="16"/>
          <w:szCs w:val="16"/>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96" w:lineRule="exact"/>
        <w:rPr>
          <w:sz w:val="20"/>
          <w:szCs w:val="20"/>
          <w:color w:val="auto"/>
        </w:rPr>
      </w:pPr>
    </w:p>
    <w:p>
      <w:pPr>
        <w:ind w:right="200" w:firstLine="360"/>
        <w:spacing w:after="0" w:line="266"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 FEDERAL INCOME TAX CONSEQUENCES</w:t>
      </w:r>
    </w:p>
    <w:p>
      <w:pPr>
        <w:spacing w:after="0" w:line="2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4"/>
          <w:szCs w:val="14"/>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44" w:lineRule="exact"/>
        <w:rPr>
          <w:sz w:val="20"/>
          <w:szCs w:val="20"/>
          <w:color w:val="auto"/>
        </w:rPr>
      </w:pPr>
    </w:p>
    <w:p>
      <w:pPr>
        <w:ind w:right="20" w:firstLine="360"/>
        <w:spacing w:after="0" w:line="302" w:lineRule="auto"/>
        <w:rPr>
          <w:sz w:val="20"/>
          <w:szCs w:val="20"/>
          <w:color w:val="auto"/>
        </w:rPr>
      </w:pPr>
      <w:r>
        <w:rPr>
          <w:rFonts w:ascii="Arial" w:cs="Arial" w:eastAsia="Arial" w:hAnsi="Arial"/>
          <w:sz w:val="14"/>
          <w:szCs w:val="14"/>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40" w:lineRule="exact"/>
        <w:rPr>
          <w:sz w:val="20"/>
          <w:szCs w:val="20"/>
          <w:color w:val="auto"/>
        </w:rPr>
      </w:pPr>
    </w:p>
    <w:p>
      <w:pPr>
        <w:ind w:firstLine="360"/>
        <w:spacing w:after="0" w:line="289" w:lineRule="auto"/>
        <w:rPr>
          <w:sz w:val="20"/>
          <w:szCs w:val="20"/>
          <w:color w:val="auto"/>
        </w:rPr>
      </w:pPr>
      <w:r>
        <w:rPr>
          <w:rFonts w:ascii="Arial" w:cs="Arial" w:eastAsia="Arial" w:hAnsi="Arial"/>
          <w:sz w:val="15"/>
          <w:szCs w:val="15"/>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42" w:lineRule="exact"/>
        <w:rPr>
          <w:sz w:val="20"/>
          <w:szCs w:val="20"/>
          <w:color w:val="auto"/>
        </w:rPr>
      </w:pPr>
    </w:p>
    <w:p>
      <w:pPr>
        <w:ind w:right="20" w:firstLine="288"/>
        <w:spacing w:after="0" w:line="357" w:lineRule="auto"/>
        <w:rPr>
          <w:sz w:val="20"/>
          <w:szCs w:val="20"/>
          <w:color w:val="auto"/>
        </w:rPr>
      </w:pPr>
      <w:r>
        <w:rPr>
          <w:rFonts w:ascii="Arial" w:cs="Arial" w:eastAsia="Arial" w:hAnsi="Arial"/>
          <w:sz w:val="14"/>
          <w:szCs w:val="14"/>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Distributions</w:t>
      </w:r>
    </w:p>
    <w:p>
      <w:pPr>
        <w:spacing w:after="0" w:line="200" w:lineRule="exact"/>
        <w:rPr>
          <w:sz w:val="20"/>
          <w:szCs w:val="20"/>
          <w:color w:val="auto"/>
        </w:rPr>
      </w:pPr>
    </w:p>
    <w:p>
      <w:pPr>
        <w:ind w:right="60" w:firstLine="360"/>
        <w:spacing w:after="0" w:line="274" w:lineRule="auto"/>
        <w:rPr>
          <w:sz w:val="20"/>
          <w:szCs w:val="20"/>
          <w:color w:val="auto"/>
        </w:rPr>
      </w:pPr>
      <w:r>
        <w:rPr>
          <w:rFonts w:ascii="Arial" w:cs="Arial" w:eastAsia="Arial" w:hAnsi="Arial"/>
          <w:sz w:val="15"/>
          <w:szCs w:val="15"/>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2" w:name="page83"/>
    <w:bookmarkEnd w:id="82"/>
    <w:p>
      <w:pPr>
        <w:ind w:firstLine="360"/>
        <w:spacing w:after="0" w:line="276" w:lineRule="auto"/>
        <w:rPr>
          <w:sz w:val="20"/>
          <w:szCs w:val="20"/>
          <w:color w:val="auto"/>
        </w:rPr>
      </w:pPr>
      <w:r>
        <w:rPr>
          <w:rFonts w:ascii="Arial" w:cs="Arial" w:eastAsia="Arial" w:hAnsi="Arial"/>
          <w:sz w:val="15"/>
          <w:szCs w:val="15"/>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55"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Sale, exchange or other disposition of the ordinary shares</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7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6"/>
          <w:szCs w:val="16"/>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3" w:name="page84"/>
    <w:bookmarkEnd w:id="83"/>
    <w:p>
      <w:pPr>
        <w:ind w:left="364"/>
        <w:spacing w:after="0"/>
        <w:rPr>
          <w:sz w:val="20"/>
          <w:szCs w:val="20"/>
          <w:color w:val="auto"/>
        </w:rPr>
      </w:pPr>
      <w:r>
        <w:rPr>
          <w:rFonts w:ascii="Arial" w:cs="Arial" w:eastAsia="Arial" w:hAnsi="Arial"/>
          <w:sz w:val="16"/>
          <w:szCs w:val="16"/>
          <w:b w:val="1"/>
          <w:bCs w:val="1"/>
          <w:i w:val="1"/>
          <w:iCs w:val="1"/>
          <w:color w:val="auto"/>
        </w:rPr>
        <w:t>Passive foreign investment company consequences</w:t>
      </w:r>
    </w:p>
    <w:p>
      <w:pPr>
        <w:spacing w:after="0" w:line="200" w:lineRule="exact"/>
        <w:rPr>
          <w:sz w:val="20"/>
          <w:szCs w:val="20"/>
          <w:color w:val="auto"/>
        </w:rPr>
      </w:pPr>
    </w:p>
    <w:p>
      <w:pPr>
        <w:ind w:left="4" w:right="20" w:firstLine="360"/>
        <w:spacing w:after="0" w:line="254"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0" w:lineRule="exact"/>
        <w:rPr>
          <w:sz w:val="20"/>
          <w:szCs w:val="20"/>
          <w:color w:val="auto"/>
        </w:rPr>
      </w:pPr>
    </w:p>
    <w:p>
      <w:pPr>
        <w:ind w:left="4" w:firstLine="360"/>
        <w:spacing w:after="0" w:line="276" w:lineRule="auto"/>
        <w:rPr>
          <w:sz w:val="20"/>
          <w:szCs w:val="20"/>
          <w:color w:val="auto"/>
        </w:rPr>
      </w:pPr>
      <w:r>
        <w:rPr>
          <w:rFonts w:ascii="Arial" w:cs="Arial" w:eastAsia="Arial" w:hAnsi="Arial"/>
          <w:sz w:val="15"/>
          <w:szCs w:val="15"/>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w:t>
      </w:r>
    </w:p>
    <w:p>
      <w:pPr>
        <w:spacing w:after="0" w:line="32" w:lineRule="exact"/>
        <w:rPr>
          <w:sz w:val="20"/>
          <w:szCs w:val="20"/>
          <w:color w:val="auto"/>
        </w:rPr>
      </w:pPr>
    </w:p>
    <w:p>
      <w:pPr>
        <w:jc w:val="both"/>
        <w:ind w:left="4" w:right="80" w:hanging="4"/>
        <w:spacing w:after="0" w:line="286" w:lineRule="auto"/>
        <w:tabs>
          <w:tab w:leader="none" w:pos="195"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w:t>
      </w:r>
    </w:p>
    <w:p>
      <w:pPr>
        <w:spacing w:after="0" w:line="1" w:lineRule="exact"/>
        <w:rPr>
          <w:rFonts w:ascii="Arial" w:cs="Arial" w:eastAsia="Arial" w:hAnsi="Arial"/>
          <w:sz w:val="14"/>
          <w:szCs w:val="14"/>
          <w:color w:val="auto"/>
        </w:rPr>
      </w:pPr>
    </w:p>
    <w:p>
      <w:pPr>
        <w:ind w:left="4" w:right="60"/>
        <w:spacing w:after="0" w:line="252" w:lineRule="auto"/>
        <w:rPr>
          <w:rFonts w:ascii="Arial" w:cs="Arial" w:eastAsia="Arial" w:hAnsi="Arial"/>
          <w:sz w:val="14"/>
          <w:szCs w:val="14"/>
          <w:color w:val="auto"/>
        </w:rPr>
      </w:pPr>
      <w:r>
        <w:rPr>
          <w:rFonts w:ascii="Arial" w:cs="Arial" w:eastAsia="Arial" w:hAnsi="Arial"/>
          <w:sz w:val="16"/>
          <w:szCs w:val="16"/>
          <w:color w:val="auto"/>
        </w:rPr>
        <w:t>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74" w:lineRule="exact"/>
        <w:rPr>
          <w:sz w:val="20"/>
          <w:szCs w:val="20"/>
          <w:color w:val="auto"/>
        </w:rPr>
      </w:pPr>
    </w:p>
    <w:p>
      <w:pPr>
        <w:ind w:left="4" w:firstLine="360"/>
        <w:spacing w:after="0" w:line="273" w:lineRule="auto"/>
        <w:rPr>
          <w:sz w:val="20"/>
          <w:szCs w:val="20"/>
          <w:color w:val="auto"/>
        </w:rPr>
      </w:pPr>
      <w:r>
        <w:rPr>
          <w:rFonts w:ascii="Arial" w:cs="Arial" w:eastAsia="Arial" w:hAnsi="Arial"/>
          <w:sz w:val="15"/>
          <w:szCs w:val="15"/>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56" w:lineRule="exact"/>
        <w:rPr>
          <w:sz w:val="20"/>
          <w:szCs w:val="20"/>
          <w:color w:val="auto"/>
        </w:rPr>
      </w:pPr>
    </w:p>
    <w:p>
      <w:pPr>
        <w:ind w:left="4" w:right="20" w:firstLine="360"/>
        <w:spacing w:after="0" w:line="256" w:lineRule="auto"/>
        <w:rPr>
          <w:sz w:val="20"/>
          <w:szCs w:val="20"/>
          <w:color w:val="auto"/>
        </w:rPr>
      </w:pPr>
      <w:r>
        <w:rPr>
          <w:rFonts w:ascii="Arial" w:cs="Arial" w:eastAsia="Arial" w:hAnsi="Arial"/>
          <w:sz w:val="16"/>
          <w:szCs w:val="16"/>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84" w:name="page85"/>
    <w:bookmarkEnd w:id="84"/>
    <w:p>
      <w:pPr>
        <w:jc w:val="both"/>
        <w:ind w:right="40" w:firstLine="360"/>
        <w:spacing w:after="0" w:line="26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U.S. Holder who is a shareholder of a PFIC must file an annual report containing certain information.</w:t>
      </w:r>
    </w:p>
    <w:p>
      <w:pPr>
        <w:spacing w:after="0" w:line="196" w:lineRule="exact"/>
        <w:rPr>
          <w:sz w:val="20"/>
          <w:szCs w:val="20"/>
          <w:color w:val="auto"/>
        </w:rPr>
      </w:pPr>
    </w:p>
    <w:p>
      <w:pPr>
        <w:ind w:right="360" w:firstLine="360"/>
        <w:spacing w:after="0" w:line="292" w:lineRule="auto"/>
        <w:rPr>
          <w:sz w:val="20"/>
          <w:szCs w:val="20"/>
          <w:color w:val="auto"/>
        </w:rPr>
      </w:pPr>
      <w:r>
        <w:rPr>
          <w:rFonts w:ascii="Arial" w:cs="Arial" w:eastAsia="Arial" w:hAnsi="Arial"/>
          <w:sz w:val="15"/>
          <w:szCs w:val="15"/>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Certain reporting requirements with respect to payments of Offer Price</w:t>
      </w:r>
    </w:p>
    <w:p>
      <w:pPr>
        <w:spacing w:after="0" w:line="204"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5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6"/>
          <w:szCs w:val="16"/>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20" w:firstLine="360"/>
        <w:spacing w:after="0" w:line="259"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60" w:type="dxa"/>
            <w:vAlign w:val="bottom"/>
            <w:gridSpan w:val="3"/>
          </w:tcPr>
          <w:p>
            <w:pPr>
              <w:spacing w:after="0"/>
              <w:rPr>
                <w:sz w:val="20"/>
                <w:szCs w:val="20"/>
                <w:color w:val="auto"/>
              </w:rPr>
            </w:pPr>
            <w:r>
              <w:rPr>
                <w:rFonts w:ascii="Arial" w:cs="Arial" w:eastAsia="Arial" w:hAnsi="Arial"/>
                <w:sz w:val="16"/>
                <w:szCs w:val="16"/>
                <w:b w:val="1"/>
                <w:bCs w:val="1"/>
                <w:color w:val="auto"/>
              </w:rPr>
              <w:t>Underwriters</w:t>
            </w: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Number of Shares</w:t>
            </w:r>
          </w:p>
        </w:tc>
      </w:tr>
      <w:tr>
        <w:trPr>
          <w:trHeight w:val="20"/>
        </w:trPr>
        <w:tc>
          <w:tcPr>
            <w:tcW w:w="920" w:type="dxa"/>
            <w:vAlign w:val="bottom"/>
            <w:tcBorders>
              <w:top w:val="single" w:sz="8" w:color="auto"/>
              <w:bottom w:val="single" w:sz="8" w:color="CCFFCC"/>
            </w:tcBorders>
          </w:tcPr>
          <w:p>
            <w:pPr>
              <w:spacing w:after="0" w:line="20" w:lineRule="exact"/>
              <w:rPr>
                <w:sz w:val="1"/>
                <w:szCs w:val="1"/>
                <w:color w:val="auto"/>
              </w:rPr>
            </w:pPr>
          </w:p>
        </w:tc>
        <w:tc>
          <w:tcPr>
            <w:tcW w:w="89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r>
      <w:tr>
        <w:trPr>
          <w:trHeight w:val="180"/>
        </w:trPr>
        <w:tc>
          <w:tcPr>
            <w:tcW w:w="9840" w:type="dxa"/>
            <w:vAlign w:val="bottom"/>
            <w:gridSpan w:val="2"/>
            <w:shd w:val="clear" w:color="auto" w:fill="CCFFCC"/>
          </w:tcPr>
          <w:p>
            <w:pPr>
              <w:ind w:left="80"/>
              <w:spacing w:after="0" w:line="181" w:lineRule="exact"/>
              <w:rPr>
                <w:sz w:val="20"/>
                <w:szCs w:val="20"/>
                <w:color w:val="auto"/>
              </w:rPr>
            </w:pPr>
            <w:r>
              <w:rPr>
                <w:rFonts w:ascii="Arial" w:cs="Arial" w:eastAsia="Arial" w:hAnsi="Arial"/>
                <w:sz w:val="16"/>
                <w:szCs w:val="16"/>
                <w:color w:val="auto"/>
              </w:rPr>
              <w:t>Aegis Capital Corp.</w:t>
            </w: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jc w:val="right"/>
              <w:spacing w:after="0" w:line="181" w:lineRule="exact"/>
              <w:rPr>
                <w:sz w:val="20"/>
                <w:szCs w:val="20"/>
                <w:color w:val="auto"/>
              </w:rPr>
            </w:pPr>
            <w:r>
              <w:rPr>
                <w:rFonts w:ascii="Arial" w:cs="Arial" w:eastAsia="Arial" w:hAnsi="Arial"/>
                <w:sz w:val="16"/>
                <w:szCs w:val="16"/>
                <w:color w:val="auto"/>
              </w:rPr>
              <w:t>2,737,500</w:t>
            </w: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192"/>
        </w:trPr>
        <w:tc>
          <w:tcPr>
            <w:tcW w:w="9960" w:type="dxa"/>
            <w:vAlign w:val="bottom"/>
            <w:gridSpan w:val="3"/>
          </w:tcPr>
          <w:p>
            <w:pPr>
              <w:ind w:left="80"/>
              <w:spacing w:after="0"/>
              <w:rPr>
                <w:sz w:val="20"/>
                <w:szCs w:val="20"/>
                <w:color w:val="auto"/>
              </w:rPr>
            </w:pPr>
            <w:r>
              <w:rPr>
                <w:rFonts w:ascii="Arial" w:cs="Arial" w:eastAsia="Arial" w:hAnsi="Arial"/>
                <w:sz w:val="16"/>
                <w:szCs w:val="16"/>
                <w:color w:val="auto"/>
              </w:rPr>
              <w:t>Sunrise Securities Corp.</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156,250</w:t>
            </w:r>
          </w:p>
        </w:tc>
        <w:tc>
          <w:tcPr>
            <w:tcW w:w="100" w:type="dxa"/>
            <w:vAlign w:val="bottom"/>
          </w:tcPr>
          <w:p>
            <w:pPr>
              <w:spacing w:after="0"/>
              <w:rPr>
                <w:sz w:val="16"/>
                <w:szCs w:val="16"/>
                <w:color w:val="auto"/>
              </w:rPr>
            </w:pPr>
          </w:p>
        </w:tc>
      </w:tr>
      <w:tr>
        <w:trPr>
          <w:trHeight w:val="204"/>
        </w:trPr>
        <w:tc>
          <w:tcPr>
            <w:tcW w:w="9960" w:type="dxa"/>
            <w:vAlign w:val="bottom"/>
            <w:gridSpan w:val="3"/>
            <w:shd w:val="clear" w:color="auto" w:fill="CCFFCC"/>
          </w:tcPr>
          <w:p>
            <w:pPr>
              <w:ind w:left="80"/>
              <w:spacing w:after="0"/>
              <w:rPr>
                <w:sz w:val="20"/>
                <w:szCs w:val="20"/>
                <w:color w:val="auto"/>
              </w:rPr>
            </w:pPr>
            <w:r>
              <w:rPr>
                <w:rFonts w:ascii="Arial" w:cs="Arial" w:eastAsia="Arial" w:hAnsi="Arial"/>
                <w:sz w:val="16"/>
                <w:szCs w:val="16"/>
                <w:color w:val="auto"/>
              </w:rPr>
              <w:t>Feltl &amp; Company, Inc.</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231,250</w:t>
            </w:r>
          </w:p>
        </w:tc>
        <w:tc>
          <w:tcPr>
            <w:tcW w:w="100" w:type="dxa"/>
            <w:vAlign w:val="bottom"/>
            <w:shd w:val="clear" w:color="auto" w:fill="CCFFCC"/>
          </w:tcPr>
          <w:p>
            <w:pPr>
              <w:spacing w:after="0"/>
              <w:rPr>
                <w:sz w:val="17"/>
                <w:szCs w:val="17"/>
                <w:color w:val="auto"/>
              </w:rPr>
            </w:pPr>
          </w:p>
        </w:tc>
      </w:tr>
      <w:tr>
        <w:trPr>
          <w:trHeight w:val="196"/>
        </w:trPr>
        <w:tc>
          <w:tcPr>
            <w:tcW w:w="9960" w:type="dxa"/>
            <w:vAlign w:val="bottom"/>
            <w:gridSpan w:val="3"/>
          </w:tcPr>
          <w:p>
            <w:pPr>
              <w:ind w:left="400"/>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3,125,000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6"/>
          <w:szCs w:val="16"/>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$0.32 per share. If all of the shares offered by us are not sold at the public offering price, the underwriters may change the offering price and other selling terms by means of a supplement to this prospectus.</w:t>
      </w:r>
    </w:p>
    <w:p>
      <w:pPr>
        <w:spacing w:after="0" w:line="162"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6"/>
          <w:szCs w:val="16"/>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62"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52"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right="20" w:firstLine="360"/>
        <w:spacing w:after="0" w:line="282" w:lineRule="auto"/>
        <w:rPr>
          <w:sz w:val="20"/>
          <w:szCs w:val="20"/>
          <w:color w:val="auto"/>
        </w:rPr>
      </w:pPr>
      <w:r>
        <w:rPr>
          <w:rFonts w:ascii="Arial" w:cs="Arial" w:eastAsia="Arial" w:hAnsi="Arial"/>
          <w:sz w:val="15"/>
          <w:szCs w:val="15"/>
          <w:color w:val="auto"/>
        </w:rPr>
        <w:t>We have granted the underwriters an over-allotment option. This option, which is exercisable for up to 45 days after the date of this prospectus, permits the underwriters to purchase a maximum of 458,125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$28,665,000, and the total proceeds to us, before expenses, will be $26,658,450.</w:t>
      </w:r>
    </w:p>
    <w:p>
      <w:pPr>
        <w:spacing w:after="0" w:line="150"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i w:val="1"/>
          <w:iCs w:val="1"/>
          <w:color w:val="auto"/>
        </w:rPr>
        <w:t xml:space="preserve">Underwriting Discounts and Commissions. </w:t>
      </w:r>
      <w:r>
        <w:rPr>
          <w:rFonts w:ascii="Arial" w:cs="Arial" w:eastAsia="Arial" w:hAnsi="Arial"/>
          <w:sz w:val="16"/>
          <w:szCs w:val="16"/>
          <w:color w:val="auto"/>
        </w:rPr>
        <w:t>We have agreed to pay underwriting discounts and commissions of 7% of the gross proceeds of the offering. The following table</w:t>
      </w:r>
      <w:r>
        <w:rPr>
          <w:rFonts w:ascii="Arial" w:cs="Arial" w:eastAsia="Arial" w:hAnsi="Arial"/>
          <w:sz w:val="16"/>
          <w:szCs w:val="16"/>
          <w:i w:val="1"/>
          <w:iCs w:val="1"/>
          <w:color w:val="auto"/>
        </w:rPr>
        <w:t xml:space="preserve"> </w:t>
      </w:r>
      <w:r>
        <w:rPr>
          <w:rFonts w:ascii="Arial" w:cs="Arial" w:eastAsia="Arial" w:hAnsi="Arial"/>
          <w:sz w:val="16"/>
          <w:szCs w:val="16"/>
          <w:color w:val="auto"/>
        </w:rPr>
        <w:t>shows the public offering price, underwriting discounts and commissions and expenses to be paid by us to the underwriters and the proceeds of the public offering, before expenses, to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Without over-</w:t>
            </w:r>
          </w:p>
        </w:tc>
        <w:tc>
          <w:tcPr>
            <w:tcW w:w="10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With full over-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8"/>
              </w:rPr>
              <w:t>allotment exercise</w:t>
            </w: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allotment exercise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Public offering price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25,000,000</w:t>
            </w:r>
          </w:p>
        </w:tc>
        <w:tc>
          <w:tcPr>
            <w:tcW w:w="3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28,665,000</w:t>
            </w: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 paid by us (per ordinary share)</w:t>
            </w:r>
          </w:p>
        </w:tc>
        <w:tc>
          <w:tcPr>
            <w:tcW w:w="100" w:type="dxa"/>
            <w:vAlign w:val="bottom"/>
            <w:shd w:val="clear" w:color="auto" w:fill="CCFFCC"/>
          </w:tcPr>
          <w:p>
            <w:pPr>
              <w:spacing w:after="0"/>
              <w:rPr>
                <w:sz w:val="16"/>
                <w:szCs w:val="16"/>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FFCC"/>
          </w:tcPr>
          <w:p>
            <w:pPr>
              <w:spacing w:after="0"/>
              <w:rPr>
                <w:sz w:val="16"/>
                <w:szCs w:val="16"/>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 paid by us (total)</w:t>
            </w:r>
          </w:p>
        </w:tc>
        <w:tc>
          <w:tcPr>
            <w:tcW w:w="100" w:type="dxa"/>
            <w:vAlign w:val="bottom"/>
            <w:shd w:val="clear" w:color="auto" w:fill="CCFFCC"/>
          </w:tcPr>
          <w:p>
            <w:pPr>
              <w:spacing w:after="0"/>
              <w:rPr>
                <w:sz w:val="16"/>
                <w:szCs w:val="16"/>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1,750,000</w:t>
            </w:r>
          </w:p>
        </w:tc>
        <w:tc>
          <w:tcPr>
            <w:tcW w:w="100" w:type="dxa"/>
            <w:vAlign w:val="bottom"/>
            <w:shd w:val="clear" w:color="auto" w:fill="CCFFCC"/>
          </w:tcPr>
          <w:p>
            <w:pPr>
              <w:spacing w:after="0"/>
              <w:rPr>
                <w:sz w:val="16"/>
                <w:szCs w:val="16"/>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2,006,550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6"/>
                <w:szCs w:val="16"/>
                <w:color w:val="auto"/>
              </w:rPr>
              <w:t>Proceeds before other expenses (1)</w:t>
            </w:r>
          </w:p>
        </w:tc>
        <w:tc>
          <w:tcPr>
            <w:tcW w:w="100" w:type="dxa"/>
            <w:vAlign w:val="bottom"/>
            <w:shd w:val="clear" w:color="auto" w:fill="CCFFCC"/>
          </w:tcPr>
          <w:p>
            <w:pPr>
              <w:spacing w:after="0"/>
              <w:rPr>
                <w:sz w:val="16"/>
                <w:szCs w:val="16"/>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23,250,000</w:t>
            </w:r>
          </w:p>
        </w:tc>
        <w:tc>
          <w:tcPr>
            <w:tcW w:w="100" w:type="dxa"/>
            <w:vAlign w:val="bottom"/>
            <w:shd w:val="clear" w:color="auto" w:fill="CCFFCC"/>
          </w:tcPr>
          <w:p>
            <w:pPr>
              <w:spacing w:after="0"/>
              <w:rPr>
                <w:sz w:val="16"/>
                <w:szCs w:val="16"/>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26,658,450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80" w:right="20" w:hanging="296"/>
        <w:spacing w:after="0" w:line="277"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w:t>
      </w:r>
    </w:p>
    <w:p>
      <w:pPr>
        <w:spacing w:after="0" w:line="151"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6"/>
          <w:szCs w:val="16"/>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1"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6"/>
          <w:szCs w:val="16"/>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67" w:lineRule="exact"/>
        <w:rPr>
          <w:sz w:val="20"/>
          <w:szCs w:val="20"/>
          <w:color w:val="auto"/>
        </w:rPr>
      </w:pPr>
    </w:p>
    <w:p>
      <w:pPr>
        <w:ind w:left="580" w:right="20"/>
        <w:spacing w:after="0" w:line="277"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$808,000 and are payable by us.</w:t>
      </w:r>
    </w:p>
    <w:p>
      <w:pPr>
        <w:spacing w:after="0" w:line="15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 We have agreed to grant to the Representative the right of first refusal to act as co-manager/co-book runner on customary terms for such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6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4"/>
          <w:szCs w:val="14"/>
          <w:i w:val="1"/>
          <w:iCs w:val="1"/>
          <w:color w:val="auto"/>
        </w:rPr>
        <w:t>Representative’s Warrants</w:t>
      </w:r>
      <w:r>
        <w:rPr>
          <w:rFonts w:ascii="Arial" w:cs="Arial" w:eastAsia="Arial" w:hAnsi="Arial"/>
          <w:sz w:val="14"/>
          <w:szCs w:val="14"/>
          <w:color w:val="auto"/>
        </w:rPr>
        <w:t>. We have also agreed to issue to the Representative or its designees, at the closing of this offering, warrants (the “Representative’s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50" w:lineRule="exact"/>
        <w:rPr>
          <w:sz w:val="20"/>
          <w:szCs w:val="20"/>
          <w:color w:val="auto"/>
        </w:rPr>
      </w:pPr>
    </w:p>
    <w:p>
      <w:pPr>
        <w:ind w:left="400"/>
        <w:spacing w:after="0"/>
        <w:tabs>
          <w:tab w:leader="none" w:pos="2120" w:val="left"/>
        </w:tabs>
        <w:rPr>
          <w:sz w:val="20"/>
          <w:szCs w:val="20"/>
          <w:color w:val="auto"/>
        </w:rPr>
      </w:pPr>
      <w:r>
        <w:rPr>
          <w:rFonts w:ascii="Arial" w:cs="Arial" w:eastAsia="Arial" w:hAnsi="Arial"/>
          <w:sz w:val="16"/>
          <w:szCs w:val="16"/>
          <w:i w:val="1"/>
          <w:iCs w:val="1"/>
          <w:color w:val="auto"/>
        </w:rPr>
        <w:t>Discretionary Accounts.</w:t>
      </w:r>
      <w:r>
        <w:rPr>
          <w:sz w:val="20"/>
          <w:szCs w:val="20"/>
          <w:color w:val="auto"/>
        </w:rPr>
        <w:tab/>
      </w:r>
      <w:r>
        <w:rPr>
          <w:rFonts w:ascii="Arial" w:cs="Arial" w:eastAsia="Arial" w:hAnsi="Arial"/>
          <w:sz w:val="14"/>
          <w:szCs w:val="14"/>
          <w:color w:val="auto"/>
        </w:rPr>
        <w:t>The underwriters do not intend to confirm sales of the shares offered hereby to any accounts over which they have discretionary authority.</w:t>
      </w:r>
    </w:p>
    <w:p>
      <w:pPr>
        <w:spacing w:after="0" w:line="200"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67" w:lineRule="exact"/>
        <w:rPr>
          <w:sz w:val="20"/>
          <w:szCs w:val="20"/>
          <w:color w:val="auto"/>
        </w:rPr>
      </w:pPr>
    </w:p>
    <w:p>
      <w:pPr>
        <w:ind w:left="900" w:right="420" w:hanging="339"/>
        <w:spacing w:after="0" w:line="351" w:lineRule="auto"/>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05" w:lineRule="exact"/>
        <w:rPr>
          <w:rFonts w:ascii="Arial" w:cs="Arial" w:eastAsia="Arial" w:hAnsi="Arial"/>
          <w:sz w:val="14"/>
          <w:szCs w:val="14"/>
          <w:color w:val="auto"/>
        </w:rPr>
      </w:pPr>
    </w:p>
    <w:p>
      <w:pPr>
        <w:ind w:left="900" w:right="200" w:hanging="339"/>
        <w:spacing w:after="0" w:line="26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2" w:right="21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whether any such transaction described above is to be settled by delivery of ordinary shares or other securities, in cash or otherwise.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restrictions described above, applicable to us, do not apply to:</w:t>
      </w:r>
    </w:p>
    <w:p>
      <w:pPr>
        <w:spacing w:after="0" w:line="200" w:lineRule="exact"/>
        <w:rPr>
          <w:sz w:val="20"/>
          <w:szCs w:val="20"/>
          <w:color w:val="auto"/>
        </w:rPr>
      </w:pPr>
    </w:p>
    <w:p>
      <w:pPr>
        <w:ind w:left="900" w:hanging="33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sale of shares of common stock to the underwriters pursuant to the underwriting agreement;</w:t>
      </w:r>
    </w:p>
    <w:p>
      <w:pPr>
        <w:spacing w:after="0" w:line="200" w:lineRule="exact"/>
        <w:rPr>
          <w:rFonts w:ascii="Arial" w:cs="Arial" w:eastAsia="Arial" w:hAnsi="Arial"/>
          <w:sz w:val="16"/>
          <w:szCs w:val="16"/>
          <w:color w:val="auto"/>
        </w:rPr>
      </w:pPr>
    </w:p>
    <w:p>
      <w:pPr>
        <w:ind w:left="900" w:right="70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51" w:lineRule="exact"/>
        <w:rPr>
          <w:rFonts w:ascii="Arial" w:cs="Arial" w:eastAsia="Arial" w:hAnsi="Arial"/>
          <w:sz w:val="16"/>
          <w:szCs w:val="16"/>
          <w:color w:val="auto"/>
        </w:rPr>
      </w:pPr>
    </w:p>
    <w:p>
      <w:pPr>
        <w:ind w:left="900" w:right="100" w:hanging="339"/>
        <w:spacing w:after="0" w:line="259"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66" w:lineRule="exact"/>
        <w:rPr>
          <w:rFonts w:ascii="Arial" w:cs="Arial" w:eastAsia="Arial" w:hAnsi="Arial"/>
          <w:sz w:val="16"/>
          <w:szCs w:val="16"/>
          <w:color w:val="auto"/>
        </w:rPr>
      </w:pPr>
    </w:p>
    <w:p>
      <w:pPr>
        <w:ind w:left="900" w:right="4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52" w:lineRule="exact"/>
        <w:rPr>
          <w:sz w:val="20"/>
          <w:szCs w:val="20"/>
          <w:color w:val="auto"/>
        </w:rPr>
      </w:pPr>
    </w:p>
    <w:p>
      <w:pPr>
        <w:ind w:firstLine="392"/>
        <w:spacing w:after="0" w:line="256" w:lineRule="auto"/>
        <w:rPr>
          <w:sz w:val="20"/>
          <w:szCs w:val="20"/>
          <w:color w:val="auto"/>
        </w:rPr>
      </w:pPr>
      <w:r>
        <w:rPr>
          <w:rFonts w:ascii="Arial" w:cs="Arial" w:eastAsia="Arial" w:hAnsi="Arial"/>
          <w:sz w:val="16"/>
          <w:szCs w:val="16"/>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68" w:lineRule="exact"/>
        <w:rPr>
          <w:sz w:val="20"/>
          <w:szCs w:val="20"/>
          <w:color w:val="auto"/>
        </w:rPr>
      </w:pPr>
    </w:p>
    <w:p>
      <w:pPr>
        <w:ind w:right="100" w:firstLine="400"/>
        <w:spacing w:after="0" w:line="276" w:lineRule="auto"/>
        <w:rPr>
          <w:sz w:val="20"/>
          <w:szCs w:val="20"/>
          <w:color w:val="auto"/>
        </w:rPr>
      </w:pPr>
      <w:r>
        <w:rPr>
          <w:rFonts w:ascii="Arial" w:cs="Arial" w:eastAsia="Arial" w:hAnsi="Arial"/>
          <w:sz w:val="15"/>
          <w:szCs w:val="15"/>
          <w:i w:val="1"/>
          <w:iCs w:val="1"/>
          <w:color w:val="auto"/>
        </w:rPr>
        <w:t xml:space="preserve">Electronic Offer, Sale and Distribution of Shares. </w:t>
      </w:r>
      <w:r>
        <w:rPr>
          <w:rFonts w:ascii="Arial" w:cs="Arial" w:eastAsia="Arial" w:hAnsi="Arial"/>
          <w:sz w:val="15"/>
          <w:szCs w:val="15"/>
          <w:color w:val="auto"/>
        </w:rPr>
        <w:t>A prospectus in electronic format may be made available on the websites maintained by one or more of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5"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may in the future provide various investment banking, commercial banking and other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6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 syndicate covering transactions,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bids and purchases to cover positions created by short sales.</w:t>
      </w:r>
    </w:p>
    <w:p>
      <w:pPr>
        <w:spacing w:after="0" w:line="152" w:lineRule="exact"/>
        <w:rPr>
          <w:sz w:val="20"/>
          <w:szCs w:val="20"/>
          <w:color w:val="auto"/>
        </w:rPr>
      </w:pPr>
    </w:p>
    <w:p>
      <w:pPr>
        <w:ind w:left="360" w:right="180" w:hanging="4"/>
        <w:spacing w:after="0" w:line="27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51" w:lineRule="exact"/>
        <w:rPr>
          <w:rFonts w:ascii="Arial" w:cs="Arial" w:eastAsia="Arial" w:hAnsi="Arial"/>
          <w:sz w:val="16"/>
          <w:szCs w:val="16"/>
          <w:color w:val="A6A6A6"/>
        </w:rPr>
      </w:pPr>
    </w:p>
    <w:p>
      <w:pPr>
        <w:ind w:left="360" w:right="40" w:hanging="4"/>
        <w:spacing w:after="0" w:line="25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8" w:name="page89"/>
    <w:bookmarkEnd w:id="88"/>
    <w:p>
      <w:pPr>
        <w:ind w:left="360" w:right="20" w:hanging="4"/>
        <w:spacing w:after="0" w:line="276" w:lineRule="auto"/>
        <w:tabs>
          <w:tab w:leader="none" w:pos="1000" w:val="left"/>
        </w:tabs>
        <w:numPr>
          <w:ilvl w:val="0"/>
          <w:numId w:val="80"/>
        </w:numPr>
        <w:rPr>
          <w:rFonts w:ascii="Arial" w:cs="Arial" w:eastAsia="Arial" w:hAnsi="Arial"/>
          <w:sz w:val="15"/>
          <w:szCs w:val="15"/>
          <w:color w:val="A6A6A6"/>
        </w:rPr>
      </w:pPr>
      <w:r>
        <w:rPr>
          <w:rFonts w:ascii="Arial" w:cs="Arial" w:eastAsia="Arial" w:hAnsi="Arial"/>
          <w:sz w:val="15"/>
          <w:szCs w:val="15"/>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55" w:lineRule="exact"/>
        <w:rPr>
          <w:rFonts w:ascii="Arial" w:cs="Arial" w:eastAsia="Arial" w:hAnsi="Arial"/>
          <w:sz w:val="15"/>
          <w:szCs w:val="15"/>
          <w:color w:val="A6A6A6"/>
        </w:rPr>
      </w:pPr>
    </w:p>
    <w:p>
      <w:pPr>
        <w:ind w:left="360" w:right="320" w:hanging="4"/>
        <w:spacing w:after="0" w:line="277" w:lineRule="auto"/>
        <w:tabs>
          <w:tab w:leader="none" w:pos="104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52" w:lineRule="exact"/>
        <w:rPr>
          <w:sz w:val="20"/>
          <w:szCs w:val="20"/>
          <w:color w:val="auto"/>
        </w:rPr>
      </w:pPr>
    </w:p>
    <w:p>
      <w:pPr>
        <w:ind w:right="20" w:firstLine="360"/>
        <w:spacing w:after="0" w:line="308"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of ordinary shares</w:t>
      </w:r>
    </w:p>
    <w:p>
      <w:pPr>
        <w:spacing w:after="0" w:line="204" w:lineRule="exact"/>
        <w:rPr>
          <w:sz w:val="20"/>
          <w:szCs w:val="20"/>
          <w:color w:val="auto"/>
        </w:rPr>
      </w:pPr>
    </w:p>
    <w:p>
      <w:pPr>
        <w:ind w:right="480" w:firstLine="360"/>
        <w:spacing w:after="0" w:line="264"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2" w:lineRule="exact"/>
        <w:rPr>
          <w:sz w:val="20"/>
          <w:szCs w:val="20"/>
          <w:color w:val="auto"/>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information set forth in this prospectus and otherwise available to the representative;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and the history and prospects for the industry in which we compete;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an assessment of our management;</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for future earnings;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general condition of the securities markets at the time of this offering;</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other factors deemed relevant by the underwriters and us.</w:t>
      </w:r>
    </w:p>
    <w:p>
      <w:pPr>
        <w:spacing w:after="0" w:line="20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Restrictions Outside the United States</w:t>
      </w:r>
    </w:p>
    <w:p>
      <w:pPr>
        <w:spacing w:after="0" w:line="2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9" w:name="page90"/>
    <w:bookmarkEnd w:id="89"/>
    <w:p>
      <w:pPr>
        <w:ind w:left="3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0"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any legal entity which is a qualified investor as defined in the Prospectus Directive;</w:t>
      </w:r>
    </w:p>
    <w:p>
      <w:pPr>
        <w:spacing w:after="0" w:line="200" w:lineRule="exact"/>
        <w:rPr>
          <w:rFonts w:ascii="Arial" w:cs="Arial" w:eastAsia="Arial" w:hAnsi="Arial"/>
          <w:sz w:val="16"/>
          <w:szCs w:val="16"/>
          <w:color w:val="A6A6A6"/>
        </w:rPr>
      </w:pPr>
    </w:p>
    <w:p>
      <w:pPr>
        <w:ind w:left="360" w:right="140" w:hanging="4"/>
        <w:spacing w:after="0" w:line="264"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61" w:lineRule="exact"/>
        <w:rPr>
          <w:rFonts w:ascii="Arial" w:cs="Arial" w:eastAsia="Arial" w:hAnsi="Arial"/>
          <w:sz w:val="16"/>
          <w:szCs w:val="16"/>
          <w:color w:val="A6A6A6"/>
        </w:rPr>
      </w:pPr>
    </w:p>
    <w:p>
      <w:pPr>
        <w:ind w:left="360" w:right="100" w:hanging="4"/>
        <w:spacing w:after="0" w:line="277"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52" w:lineRule="exact"/>
        <w:rPr>
          <w:sz w:val="20"/>
          <w:szCs w:val="20"/>
          <w:color w:val="auto"/>
        </w:rPr>
      </w:pPr>
    </w:p>
    <w:p>
      <w:pPr>
        <w:ind w:right="40" w:firstLine="360"/>
        <w:spacing w:after="0" w:line="27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underwriter has represented and agreed that:</w:t>
      </w:r>
    </w:p>
    <w:p>
      <w:pPr>
        <w:spacing w:after="0" w:line="200" w:lineRule="exact"/>
        <w:rPr>
          <w:sz w:val="20"/>
          <w:szCs w:val="20"/>
          <w:color w:val="auto"/>
        </w:rPr>
      </w:pPr>
    </w:p>
    <w:p>
      <w:pPr>
        <w:ind w:left="360" w:right="80" w:hanging="4"/>
        <w:spacing w:after="0" w:line="264"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61"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State of Israel, the securities offered hereby may not be offered to any person or entity other than the following:</w:t>
      </w:r>
    </w:p>
    <w:p>
      <w:pPr>
        <w:spacing w:after="0" w:line="200" w:lineRule="exact"/>
        <w:rPr>
          <w:sz w:val="20"/>
          <w:szCs w:val="20"/>
          <w:color w:val="auto"/>
        </w:rPr>
      </w:pPr>
    </w:p>
    <w:p>
      <w:pPr>
        <w:ind w:left="360" w:right="4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fund for joint investments in trust (i.e., mutual fund), as such term is defined in the Law for Joint Investments in Trust, 5754-1994, or a management company of such a fund;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insurer, as defined in the Law for Oversight of Insurance Transactions, 5741-1981;</w:t>
      </w:r>
    </w:p>
    <w:p>
      <w:pPr>
        <w:spacing w:after="0" w:line="200" w:lineRule="exact"/>
        <w:rPr>
          <w:rFonts w:ascii="Arial" w:cs="Arial" w:eastAsia="Arial" w:hAnsi="Arial"/>
          <w:sz w:val="16"/>
          <w:szCs w:val="16"/>
          <w:color w:val="A6A6A6"/>
        </w:rPr>
      </w:pPr>
    </w:p>
    <w:p>
      <w:pPr>
        <w:ind w:left="36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0" w:name="page91"/>
    <w:bookmarkEnd w:id="90"/>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company that is licensed as a portfolio manager, as such term is defined in Section 8(b)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 or for the account of investors of the type listed in Section 15A(b) of the Securities Law, 1968;</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an investment advisor or investment distributer, as such term is defined in Section 7(c)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member of the Tel Aviv Stock Exchange, acting on its own account or for the account of investors of the type listed in Section 15A(b) of the Securities Law, 1968;</w:t>
      </w:r>
    </w:p>
    <w:p>
      <w:pPr>
        <w:spacing w:after="0" w:line="223"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underwriter fulfilling the conditions of Section 56(c) of the Securities Law, 5728-1968, acting on its own account;</w:t>
      </w:r>
    </w:p>
    <w:p>
      <w:pPr>
        <w:spacing w:after="0" w:line="200" w:lineRule="exact"/>
        <w:rPr>
          <w:rFonts w:ascii="Arial" w:cs="Arial" w:eastAsia="Arial" w:hAnsi="Arial"/>
          <w:sz w:val="16"/>
          <w:szCs w:val="16"/>
          <w:color w:val="A6A6A6"/>
        </w:rPr>
      </w:pPr>
    </w:p>
    <w:p>
      <w:pPr>
        <w:ind w:left="360" w:right="14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entity fully owned by investors of the type listed in Section 15A(b) of the Securities Law, 1968;</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5"/>
          <w:szCs w:val="15"/>
          <w:color w:val="A6A6A6"/>
        </w:rPr>
      </w:pPr>
      <w:r>
        <w:rPr>
          <w:rFonts w:ascii="Arial" w:cs="Arial" w:eastAsia="Arial" w:hAnsi="Arial"/>
          <w:sz w:val="15"/>
          <w:szCs w:val="15"/>
          <w:color w:val="auto"/>
        </w:rPr>
        <w:t>an entity, other than an entity formed for the purpose of purchasing securities in this offering, in which the shareholders’ equity is in excess of NIS 50 million; and</w:t>
      </w:r>
    </w:p>
    <w:p>
      <w:pPr>
        <w:spacing w:after="0" w:line="211" w:lineRule="exact"/>
        <w:rPr>
          <w:rFonts w:ascii="Arial" w:cs="Arial" w:eastAsia="Arial" w:hAnsi="Arial"/>
          <w:sz w:val="15"/>
          <w:szCs w:val="15"/>
          <w:color w:val="A6A6A6"/>
        </w:rPr>
      </w:pPr>
    </w:p>
    <w:p>
      <w:pPr>
        <w:ind w:left="360" w:right="100" w:hanging="4"/>
        <w:spacing w:after="0" w:line="264"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67" w:lineRule="exact"/>
        <w:rPr>
          <w:sz w:val="20"/>
          <w:szCs w:val="20"/>
          <w:color w:val="auto"/>
        </w:rPr>
      </w:pPr>
    </w:p>
    <w:p>
      <w:pPr>
        <w:ind w:right="140" w:firstLine="360"/>
        <w:spacing w:after="0" w:line="278" w:lineRule="auto"/>
        <w:rPr>
          <w:sz w:val="20"/>
          <w:szCs w:val="20"/>
          <w:color w:val="auto"/>
        </w:rPr>
      </w:pPr>
      <w:r>
        <w:rPr>
          <w:rFonts w:ascii="Arial" w:cs="Arial" w:eastAsia="Arial" w:hAnsi="Arial"/>
          <w:sz w:val="15"/>
          <w:szCs w:val="15"/>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Canada</w:t>
      </w:r>
    </w:p>
    <w:p>
      <w:pPr>
        <w:spacing w:after="0" w:line="20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6"/>
          <w:szCs w:val="16"/>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Aegis Capital Corp. is 810 Seventh Avenue, 18th Floor, New York, New York 10019.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We estimate that the total expenses of this offering payable by us, excluding the underwriting discounts and commissions and expenses, will be approximately $751,863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7400" w:type="dxa"/>
            <w:vAlign w:val="bottom"/>
            <w:shd w:val="clear" w:color="auto" w:fill="CCFFCC"/>
          </w:tcPr>
          <w:p>
            <w:pPr>
              <w:spacing w:after="0"/>
              <w:rPr>
                <w:sz w:val="20"/>
                <w:szCs w:val="20"/>
                <w:color w:val="auto"/>
              </w:rPr>
            </w:pPr>
            <w:r>
              <w:rPr>
                <w:rFonts w:ascii="Arial" w:cs="Arial" w:eastAsia="Arial" w:hAnsi="Arial"/>
                <w:sz w:val="16"/>
                <w:szCs w:val="16"/>
                <w:color w:val="auto"/>
              </w:rPr>
              <w:t>SEC filing fee</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4,653</w:t>
            </w:r>
          </w:p>
        </w:tc>
      </w:tr>
      <w:tr>
        <w:trPr>
          <w:trHeight w:val="192"/>
        </w:trPr>
        <w:tc>
          <w:tcPr>
            <w:tcW w:w="7400" w:type="dxa"/>
            <w:vAlign w:val="bottom"/>
          </w:tcPr>
          <w:p>
            <w:pPr>
              <w:spacing w:after="0"/>
              <w:rPr>
                <w:sz w:val="20"/>
                <w:szCs w:val="20"/>
                <w:color w:val="auto"/>
              </w:rPr>
            </w:pPr>
            <w:r>
              <w:rPr>
                <w:rFonts w:ascii="Arial" w:cs="Arial" w:eastAsia="Arial" w:hAnsi="Arial"/>
                <w:sz w:val="16"/>
                <w:szCs w:val="16"/>
                <w:color w:val="auto"/>
              </w:rPr>
              <w:t>FINRA filing fee</w:t>
            </w:r>
          </w:p>
        </w:tc>
        <w:tc>
          <w:tcPr>
            <w:tcW w:w="3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5,619</w:t>
            </w:r>
          </w:p>
        </w:tc>
      </w:tr>
      <w:tr>
        <w:trPr>
          <w:trHeight w:val="192"/>
        </w:trPr>
        <w:tc>
          <w:tcPr>
            <w:tcW w:w="7400" w:type="dxa"/>
            <w:vAlign w:val="bottom"/>
            <w:shd w:val="clear" w:color="auto" w:fill="CCFFCC"/>
          </w:tcPr>
          <w:p>
            <w:pPr>
              <w:spacing w:after="0"/>
              <w:rPr>
                <w:sz w:val="20"/>
                <w:szCs w:val="20"/>
                <w:color w:val="auto"/>
              </w:rPr>
            </w:pPr>
            <w:r>
              <w:rPr>
                <w:rFonts w:ascii="Arial" w:cs="Arial" w:eastAsia="Arial" w:hAnsi="Arial"/>
                <w:sz w:val="16"/>
                <w:szCs w:val="16"/>
                <w:color w:val="auto"/>
              </w:rPr>
              <w:t>Nasdaq listing fee</w:t>
            </w:r>
          </w:p>
        </w:tc>
        <w:tc>
          <w:tcPr>
            <w:tcW w:w="3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50,000</w:t>
            </w:r>
          </w:p>
        </w:tc>
      </w:tr>
      <w:tr>
        <w:trPr>
          <w:trHeight w:val="192"/>
        </w:trPr>
        <w:tc>
          <w:tcPr>
            <w:tcW w:w="740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3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5,000</w:t>
            </w:r>
          </w:p>
        </w:tc>
      </w:tr>
      <w:tr>
        <w:trPr>
          <w:trHeight w:val="192"/>
        </w:trPr>
        <w:tc>
          <w:tcPr>
            <w:tcW w:w="7400" w:type="dxa"/>
            <w:vAlign w:val="bottom"/>
            <w:shd w:val="clear" w:color="auto" w:fill="CCFFCC"/>
          </w:tcPr>
          <w:p>
            <w:pPr>
              <w:spacing w:after="0"/>
              <w:rPr>
                <w:sz w:val="20"/>
                <w:szCs w:val="20"/>
                <w:color w:val="auto"/>
              </w:rPr>
            </w:pPr>
            <w:r>
              <w:rPr>
                <w:rFonts w:ascii="Arial" w:cs="Arial" w:eastAsia="Arial" w:hAnsi="Arial"/>
                <w:sz w:val="16"/>
                <w:szCs w:val="16"/>
                <w:color w:val="auto"/>
              </w:rPr>
              <w:t>Printer fees and expenses</w:t>
            </w:r>
          </w:p>
        </w:tc>
        <w:tc>
          <w:tcPr>
            <w:tcW w:w="3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10,000</w:t>
            </w:r>
          </w:p>
        </w:tc>
      </w:tr>
      <w:tr>
        <w:trPr>
          <w:trHeight w:val="192"/>
        </w:trPr>
        <w:tc>
          <w:tcPr>
            <w:tcW w:w="740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3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500,000</w:t>
            </w:r>
          </w:p>
        </w:tc>
      </w:tr>
      <w:tr>
        <w:trPr>
          <w:trHeight w:val="192"/>
        </w:trPr>
        <w:tc>
          <w:tcPr>
            <w:tcW w:w="7400" w:type="dxa"/>
            <w:vAlign w:val="bottom"/>
            <w:shd w:val="clear" w:color="auto" w:fill="CCFFCC"/>
          </w:tcPr>
          <w:p>
            <w:pPr>
              <w:spacing w:after="0"/>
              <w:rPr>
                <w:sz w:val="20"/>
                <w:szCs w:val="20"/>
                <w:color w:val="auto"/>
              </w:rPr>
            </w:pPr>
            <w:r>
              <w:rPr>
                <w:rFonts w:ascii="Arial" w:cs="Arial" w:eastAsia="Arial" w:hAnsi="Arial"/>
                <w:sz w:val="16"/>
                <w:szCs w:val="16"/>
                <w:color w:val="auto"/>
              </w:rPr>
              <w:t>Accounting fees and expenses</w:t>
            </w:r>
          </w:p>
        </w:tc>
        <w:tc>
          <w:tcPr>
            <w:tcW w:w="3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160,000</w:t>
            </w:r>
          </w:p>
        </w:tc>
      </w:tr>
      <w:tr>
        <w:trPr>
          <w:trHeight w:val="204"/>
        </w:trPr>
        <w:tc>
          <w:tcPr>
            <w:tcW w:w="7400" w:type="dxa"/>
            <w:vAlign w:val="bottom"/>
          </w:tcPr>
          <w:p>
            <w:pPr>
              <w:spacing w:after="0"/>
              <w:rPr>
                <w:sz w:val="20"/>
                <w:szCs w:val="20"/>
                <w:color w:val="auto"/>
              </w:rPr>
            </w:pPr>
            <w:r>
              <w:rPr>
                <w:rFonts w:ascii="Arial" w:cs="Arial" w:eastAsia="Arial" w:hAnsi="Arial"/>
                <w:sz w:val="16"/>
                <w:szCs w:val="16"/>
                <w:color w:val="auto"/>
              </w:rPr>
              <w:t>Miscellaneous</w:t>
            </w:r>
          </w:p>
        </w:tc>
        <w:tc>
          <w:tcPr>
            <w:tcW w:w="3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16,591</w:t>
            </w:r>
          </w:p>
        </w:tc>
      </w:tr>
      <w:tr>
        <w:trPr>
          <w:trHeight w:val="196"/>
        </w:trPr>
        <w:tc>
          <w:tcPr>
            <w:tcW w:w="7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751,863</w:t>
            </w: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CIVIL LIABILITIES</w:t>
      </w:r>
    </w:p>
    <w:p>
      <w:pPr>
        <w:spacing w:after="0" w:line="20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7" w:lineRule="exact"/>
        <w:rPr>
          <w:sz w:val="20"/>
          <w:szCs w:val="20"/>
          <w:color w:val="auto"/>
        </w:rPr>
      </w:pPr>
    </w:p>
    <w:p>
      <w:pPr>
        <w:ind w:right="60" w:firstLine="360"/>
        <w:spacing w:after="0" w:line="308" w:lineRule="auto"/>
        <w:rPr>
          <w:sz w:val="20"/>
          <w:szCs w:val="20"/>
          <w:color w:val="auto"/>
        </w:rPr>
      </w:pPr>
      <w:r>
        <w:rPr>
          <w:rFonts w:ascii="Arial" w:cs="Arial" w:eastAsia="Arial" w:hAnsi="Arial"/>
          <w:sz w:val="14"/>
          <w:szCs w:val="14"/>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62" w:lineRule="exact"/>
        <w:rPr>
          <w:sz w:val="20"/>
          <w:szCs w:val="20"/>
          <w:color w:val="auto"/>
        </w:rPr>
      </w:pPr>
    </w:p>
    <w:p>
      <w:pPr>
        <w:ind w:left="360" w:right="220" w:hanging="4"/>
        <w:spacing w:after="0" w:line="277"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final and is not subject to any right of appeal;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92" w:name="page93"/>
    <w:bookmarkEnd w:id="92"/>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00"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enforceable according to the law of the foreign state in which the relief was granted.</w:t>
      </w:r>
    </w:p>
    <w:p>
      <w:pPr>
        <w:spacing w:after="0" w:line="393" w:lineRule="exact"/>
        <w:rPr>
          <w:sz w:val="20"/>
          <w:szCs w:val="20"/>
          <w:color w:val="auto"/>
        </w:rPr>
      </w:pPr>
    </w:p>
    <w:p>
      <w:pPr>
        <w:ind w:right="180" w:firstLine="360"/>
        <w:spacing w:after="0" w:line="278"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8"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72"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 development stage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712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FINANCIAL STATEMENTS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6"/>
              </w:rPr>
              <w:t>AS OF DECEMBER 31, 2012</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8"/>
              </w:rPr>
              <w:t>U.S. DOLLARS IN THOUSANDS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rPr>
              <w:t>INDEX</w:t>
            </w:r>
          </w:p>
        </w:tc>
      </w:tr>
      <w:tr>
        <w:trPr>
          <w:trHeight w:val="577"/>
        </w:trPr>
        <w:tc>
          <w:tcPr>
            <w:tcW w:w="4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76"/>
        </w:trPr>
        <w:tc>
          <w:tcPr>
            <w:tcW w:w="4280" w:type="dxa"/>
            <w:vAlign w:val="bottom"/>
          </w:tcPr>
          <w:p>
            <w:pPr>
              <w:spacing w:after="0"/>
              <w:rPr>
                <w:sz w:val="20"/>
                <w:szCs w:val="20"/>
                <w:color w:val="auto"/>
              </w:rPr>
            </w:pPr>
            <w:r>
              <w:rPr>
                <w:rFonts w:ascii="Arial" w:cs="Arial" w:eastAsia="Arial" w:hAnsi="Arial"/>
                <w:sz w:val="16"/>
                <w:szCs w:val="16"/>
                <w:b w:val="1"/>
                <w:bCs w:val="1"/>
                <w:color w:val="auto"/>
                <w:w w:val="96"/>
              </w:rPr>
              <w:t>Report of Independent Registered Public Accounting Firm</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F-2</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F-3 - F-4</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Comprehensive Loss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F-5</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w w:val="93"/>
              </w:rPr>
              <w:t>Statements of Changes in Shareholders' Equity (Deficiency)</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F-6</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Cash Flows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F-7</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Notes to Financial Statements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 - - - - - - - - - - - -</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80" w:top="820" w:right="21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531495</wp:posOffset>
            </wp:positionV>
            <wp:extent cx="6254750" cy="128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25475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Board of Directors and the shareholders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8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6"/>
          <w:szCs w:val="16"/>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67" w:lineRule="exact"/>
        <w:rPr>
          <w:sz w:val="20"/>
          <w:szCs w:val="20"/>
          <w:color w:val="auto"/>
        </w:rPr>
      </w:pPr>
    </w:p>
    <w:p>
      <w:pPr>
        <w:jc w:val="both"/>
        <w:ind w:right="20" w:firstLine="454"/>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 $ 8,186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6460" w:type="dxa"/>
            <w:vAlign w:val="bottom"/>
          </w:tcPr>
          <w:p>
            <w:pPr>
              <w:jc w:val="center"/>
              <w:ind w:left="1280"/>
              <w:spacing w:after="0"/>
              <w:rPr>
                <w:sz w:val="20"/>
                <w:szCs w:val="20"/>
                <w:color w:val="auto"/>
              </w:rPr>
            </w:pPr>
            <w:r>
              <w:rPr>
                <w:rFonts w:ascii="Arial" w:cs="Arial" w:eastAsia="Arial" w:hAnsi="Arial"/>
                <w:sz w:val="16"/>
                <w:szCs w:val="16"/>
                <w:color w:val="auto"/>
                <w:w w:val="96"/>
              </w:rPr>
              <w:t>/s/ KOST FORER GABBAY &amp; KASIERER</w:t>
            </w:r>
          </w:p>
        </w:tc>
      </w:tr>
      <w:tr>
        <w:trPr>
          <w:trHeight w:val="192"/>
        </w:trPr>
        <w:tc>
          <w:tcPr>
            <w:tcW w:w="4980" w:type="dxa"/>
            <w:vAlign w:val="bottom"/>
          </w:tcPr>
          <w:p>
            <w:pPr>
              <w:spacing w:after="0"/>
              <w:rPr>
                <w:sz w:val="20"/>
                <w:szCs w:val="20"/>
                <w:color w:val="auto"/>
              </w:rPr>
            </w:pPr>
            <w:r>
              <w:rPr>
                <w:rFonts w:ascii="Arial" w:cs="Arial" w:eastAsia="Arial" w:hAnsi="Arial"/>
                <w:sz w:val="16"/>
                <w:szCs w:val="16"/>
                <w:color w:val="auto"/>
              </w:rPr>
              <w:t>Tel-Aviv, Israel</w:t>
            </w:r>
          </w:p>
        </w:tc>
        <w:tc>
          <w:tcPr>
            <w:tcW w:w="6460" w:type="dxa"/>
            <w:vAlign w:val="bottom"/>
          </w:tcPr>
          <w:p>
            <w:pPr>
              <w:jc w:val="center"/>
              <w:ind w:left="1280"/>
              <w:spacing w:after="0"/>
              <w:rPr>
                <w:sz w:val="20"/>
                <w:szCs w:val="20"/>
                <w:color w:val="auto"/>
              </w:rPr>
            </w:pPr>
            <w:r>
              <w:rPr>
                <w:rFonts w:ascii="Arial" w:cs="Arial" w:eastAsia="Arial" w:hAnsi="Arial"/>
                <w:sz w:val="16"/>
                <w:szCs w:val="16"/>
                <w:color w:val="auto"/>
                <w:w w:val="96"/>
              </w:rPr>
              <w:t>KOST FORER GABBAY &amp; KASIERER</w:t>
            </w:r>
          </w:p>
        </w:tc>
      </w:tr>
      <w:tr>
        <w:trPr>
          <w:trHeight w:val="192"/>
        </w:trPr>
        <w:tc>
          <w:tcPr>
            <w:tcW w:w="4980" w:type="dxa"/>
            <w:vAlign w:val="bottom"/>
          </w:tcPr>
          <w:p>
            <w:pPr>
              <w:spacing w:after="0"/>
              <w:rPr>
                <w:sz w:val="20"/>
                <w:szCs w:val="20"/>
                <w:color w:val="auto"/>
              </w:rPr>
            </w:pPr>
            <w:r>
              <w:rPr>
                <w:rFonts w:ascii="Arial" w:cs="Arial" w:eastAsia="Arial" w:hAnsi="Arial"/>
                <w:sz w:val="16"/>
                <w:szCs w:val="16"/>
                <w:color w:val="auto"/>
              </w:rPr>
              <w:t>January 14, 2013</w:t>
            </w:r>
          </w:p>
        </w:tc>
        <w:tc>
          <w:tcPr>
            <w:tcW w:w="6460" w:type="dxa"/>
            <w:vAlign w:val="bottom"/>
          </w:tcPr>
          <w:p>
            <w:pPr>
              <w:jc w:val="center"/>
              <w:ind w:left="1260"/>
              <w:spacing w:after="0"/>
              <w:rPr>
                <w:sz w:val="20"/>
                <w:szCs w:val="20"/>
                <w:color w:val="auto"/>
              </w:rPr>
            </w:pPr>
            <w:r>
              <w:rPr>
                <w:rFonts w:ascii="Arial" w:cs="Arial" w:eastAsia="Arial" w:hAnsi="Arial"/>
                <w:sz w:val="16"/>
                <w:szCs w:val="16"/>
                <w:color w:val="auto"/>
                <w:w w:val="94"/>
              </w:rPr>
              <w:t>A Member of Ernst &amp; Young Global</w:t>
            </w:r>
          </w:p>
        </w:tc>
      </w:tr>
      <w:tr>
        <w:trPr>
          <w:trHeight w:val="205"/>
        </w:trPr>
        <w:tc>
          <w:tcPr>
            <w:tcW w:w="4980" w:type="dxa"/>
            <w:vAlign w:val="bottom"/>
          </w:tcPr>
          <w:p>
            <w:pPr>
              <w:spacing w:after="0"/>
              <w:rPr>
                <w:sz w:val="20"/>
                <w:szCs w:val="20"/>
                <w:color w:val="auto"/>
              </w:rPr>
            </w:pPr>
            <w:r>
              <w:rPr>
                <w:rFonts w:ascii="Arial" w:cs="Arial" w:eastAsia="Arial" w:hAnsi="Arial"/>
                <w:sz w:val="16"/>
                <w:szCs w:val="16"/>
                <w:color w:val="auto"/>
              </w:rPr>
              <w:t>Except for Note 9(a) and Note 13 to which the date is May 20, 2013</w:t>
            </w:r>
          </w:p>
        </w:tc>
        <w:tc>
          <w:tcPr>
            <w:tcW w:w="6460" w:type="dxa"/>
            <w:vAlign w:val="bottom"/>
          </w:tcPr>
          <w:p>
            <w:pPr>
              <w:spacing w:after="0"/>
              <w:rPr>
                <w:sz w:val="17"/>
                <w:szCs w:val="17"/>
                <w:color w:val="auto"/>
              </w:rPr>
            </w:pPr>
          </w:p>
        </w:tc>
      </w:tr>
      <w:tr>
        <w:trPr>
          <w:trHeight w:val="577"/>
        </w:trPr>
        <w:tc>
          <w:tcPr>
            <w:tcW w:w="49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F-2</w:t>
            </w:r>
          </w:p>
        </w:tc>
      </w:tr>
    </w:tbl>
    <w:p>
      <w:pPr>
        <w:sectPr>
          <w:pgSz w:w="11900" w:h="16838" w:orient="portrait"/>
          <w:cols w:equalWidth="0" w:num="1">
            <w:col w:w="11440"/>
          </w:cols>
          <w:pgMar w:left="240" w:top="1440"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37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tcPr>
          <w:p>
            <w:pPr>
              <w:jc w:val="center"/>
              <w:ind w:right="6880"/>
              <w:spacing w:after="0"/>
              <w:rPr>
                <w:sz w:val="20"/>
                <w:szCs w:val="20"/>
                <w:color w:val="auto"/>
              </w:rPr>
            </w:pPr>
            <w:r>
              <w:rPr>
                <w:rFonts w:ascii="Arial" w:cs="Arial" w:eastAsia="Arial" w:hAnsi="Arial"/>
                <w:sz w:val="16"/>
                <w:szCs w:val="16"/>
                <w:color w:val="auto"/>
                <w:w w:val="91"/>
              </w:rPr>
              <w:t>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8020" w:type="dxa"/>
            <w:vAlign w:val="bottom"/>
            <w:gridSpan w:val="3"/>
          </w:tcPr>
          <w:p>
            <w:pPr>
              <w:jc w:val="center"/>
              <w:ind w:right="6540"/>
              <w:spacing w:after="0"/>
              <w:rPr>
                <w:sz w:val="20"/>
                <w:szCs w:val="20"/>
                <w:color w:val="auto"/>
              </w:rPr>
            </w:pPr>
            <w:r>
              <w:rPr>
                <w:rFonts w:ascii="Arial" w:cs="Arial" w:eastAsia="Arial" w:hAnsi="Arial"/>
                <w:sz w:val="16"/>
                <w:szCs w:val="16"/>
                <w:color w:val="auto"/>
                <w:w w:val="93"/>
              </w:rPr>
              <w:t>CURRENT 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97</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55</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Short-term bank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517</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Receivables and prepaid expenses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180</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667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LONG-TERM ASSETS:</w:t>
            </w:r>
          </w:p>
        </w:tc>
        <w:tc>
          <w:tcPr>
            <w:tcW w:w="10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Restricted bank deposits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507</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Long-term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long-term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21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537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201</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1,204</w:t>
            </w: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66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LIABILITIES AND SHAREHOLDERS' EQUITY (DEFICIENCY)</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Trade payables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Other accounts payable</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Convertible Notes</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current liabilities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line="156"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SHAREHOLDERS' EQUITY (DEFICIENCY):</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0" w:type="dxa"/>
            <w:vAlign w:val="bottom"/>
            <w:gridSpan w:val="2"/>
            <w:shd w:val="clear" w:color="auto" w:fill="CCFFCC"/>
          </w:tcPr>
          <w:p>
            <w:pPr>
              <w:ind w:left="120"/>
              <w:spacing w:after="0" w:line="180" w:lineRule="exact"/>
              <w:rPr>
                <w:sz w:val="20"/>
                <w:szCs w:val="20"/>
                <w:color w:val="auto"/>
              </w:rPr>
            </w:pPr>
            <w:r>
              <w:rPr>
                <w:rFonts w:ascii="Arial" w:cs="Arial" w:eastAsia="Arial" w:hAnsi="Arial"/>
                <w:sz w:val="16"/>
                <w:szCs w:val="16"/>
                <w:color w:val="auto"/>
              </w:rPr>
              <w:t>Ordinary shares of NIS 0.01 par value -</w:t>
            </w: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10,000,000 shares authorized at December 31, 2012 and 2011; 8,098,581 and 8,096,109 issued shares at</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December 31, 2012 and 2011, respectively; 7,794,256 and 8,096,109 shares outstanding at December 31, 2012 and</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2011, respectively</w:t>
            </w:r>
          </w:p>
        </w:tc>
        <w:tc>
          <w:tcPr>
            <w:tcW w:w="100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shares (304,324 Ordinary shares as of December 31, 2012)</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Additional paid- in capital</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7,615</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Deficit accumulated during the development stage</w:t>
            </w: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(8,186)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shareholders' equity (deficiency)</w:t>
            </w:r>
          </w:p>
        </w:tc>
        <w:tc>
          <w:tcPr>
            <w:tcW w:w="100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(567)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 (DEFICIENCY)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201</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 Represents an amount lower than $ 1.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802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5280"/>
              <w:spacing w:after="0"/>
              <w:rPr>
                <w:sz w:val="20"/>
                <w:szCs w:val="20"/>
                <w:color w:val="auto"/>
              </w:rPr>
            </w:pPr>
            <w:r>
              <w:rPr>
                <w:rFonts w:ascii="Arial" w:cs="Arial" w:eastAsia="Arial" w:hAnsi="Arial"/>
                <w:sz w:val="16"/>
                <w:szCs w:val="16"/>
                <w:color w:val="auto"/>
              </w:rPr>
              <w:t>F-4</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(date of inception) to</w:t>
            </w: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7"/>
                <w:szCs w:val="17"/>
                <w:color w:val="auto"/>
              </w:rPr>
            </w:pP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Research and development expenses, net</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1,822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3,768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683</w:t>
            </w: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2,084</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4,042</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1,501</w:t>
            </w:r>
          </w:p>
        </w:tc>
        <w:tc>
          <w:tcPr>
            <w:tcW w:w="4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3,906</w:t>
            </w:r>
          </w:p>
        </w:tc>
        <w:tc>
          <w:tcPr>
            <w:tcW w:w="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7,810</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Financial expenses, net</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196</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comprehensive loss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3,929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Deemed dividend</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 attributable to holders of Ordinary shares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4,109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8,186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basic and diluted loss per share</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6000" w:type="dxa"/>
            <w:vAlign w:val="bottom"/>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Weighted average number of Ordinary shares used in computing basic and diluted net loss</w:t>
            </w:r>
          </w:p>
        </w:tc>
        <w:tc>
          <w:tcPr>
            <w:tcW w:w="2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per share</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3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7,843,388</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0" w:lineRule="exact"/>
              <w:rPr>
                <w:sz w:val="20"/>
                <w:szCs w:val="20"/>
                <w:color w:val="auto"/>
              </w:rPr>
            </w:pPr>
            <w:r>
              <w:rPr>
                <w:rFonts w:ascii="Arial" w:cs="Arial" w:eastAsia="Arial" w:hAnsi="Arial"/>
                <w:sz w:val="11"/>
                <w:szCs w:val="11"/>
                <w:color w:val="auto"/>
                <w:w w:val="89"/>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Arial" w:cs="Arial" w:eastAsia="Arial" w:hAnsi="Arial"/>
                <w:sz w:val="11"/>
                <w:szCs w:val="11"/>
                <w:color w:val="auto"/>
                <w:w w:val="89"/>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ind w:right="240"/>
              <w:spacing w:after="0" w:line="120"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1"/>
                <w:szCs w:val="11"/>
                <w:color w:val="auto"/>
                <w:w w:val="93"/>
              </w:rPr>
              <w:t>during the</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color w:val="auto"/>
                <w:w w:val="88"/>
              </w:rPr>
              <w:t>shareholders'</w:t>
            </w:r>
          </w:p>
        </w:tc>
      </w:tr>
      <w:tr>
        <w:trPr>
          <w:trHeight w:val="134"/>
        </w:trPr>
        <w:tc>
          <w:tcPr>
            <w:tcW w:w="3220" w:type="dxa"/>
            <w:vAlign w:val="bottom"/>
          </w:tcPr>
          <w:p>
            <w:pPr>
              <w:spacing w:after="0"/>
              <w:rPr>
                <w:sz w:val="11"/>
                <w:szCs w:val="11"/>
                <w:color w:val="auto"/>
              </w:rPr>
            </w:pPr>
          </w:p>
        </w:tc>
        <w:tc>
          <w:tcPr>
            <w:tcW w:w="1220" w:type="dxa"/>
            <w:vAlign w:val="bottom"/>
            <w:gridSpan w:val="3"/>
          </w:tcPr>
          <w:p>
            <w:pPr>
              <w:jc w:val="right"/>
              <w:ind w:right="38"/>
              <w:spacing w:after="0"/>
              <w:rPr>
                <w:sz w:val="20"/>
                <w:szCs w:val="20"/>
                <w:color w:val="auto"/>
              </w:rPr>
            </w:pPr>
            <w:r>
              <w:rPr>
                <w:rFonts w:ascii="Arial" w:cs="Arial" w:eastAsia="Arial" w:hAnsi="Arial"/>
                <w:sz w:val="11"/>
                <w:szCs w:val="11"/>
                <w:color w:val="auto"/>
              </w:rPr>
              <w:t>Ordinary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Preferred A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jc w:val="right"/>
              <w:spacing w:after="0"/>
              <w:rPr>
                <w:sz w:val="20"/>
                <w:szCs w:val="20"/>
                <w:color w:val="auto"/>
              </w:rPr>
            </w:pPr>
            <w:r>
              <w:rPr>
                <w:rFonts w:ascii="Arial" w:cs="Arial" w:eastAsia="Arial" w:hAnsi="Arial"/>
                <w:sz w:val="11"/>
                <w:szCs w:val="11"/>
                <w:color w:val="auto"/>
              </w:rPr>
              <w:t>Preferred B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5"/>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22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28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89"/>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32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gridSpan w:val="2"/>
            <w:shd w:val="clear" w:color="auto" w:fill="CCFFCC"/>
          </w:tcPr>
          <w:p>
            <w:pPr>
              <w:jc w:val="right"/>
              <w:ind w:right="140"/>
              <w:spacing w:after="0" w:line="124" w:lineRule="exact"/>
              <w:rPr>
                <w:sz w:val="20"/>
                <w:szCs w:val="20"/>
                <w:color w:val="auto"/>
              </w:rPr>
            </w:pPr>
            <w:r>
              <w:rPr>
                <w:rFonts w:ascii="Arial" w:cs="Arial" w:eastAsia="Arial" w:hAnsi="Arial"/>
                <w:sz w:val="11"/>
                <w:szCs w:val="11"/>
                <w:color w:val="auto"/>
              </w:rPr>
              <w:t>Number</w:t>
            </w:r>
          </w:p>
        </w:tc>
        <w:tc>
          <w:tcPr>
            <w:tcW w:w="8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rPr>
              <w:t>capital</w:t>
            </w:r>
          </w:p>
        </w:tc>
        <w:tc>
          <w:tcPr>
            <w:tcW w:w="1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jc w:val="right"/>
              <w:spacing w:after="0" w:line="124" w:lineRule="exact"/>
              <w:rPr>
                <w:sz w:val="20"/>
                <w:szCs w:val="20"/>
                <w:color w:val="auto"/>
              </w:rPr>
            </w:pPr>
            <w:r>
              <w:rPr>
                <w:rFonts w:ascii="Arial" w:cs="Arial" w:eastAsia="Arial" w:hAnsi="Arial"/>
                <w:sz w:val="11"/>
                <w:szCs w:val="11"/>
                <w:color w:val="auto"/>
              </w:rPr>
              <w:t>stage</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92"/>
              </w:rPr>
              <w:t>(deficiency)</w:t>
            </w:r>
          </w:p>
        </w:tc>
        <w:tc>
          <w:tcPr>
            <w:tcW w:w="120" w:type="dxa"/>
            <w:vAlign w:val="bottom"/>
            <w:tcBorders>
              <w:top w:val="single" w:sz="8" w:color="CCFFCC"/>
            </w:tcBorders>
            <w:shd w:val="clear" w:color="auto" w:fill="CCFFCC"/>
          </w:tcPr>
          <w:p>
            <w:pPr>
              <w:spacing w:after="0"/>
              <w:rPr>
                <w:sz w:val="10"/>
                <w:szCs w:val="10"/>
                <w:color w:val="auto"/>
              </w:rPr>
            </w:pP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February 7, 2008 (date of inception)</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FFCC"/>
          </w:tcPr>
          <w:p>
            <w:pPr>
              <w:jc w:val="right"/>
              <w:ind w:right="20"/>
              <w:spacing w:after="0" w:line="12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at par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747,339</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657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657</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w w:val="98"/>
              </w:rPr>
              <w:t>Preferred A shares issued to service provider ($0.92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81,528</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1"/>
                <w:szCs w:val="11"/>
                <w:color w:val="auto"/>
                <w:w w:val="8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75</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Share based compensation related to warrants granted 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consultant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1"/>
              </w:rPr>
              <w:t>28</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w w:val="81"/>
              </w:rPr>
              <w:t>28</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(666)</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2008</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828,867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97</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203,818</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187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187</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Issuance of Preferred A shares granted to service provider</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($0.92 per share)</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190,229</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175</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461,987</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(461,987)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(608)</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2009</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6,214,587</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1,122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(1,274)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80"/>
              <w:spacing w:after="0" w:line="120" w:lineRule="exact"/>
              <w:rPr>
                <w:sz w:val="20"/>
                <w:szCs w:val="20"/>
                <w:color w:val="auto"/>
              </w:rPr>
            </w:pPr>
            <w:r>
              <w:rPr>
                <w:rFonts w:ascii="Arial" w:cs="Arial" w:eastAsia="Arial" w:hAnsi="Arial"/>
                <w:sz w:val="11"/>
                <w:szCs w:val="11"/>
                <w:color w:val="auto"/>
              </w:rPr>
              <w:t>(149)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net ($2.18 per unit</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of 1 share and 0.25 warrant)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342,691</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723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723</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upon conversion of</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tcPr>
          <w:p>
            <w:pPr>
              <w:ind w:left="320"/>
              <w:spacing w:after="0" w:line="120" w:lineRule="exact"/>
              <w:rPr>
                <w:sz w:val="20"/>
                <w:szCs w:val="20"/>
                <w:color w:val="auto"/>
              </w:rPr>
            </w:pPr>
            <w:r>
              <w:rPr>
                <w:rFonts w:ascii="Arial" w:cs="Arial" w:eastAsia="Arial" w:hAnsi="Arial"/>
                <w:sz w:val="11"/>
                <w:szCs w:val="11"/>
                <w:color w:val="auto"/>
              </w:rPr>
              <w:t>convertible notes ($1.75 per unit of 1 share and 0.25</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warrant)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128,512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279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7"/>
              </w:rPr>
              <w:t>Issuance of Preferred B shares and warrants granted to service</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provider</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55,008</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4"/>
              </w:rPr>
              <w:t>Share based compensation related to options granted to a service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provider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242</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288,681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(1,224)</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2010</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6,503,268</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526,211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2,486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(2,498)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(9)</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and B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1,287,138</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1</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(760,927)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(526,211)</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Deemed dividend in respect of equity restructuring</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Issuance of Ordinary shares upon conversion of loan into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Ordinary shares net ($11.5 per share)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104,345</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1,200</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net ($11.5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199,979</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2,170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2,170</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1,379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1,553</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December 31, 2011</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8,096,109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7,588</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1"/>
                <w:szCs w:val="11"/>
                <w:color w:val="auto"/>
              </w:rPr>
              <w:t>(6,607)</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985</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Treasury shares</w:t>
            </w:r>
          </w:p>
        </w:tc>
        <w:tc>
          <w:tcPr>
            <w:tcW w:w="9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(304,324)</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2,471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81"/>
              </w:rPr>
              <w:t>26</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220" w:type="dxa"/>
            <w:vAlign w:val="bottom"/>
            <w:shd w:val="clear" w:color="auto" w:fill="CCFFCC"/>
          </w:tcPr>
          <w:p>
            <w:pPr>
              <w:ind w:left="40"/>
              <w:spacing w:after="0"/>
              <w:rPr>
                <w:sz w:val="20"/>
                <w:szCs w:val="20"/>
                <w:color w:val="auto"/>
              </w:rPr>
            </w:pPr>
            <w:r>
              <w:rPr>
                <w:rFonts w:ascii="Arial" w:cs="Arial" w:eastAsia="Arial" w:hAnsi="Arial"/>
                <w:sz w:val="11"/>
                <w:szCs w:val="11"/>
                <w:color w:val="auto"/>
              </w:rPr>
              <w:t>Balance as of December 31, 2012</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7,794,256</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7,615</w:t>
            </w:r>
          </w:p>
        </w:tc>
        <w:tc>
          <w:tcPr>
            <w:tcW w:w="140" w:type="dxa"/>
            <w:vAlign w:val="bottom"/>
            <w:shd w:val="clear" w:color="auto" w:fill="CCFFCC"/>
          </w:tcPr>
          <w:p>
            <w:pPr>
              <w:spacing w:after="0"/>
              <w:rPr>
                <w:sz w:val="12"/>
                <w:szCs w:val="12"/>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(8,186</w:t>
            </w:r>
            <w:r>
              <w:rPr>
                <w:rFonts w:ascii="Arial" w:cs="Arial" w:eastAsia="Arial" w:hAnsi="Arial"/>
                <w:sz w:val="16"/>
                <w:szCs w:val="16"/>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(567</w:t>
            </w:r>
            <w:r>
              <w:rPr>
                <w:rFonts w:ascii="Arial" w:cs="Arial" w:eastAsia="Arial" w:hAnsi="Arial"/>
                <w:sz w:val="16"/>
                <w:szCs w:val="16"/>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7"/>
          </w:tcPr>
          <w:p>
            <w:pPr>
              <w:jc w:val="right"/>
              <w:spacing w:after="0"/>
              <w:rPr>
                <w:sz w:val="20"/>
                <w:szCs w:val="20"/>
                <w:color w:val="auto"/>
              </w:rPr>
            </w:pPr>
            <w:r>
              <w:rPr>
                <w:rFonts w:ascii="Arial" w:cs="Arial" w:eastAsia="Arial" w:hAnsi="Arial"/>
                <w:sz w:val="16"/>
                <w:szCs w:val="16"/>
                <w:b w:val="1"/>
                <w:bCs w:val="1"/>
                <w:color w:val="auto"/>
              </w:rPr>
              <w:t>(A development stage company)</w:t>
            </w:r>
          </w:p>
        </w:tc>
        <w:tc>
          <w:tcPr>
            <w:tcW w:w="0" w:type="dxa"/>
            <w:vAlign w:val="bottom"/>
          </w:tcPr>
          <w:p>
            <w:pPr>
              <w:spacing w:after="0"/>
              <w:rPr>
                <w:sz w:val="1"/>
                <w:szCs w:val="1"/>
                <w:color w:val="auto"/>
              </w:rPr>
            </w:pPr>
          </w:p>
        </w:tc>
      </w:tr>
      <w:tr>
        <w:trPr>
          <w:trHeight w:val="388"/>
        </w:trPr>
        <w:tc>
          <w:tcPr>
            <w:tcW w:w="6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STATEMENTS OF CASH FLOWS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5"/>
          </w:tcPr>
          <w:p>
            <w:pPr>
              <w:spacing w:after="0"/>
              <w:rPr>
                <w:sz w:val="20"/>
                <w:szCs w:val="20"/>
                <w:color w:val="auto"/>
              </w:rPr>
            </w:pPr>
            <w:r>
              <w:rPr>
                <w:rFonts w:ascii="Arial" w:cs="Arial" w:eastAsia="Arial" w:hAnsi="Arial"/>
                <w:sz w:val="16"/>
                <w:szCs w:val="16"/>
                <w:b w:val="1"/>
                <w:bCs w:val="1"/>
                <w:color w:val="auto"/>
              </w:rPr>
              <w:t>U.S. dollars in thousands, except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(date of inception)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4"/>
        </w:trPr>
        <w:tc>
          <w:tcPr>
            <w:tcW w:w="6420" w:type="dxa"/>
            <w:vAlign w:val="bottom"/>
            <w:gridSpan w:val="5"/>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(1,579)</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(3,929)</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Decrease (increase) in receivables and prepaid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Increase (decrease) in trade payables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(101)</w:t>
            </w: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Increase (decrease) in other accounts payable</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Interest on convertible notes</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Stock base compensation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(1,585)</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short-term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517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Decrease (increase) in long-term deposit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restricted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507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1,026</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Proceeds from issuance of convertible notes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Proceeds from loan</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Issuance of shares, net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837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00" w:type="dxa"/>
            <w:vAlign w:val="bottom"/>
            <w:gridSpan w:val="4"/>
            <w:shd w:val="clear" w:color="auto" w:fill="CCFFCC"/>
          </w:tcPr>
          <w:p>
            <w:pPr>
              <w:spacing w:after="0" w:line="156"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FFCC"/>
          </w:tcPr>
          <w:p>
            <w:pPr>
              <w:spacing w:after="0"/>
              <w:rPr>
                <w:sz w:val="14"/>
                <w:szCs w:val="14"/>
                <w:color w:val="auto"/>
              </w:rPr>
            </w:pPr>
          </w:p>
        </w:tc>
        <w:tc>
          <w:tcPr>
            <w:tcW w:w="11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860" w:type="dxa"/>
            <w:vAlign w:val="bottom"/>
            <w:tcBorders>
              <w:top w:val="single" w:sz="8" w:color="CCFFCC"/>
            </w:tcBorders>
          </w:tcPr>
          <w:p>
            <w:pPr>
              <w:spacing w:after="0"/>
              <w:rPr>
                <w:sz w:val="16"/>
                <w:szCs w:val="16"/>
                <w:color w:val="auto"/>
              </w:rPr>
            </w:pPr>
          </w:p>
        </w:tc>
        <w:tc>
          <w:tcPr>
            <w:tcW w:w="320" w:type="dxa"/>
            <w:vAlign w:val="bottom"/>
            <w:tcBorders>
              <w:top w:val="single" w:sz="8" w:color="CCFFCC"/>
            </w:tcBorders>
          </w:tcPr>
          <w:p>
            <w:pPr>
              <w:spacing w:after="0"/>
              <w:rPr>
                <w:sz w:val="16"/>
                <w:szCs w:val="16"/>
                <w:color w:val="auto"/>
              </w:rPr>
            </w:pPr>
          </w:p>
        </w:tc>
        <w:tc>
          <w:tcPr>
            <w:tcW w:w="1180" w:type="dxa"/>
            <w:vAlign w:val="bottom"/>
            <w:tcBorders>
              <w:top w:val="single" w:sz="8" w:color="CCFFCC"/>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460" w:type="dxa"/>
            <w:vAlign w:val="bottom"/>
            <w:tcBorders>
              <w:top w:val="single" w:sz="8" w:color="CCFFCC"/>
            </w:tcBorders>
          </w:tcPr>
          <w:p>
            <w:pPr>
              <w:spacing w:after="0"/>
              <w:rPr>
                <w:sz w:val="16"/>
                <w:szCs w:val="16"/>
                <w:color w:val="auto"/>
              </w:rPr>
            </w:pPr>
          </w:p>
        </w:tc>
        <w:tc>
          <w:tcPr>
            <w:tcW w:w="1020" w:type="dxa"/>
            <w:vAlign w:val="bottom"/>
            <w:tcBorders>
              <w:top w:val="single" w:sz="8" w:color="CCFFCC"/>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6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Issuance of Preferred B shares and warrants upon conversion of convertible notes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FFCC"/>
              <w:bottom w:val="single" w:sz="8" w:color="CCFFCC"/>
            </w:tcBorders>
            <w:gridSpan w:val="4"/>
            <w:vMerge w:val="restart"/>
          </w:tcPr>
          <w:p>
            <w:pPr>
              <w:ind w:left="120"/>
              <w:spacing w:after="0"/>
              <w:rPr>
                <w:sz w:val="20"/>
                <w:szCs w:val="20"/>
                <w:color w:val="auto"/>
              </w:rPr>
            </w:pPr>
            <w:r>
              <w:rPr>
                <w:rFonts w:ascii="Arial" w:cs="Arial" w:eastAsia="Arial" w:hAnsi="Arial"/>
                <w:sz w:val="16"/>
                <w:szCs w:val="16"/>
                <w:color w:val="auto"/>
              </w:rPr>
              <w:t>Issuance of Ordinary shares upon conversion of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400" w:type="dxa"/>
            <w:vAlign w:val="bottom"/>
            <w:gridSpan w:val="4"/>
            <w:vMerge w:val="continue"/>
          </w:tcPr>
          <w:p>
            <w:pPr>
              <w:spacing w:after="0"/>
              <w:rPr>
                <w:sz w:val="14"/>
                <w:szCs w:val="14"/>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204" w:lineRule="exact"/>
        <w:rPr>
          <w:sz w:val="20"/>
          <w:szCs w:val="20"/>
          <w:color w:val="auto"/>
        </w:rPr>
      </w:pPr>
    </w:p>
    <w:p>
      <w:pPr>
        <w:jc w:val="both"/>
        <w:ind w:left="1340" w:right="20" w:hanging="443"/>
        <w:spacing w:after="0" w:line="255" w:lineRule="auto"/>
        <w:tabs>
          <w:tab w:leader="none" w:pos="1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9" w:lineRule="exact"/>
        <w:rPr>
          <w:rFonts w:ascii="Arial" w:cs="Arial" w:eastAsia="Arial" w:hAnsi="Arial"/>
          <w:sz w:val="16"/>
          <w:szCs w:val="16"/>
          <w:color w:val="auto"/>
        </w:rPr>
      </w:pPr>
    </w:p>
    <w:p>
      <w:pPr>
        <w:jc w:val="both"/>
        <w:ind w:left="1340" w:hanging="443"/>
        <w:spacing w:after="0" w:line="272" w:lineRule="auto"/>
        <w:tabs>
          <w:tab w:leader="none" w:pos="1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June 30, 2013. The Company plans to have its securities listed on the NASDAQ Stock Market (the "NASDAQ")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00" w:lineRule="exact"/>
        <w:rPr>
          <w:sz w:val="20"/>
          <w:szCs w:val="20"/>
          <w:color w:val="auto"/>
        </w:rPr>
      </w:pPr>
    </w:p>
    <w:p>
      <w:pPr>
        <w:ind w:left="1340" w:hanging="443"/>
        <w:spacing w:after="0"/>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0" w:lineRule="exact"/>
        <w:rPr>
          <w:rFonts w:ascii="Arial" w:cs="Arial" w:eastAsia="Arial" w:hAnsi="Arial"/>
          <w:sz w:val="16"/>
          <w:szCs w:val="16"/>
          <w:color w:val="auto"/>
        </w:rPr>
      </w:pPr>
    </w:p>
    <w:p>
      <w:pPr>
        <w:ind w:left="1360" w:right="80"/>
        <w:spacing w:after="0" w:line="308" w:lineRule="auto"/>
        <w:rPr>
          <w:rFonts w:ascii="Arial" w:cs="Arial" w:eastAsia="Arial" w:hAnsi="Arial"/>
          <w:sz w:val="16"/>
          <w:szCs w:val="16"/>
          <w:color w:val="auto"/>
        </w:rPr>
      </w:pPr>
      <w:r>
        <w:rPr>
          <w:rFonts w:ascii="Arial" w:cs="Arial" w:eastAsia="Arial" w:hAnsi="Arial"/>
          <w:sz w:val="14"/>
          <w:szCs w:val="14"/>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Financial statements in U.S. dollars:</w:t>
      </w:r>
    </w:p>
    <w:p>
      <w:pPr>
        <w:spacing w:after="0" w:line="200" w:lineRule="exact"/>
        <w:rPr>
          <w:rFonts w:ascii="Arial" w:cs="Arial" w:eastAsia="Arial" w:hAnsi="Arial"/>
          <w:sz w:val="16"/>
          <w:szCs w:val="16"/>
          <w:color w:val="auto"/>
        </w:rPr>
      </w:pPr>
    </w:p>
    <w:p>
      <w:pPr>
        <w:ind w:left="1360" w:right="280"/>
        <w:spacing w:after="0" w:line="259" w:lineRule="auto"/>
        <w:rPr>
          <w:rFonts w:ascii="Arial" w:cs="Arial" w:eastAsia="Arial" w:hAnsi="Arial"/>
          <w:sz w:val="16"/>
          <w:szCs w:val="16"/>
          <w:color w:val="auto"/>
        </w:rPr>
      </w:pPr>
      <w:r>
        <w:rPr>
          <w:rFonts w:ascii="Arial" w:cs="Arial" w:eastAsia="Arial" w:hAnsi="Arial"/>
          <w:sz w:val="16"/>
          <w:szCs w:val="16"/>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66" w:lineRule="exact"/>
        <w:rPr>
          <w:rFonts w:ascii="Arial" w:cs="Arial" w:eastAsia="Arial" w:hAnsi="Arial"/>
          <w:sz w:val="16"/>
          <w:szCs w:val="16"/>
          <w:color w:val="auto"/>
        </w:rPr>
      </w:pPr>
    </w:p>
    <w:p>
      <w:pPr>
        <w:ind w:left="1360" w:right="40"/>
        <w:spacing w:after="0" w:line="259" w:lineRule="auto"/>
        <w:rPr>
          <w:rFonts w:ascii="Arial" w:cs="Arial" w:eastAsia="Arial" w:hAnsi="Arial"/>
          <w:sz w:val="16"/>
          <w:szCs w:val="16"/>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66"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Cash equivalents are short-term highly liquid investments that are readily convertible to cash with original maturities of three months or less at acquisition.</w:t>
      </w:r>
    </w:p>
    <w:p>
      <w:pPr>
        <w:spacing w:after="0" w:line="223"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Short-term bank deposit</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Restricted bank deposits: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Restricted bank deposits are pledged in favor of the bank which provides to the Company guarantees with respect to office lease agreements and credit card usage.</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Property and equipment, net:</w:t>
      </w:r>
    </w:p>
    <w:p>
      <w:pPr>
        <w:spacing w:after="0" w:line="200" w:lineRule="exact"/>
        <w:rPr>
          <w:rFonts w:ascii="Arial" w:cs="Arial" w:eastAsia="Arial" w:hAnsi="Arial"/>
          <w:sz w:val="16"/>
          <w:szCs w:val="16"/>
          <w:color w:val="auto"/>
        </w:rPr>
      </w:pPr>
    </w:p>
    <w:p>
      <w:pPr>
        <w:ind w:left="1360" w:right="400"/>
        <w:spacing w:after="0" w:line="277" w:lineRule="auto"/>
        <w:rPr>
          <w:rFonts w:ascii="Arial" w:cs="Arial" w:eastAsia="Arial" w:hAnsi="Arial"/>
          <w:sz w:val="16"/>
          <w:szCs w:val="16"/>
          <w:color w:val="auto"/>
        </w:rPr>
      </w:pPr>
      <w:r>
        <w:rPr>
          <w:rFonts w:ascii="Arial" w:cs="Arial" w:eastAsia="Arial" w:hAnsi="Arial"/>
          <w:sz w:val="16"/>
          <w:szCs w:val="16"/>
          <w:color w:val="auto"/>
        </w:rPr>
        <w:t>Property and equipment are stated at cost, net of accumulated depreciation. Depreciation is calculated using the straight-line method over the estimated useful lives of the assets at the following rates: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340" w:type="dxa"/>
            <w:vAlign w:val="bottom"/>
          </w:tcPr>
          <w:p>
            <w:pPr>
              <w:spacing w:after="0"/>
              <w:rPr>
                <w:sz w:val="18"/>
                <w:szCs w:val="18"/>
                <w:color w:val="auto"/>
              </w:rPr>
            </w:pPr>
          </w:p>
        </w:tc>
      </w:tr>
      <w:tr>
        <w:trPr>
          <w:trHeight w:val="364"/>
        </w:trPr>
        <w:tc>
          <w:tcPr>
            <w:tcW w:w="4680" w:type="dxa"/>
            <w:vAlign w:val="bottom"/>
          </w:tcPr>
          <w:p>
            <w:pPr>
              <w:ind w:left="1380"/>
              <w:spacing w:after="0"/>
              <w:rPr>
                <w:sz w:val="20"/>
                <w:szCs w:val="20"/>
                <w:color w:val="auto"/>
              </w:rPr>
            </w:pPr>
            <w:r>
              <w:rPr>
                <w:rFonts w:ascii="Arial" w:cs="Arial" w:eastAsia="Arial" w:hAnsi="Arial"/>
                <w:sz w:val="16"/>
                <w:szCs w:val="16"/>
                <w:color w:val="auto"/>
              </w:rPr>
              <w:t>Computers and electronic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24"/>
                <w:szCs w:val="24"/>
                <w:color w:val="auto"/>
              </w:rPr>
            </w:pPr>
          </w:p>
        </w:tc>
      </w:tr>
      <w:tr>
        <w:trPr>
          <w:trHeight w:val="192"/>
        </w:trPr>
        <w:tc>
          <w:tcPr>
            <w:tcW w:w="4680" w:type="dxa"/>
            <w:vAlign w:val="bottom"/>
          </w:tcPr>
          <w:p>
            <w:pPr>
              <w:ind w:left="1380"/>
              <w:spacing w:after="0"/>
              <w:rPr>
                <w:sz w:val="20"/>
                <w:szCs w:val="20"/>
                <w:color w:val="auto"/>
              </w:rPr>
            </w:pPr>
            <w:r>
              <w:rPr>
                <w:rFonts w:ascii="Arial" w:cs="Arial" w:eastAsia="Arial" w:hAnsi="Arial"/>
                <w:sz w:val="16"/>
                <w:szCs w:val="16"/>
                <w:color w:val="auto"/>
              </w:rPr>
              <w:t>Office furniture and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w:t>
            </w:r>
          </w:p>
        </w:tc>
        <w:tc>
          <w:tcPr>
            <w:tcW w:w="4340" w:type="dxa"/>
            <w:vAlign w:val="bottom"/>
          </w:tcPr>
          <w:p>
            <w:pPr>
              <w:spacing w:after="0"/>
              <w:rPr>
                <w:sz w:val="16"/>
                <w:szCs w:val="16"/>
                <w:color w:val="auto"/>
              </w:rPr>
            </w:pPr>
          </w:p>
        </w:tc>
      </w:tr>
      <w:tr>
        <w:trPr>
          <w:trHeight w:val="205"/>
        </w:trPr>
        <w:tc>
          <w:tcPr>
            <w:tcW w:w="4680" w:type="dxa"/>
            <w:vAlign w:val="bottom"/>
          </w:tcPr>
          <w:p>
            <w:pPr>
              <w:ind w:left="1380"/>
              <w:spacing w:after="0"/>
              <w:rPr>
                <w:sz w:val="20"/>
                <w:szCs w:val="20"/>
                <w:color w:val="auto"/>
              </w:rPr>
            </w:pPr>
            <w:r>
              <w:rPr>
                <w:rFonts w:ascii="Arial" w:cs="Arial" w:eastAsia="Arial" w:hAnsi="Arial"/>
                <w:sz w:val="16"/>
                <w:szCs w:val="16"/>
                <w:color w:val="auto"/>
              </w:rPr>
              <w:t>Clinical and medical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17"/>
                <w:szCs w:val="17"/>
                <w:color w:val="auto"/>
              </w:rPr>
            </w:pPr>
          </w:p>
        </w:tc>
      </w:tr>
      <w:tr>
        <w:trPr>
          <w:trHeight w:val="577"/>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F-9</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60" w:right="40"/>
        <w:spacing w:after="0" w:line="256"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8" w:lineRule="exact"/>
        <w:rPr>
          <w:sz w:val="20"/>
          <w:szCs w:val="20"/>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Long-term deposits: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Long-term deposits include long-term deposits for motor vehicles under operating leases, presented at their cost.</w:t>
      </w:r>
    </w:p>
    <w:p>
      <w:pPr>
        <w:spacing w:after="0" w:line="200"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00" w:lineRule="exact"/>
        <w:rPr>
          <w:rFonts w:ascii="Arial" w:cs="Arial" w:eastAsia="Arial" w:hAnsi="Arial"/>
          <w:sz w:val="16"/>
          <w:szCs w:val="16"/>
          <w:color w:val="auto"/>
        </w:rPr>
      </w:pPr>
    </w:p>
    <w:p>
      <w:pPr>
        <w:jc w:val="both"/>
        <w:ind w:left="1360"/>
        <w:spacing w:after="0" w:line="302" w:lineRule="auto"/>
        <w:rPr>
          <w:rFonts w:ascii="Arial" w:cs="Arial" w:eastAsia="Arial" w:hAnsi="Arial"/>
          <w:sz w:val="16"/>
          <w:szCs w:val="16"/>
          <w:color w:val="auto"/>
        </w:rPr>
      </w:pPr>
      <w:r>
        <w:rPr>
          <w:rFonts w:ascii="Arial" w:cs="Arial" w:eastAsia="Arial" w:hAnsi="Arial"/>
          <w:sz w:val="14"/>
          <w:szCs w:val="14"/>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4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Severance pay expense for the years ended December 31, 2012 and 2011 amounted to $18 and $14,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00" w:lineRule="exact"/>
        <w:rPr>
          <w:rFonts w:ascii="Arial" w:cs="Arial" w:eastAsia="Arial" w:hAnsi="Arial"/>
          <w:sz w:val="16"/>
          <w:szCs w:val="16"/>
          <w:color w:val="auto"/>
        </w:rPr>
      </w:pPr>
    </w:p>
    <w:p>
      <w:pPr>
        <w:jc w:val="both"/>
        <w:ind w:left="1360" w:right="20"/>
        <w:spacing w:after="0" w:line="259" w:lineRule="auto"/>
        <w:rPr>
          <w:rFonts w:ascii="Arial" w:cs="Arial" w:eastAsia="Arial" w:hAnsi="Arial"/>
          <w:sz w:val="16"/>
          <w:szCs w:val="16"/>
          <w:color w:val="auto"/>
        </w:rPr>
      </w:pPr>
      <w:r>
        <w:rPr>
          <w:rFonts w:ascii="Arial" w:cs="Arial" w:eastAsia="Arial" w:hAnsi="Arial"/>
          <w:sz w:val="16"/>
          <w:szCs w:val="16"/>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66"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believes that its tax positions are all highly certain of being upheld upon examination. As such, as of December 31, 2012 and 2011 the Company has not recorded a liability for uncertain tax positions.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Concentrations of credit risk:</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Financial instruments that potentially subject the Company to concentrations of credit risk consist principally of cash, cash equivalents, short term bank deposit and restricted bank deposits.</w:t>
      </w:r>
    </w:p>
    <w:p>
      <w:pPr>
        <w:spacing w:after="0" w:line="151" w:lineRule="exact"/>
        <w:rPr>
          <w:rFonts w:ascii="Arial" w:cs="Arial" w:eastAsia="Arial" w:hAnsi="Arial"/>
          <w:sz w:val="16"/>
          <w:szCs w:val="16"/>
          <w:color w:val="auto"/>
        </w:rPr>
      </w:pPr>
    </w:p>
    <w:p>
      <w:pPr>
        <w:ind w:left="1360" w:right="20"/>
        <w:spacing w:after="0" w:line="351" w:lineRule="auto"/>
        <w:rPr>
          <w:rFonts w:ascii="Arial" w:cs="Arial" w:eastAsia="Arial" w:hAnsi="Arial"/>
          <w:sz w:val="16"/>
          <w:szCs w:val="16"/>
          <w:color w:val="auto"/>
        </w:rPr>
      </w:pPr>
      <w:r>
        <w:rPr>
          <w:rFonts w:ascii="Arial" w:cs="Arial" w:eastAsia="Arial" w:hAnsi="Arial"/>
          <w:sz w:val="14"/>
          <w:szCs w:val="14"/>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05"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no off-balance-sheet concentration of credit risk such as foreign exchange contracts, option contracts or other foreign hedging arrangements.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78" w:lineRule="auto"/>
        <w:rPr>
          <w:sz w:val="20"/>
          <w:szCs w:val="20"/>
          <w:color w:val="auto"/>
        </w:rPr>
      </w:pPr>
      <w:r>
        <w:rPr>
          <w:rFonts w:ascii="Arial" w:cs="Arial" w:eastAsia="Arial" w:hAnsi="Arial"/>
          <w:sz w:val="15"/>
          <w:szCs w:val="15"/>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 value.</w:t>
      </w:r>
    </w:p>
    <w:p>
      <w:pPr>
        <w:spacing w:after="0" w:line="152"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40"/>
          </w:cols>
          <w:pgMar w:left="240" w:top="820" w:right="219" w:bottom="1440" w:gutter="0" w:footer="0" w:header="0"/>
        </w:sectPr>
      </w:pP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Level 1 -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46"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2 -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6"/>
          <w:szCs w:val="16"/>
          <w:color w:val="auto"/>
        </w:rPr>
        <w:t>Valuations based on one or more quoted prices in markets that are not active or for which all significant inputs are observable, either directly or indirectly.</w:t>
      </w:r>
    </w:p>
    <w:p>
      <w:pPr>
        <w:spacing w:after="0" w:line="152"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spacing w:after="0" w:line="1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52" w:lineRule="exact"/>
        <w:rPr>
          <w:sz w:val="20"/>
          <w:szCs w:val="20"/>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Basic and diluted net loss per share:</w:t>
      </w:r>
    </w:p>
    <w:p>
      <w:pPr>
        <w:spacing w:after="0" w:line="200" w:lineRule="exact"/>
        <w:rPr>
          <w:rFonts w:ascii="Arial" w:cs="Arial" w:eastAsia="Arial" w:hAnsi="Arial"/>
          <w:sz w:val="16"/>
          <w:szCs w:val="16"/>
          <w:color w:val="auto"/>
        </w:rPr>
      </w:pPr>
    </w:p>
    <w:p>
      <w:pPr>
        <w:ind w:left="1360" w:right="260"/>
        <w:spacing w:after="0" w:line="264" w:lineRule="auto"/>
        <w:rPr>
          <w:rFonts w:ascii="Arial" w:cs="Arial" w:eastAsia="Arial" w:hAnsi="Arial"/>
          <w:sz w:val="16"/>
          <w:szCs w:val="16"/>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1"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All outstanding stock options and warrants have been excluded from the calculation of the diluted net loss per share because all such securities are anti-dilutive for all periods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Accounting for stock-based compensation:</w:t>
      </w:r>
    </w:p>
    <w:p>
      <w:pPr>
        <w:spacing w:after="0" w:line="200"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selected the Black-Scholes-Merton ("Black-Scholes") option-pricing model as the fair value method for of its stock-options awards. The option-pricing model requires a number of assumptions as noted below:</w:t>
      </w:r>
    </w:p>
    <w:p>
      <w:pPr>
        <w:spacing w:after="0" w:line="151" w:lineRule="exact"/>
        <w:rPr>
          <w:rFonts w:ascii="Arial" w:cs="Arial" w:eastAsia="Arial" w:hAnsi="Arial"/>
          <w:sz w:val="16"/>
          <w:szCs w:val="16"/>
          <w:color w:val="auto"/>
        </w:rPr>
      </w:pPr>
    </w:p>
    <w:p>
      <w:pPr>
        <w:ind w:left="1360" w:right="280"/>
        <w:spacing w:after="0" w:line="312" w:lineRule="auto"/>
        <w:rPr>
          <w:rFonts w:ascii="Arial" w:cs="Arial" w:eastAsia="Arial" w:hAnsi="Arial"/>
          <w:sz w:val="16"/>
          <w:szCs w:val="16"/>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 The expected dividend yield assumption is based on the Company's historical experience and expectation of no future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The Company has historically not paid cash dividends and has no foreseeable plans to pay cash dividends in the future.</w:t>
      </w:r>
    </w:p>
    <w:p>
      <w:pPr>
        <w:spacing w:after="0" w:line="128" w:lineRule="exact"/>
        <w:rPr>
          <w:rFonts w:ascii="Arial" w:cs="Arial" w:eastAsia="Arial" w:hAnsi="Arial"/>
          <w:sz w:val="16"/>
          <w:szCs w:val="16"/>
          <w:color w:val="auto"/>
        </w:rPr>
      </w:pPr>
    </w:p>
    <w:p>
      <w:pPr>
        <w:ind w:left="1360" w:right="220"/>
        <w:spacing w:after="0" w:line="351" w:lineRule="auto"/>
        <w:rPr>
          <w:rFonts w:ascii="Arial" w:cs="Arial" w:eastAsia="Arial" w:hAnsi="Arial"/>
          <w:sz w:val="16"/>
          <w:szCs w:val="16"/>
          <w:color w:val="auto"/>
        </w:rPr>
      </w:pPr>
      <w:r>
        <w:rPr>
          <w:rFonts w:ascii="Arial" w:cs="Arial" w:eastAsia="Arial" w:hAnsi="Arial"/>
          <w:sz w:val="14"/>
          <w:szCs w:val="14"/>
          <w:i w:val="1"/>
          <w:iCs w:val="1"/>
          <w:color w:val="auto"/>
        </w:rPr>
        <w:t xml:space="preserve">Volatility </w:t>
      </w:r>
      <w:r>
        <w:rPr>
          <w:rFonts w:ascii="Arial" w:cs="Arial" w:eastAsia="Arial" w:hAnsi="Arial"/>
          <w:sz w:val="14"/>
          <w:szCs w:val="14"/>
          <w:color w:val="auto"/>
        </w:rPr>
        <w:t>- Since the Company is not traded on any stock exchange market, quoted prices of the Company's share are unavailable. According to ASC 718,</w:t>
      </w:r>
      <w:r>
        <w:rPr>
          <w:rFonts w:ascii="Arial" w:cs="Arial" w:eastAsia="Arial" w:hAnsi="Arial"/>
          <w:sz w:val="14"/>
          <w:szCs w:val="14"/>
          <w:i w:val="1"/>
          <w:iCs w:val="1"/>
          <w:color w:val="auto"/>
        </w:rPr>
        <w:t xml:space="preserve"> </w:t>
      </w:r>
      <w:r>
        <w:rPr>
          <w:rFonts w:ascii="Arial" w:cs="Arial" w:eastAsia="Arial" w:hAnsi="Arial"/>
          <w:sz w:val="14"/>
          <w:szCs w:val="14"/>
          <w:color w:val="auto"/>
        </w:rPr>
        <w:t>due to insufficient or no historical data for a company, the expected volatility determination was based on similar companies' stock volatility.</w:t>
      </w:r>
    </w:p>
    <w:p>
      <w:pPr>
        <w:spacing w:after="0" w:line="105"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rFonts w:ascii="Arial" w:cs="Arial" w:eastAsia="Arial" w:hAnsi="Arial"/>
          <w:sz w:val="16"/>
          <w:szCs w:val="16"/>
          <w:color w:val="auto"/>
        </w:rPr>
      </w:pPr>
    </w:p>
    <w:p>
      <w:pPr>
        <w:jc w:val="both"/>
        <w:ind w:left="136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 at least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89" w:lineRule="auto"/>
        <w:rPr>
          <w:sz w:val="20"/>
          <w:szCs w:val="20"/>
          <w:color w:val="auto"/>
        </w:rPr>
      </w:pPr>
      <w:r>
        <w:rPr>
          <w:rFonts w:ascii="Arial" w:cs="Arial" w:eastAsia="Arial" w:hAnsi="Arial"/>
          <w:sz w:val="15"/>
          <w:szCs w:val="15"/>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3:- RECEIVABLES AND PREPAID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Government authorities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Advance to suppliers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2"/>
            <w:vMerge w:val="restart"/>
          </w:tcPr>
          <w:p>
            <w:pPr>
              <w:ind w:left="580"/>
              <w:spacing w:after="0"/>
              <w:rPr>
                <w:sz w:val="20"/>
                <w:szCs w:val="20"/>
                <w:color w:val="auto"/>
              </w:rPr>
            </w:pPr>
            <w:r>
              <w:rPr>
                <w:rFonts w:ascii="Arial" w:cs="Arial" w:eastAsia="Arial" w:hAnsi="Arial"/>
                <w:sz w:val="16"/>
                <w:szCs w:val="16"/>
                <w:color w:val="auto"/>
              </w:rPr>
              <w:t>Cost: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Depreciated cost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expenses for the years ended December 31, 2012 and 2011 were $7 and $6,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5:- OTHER ACCOUNTS PAYABLE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Employees and payroll accruals</w:t>
            </w:r>
          </w:p>
        </w:tc>
        <w:tc>
          <w:tcPr>
            <w:tcW w:w="1000" w:type="dxa"/>
            <w:vAlign w:val="bottom"/>
            <w:shd w:val="clear" w:color="auto" w:fill="CCFFCC"/>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FFCC"/>
          </w:tcPr>
          <w:p>
            <w:pPr>
              <w:spacing w:after="0"/>
              <w:rPr>
                <w:sz w:val="16"/>
                <w:szCs w:val="16"/>
                <w:color w:val="auto"/>
              </w:rPr>
            </w:pPr>
          </w:p>
        </w:tc>
      </w:tr>
      <w:tr>
        <w:trPr>
          <w:trHeight w:val="204"/>
        </w:trPr>
        <w:tc>
          <w:tcPr>
            <w:tcW w:w="580" w:type="dxa"/>
            <w:vAlign w:val="bottom"/>
          </w:tcPr>
          <w:p>
            <w:pPr>
              <w:spacing w:after="0"/>
              <w:rPr>
                <w:sz w:val="17"/>
                <w:szCs w:val="17"/>
                <w:color w:val="auto"/>
              </w:rPr>
            </w:pPr>
          </w:p>
        </w:tc>
        <w:tc>
          <w:tcPr>
            <w:tcW w:w="76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FFC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FFCC"/>
            </w:tcBorders>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CONVERTIBLE NOTES</w:t>
      </w:r>
    </w:p>
    <w:p>
      <w:pPr>
        <w:spacing w:after="0" w:line="204" w:lineRule="exact"/>
        <w:rPr>
          <w:sz w:val="20"/>
          <w:szCs w:val="20"/>
          <w:color w:val="auto"/>
        </w:rPr>
      </w:pPr>
    </w:p>
    <w:p>
      <w:pPr>
        <w:jc w:val="both"/>
        <w:ind w:left="1340" w:right="20" w:hanging="443"/>
        <w:spacing w:after="0" w:line="302" w:lineRule="auto"/>
        <w:tabs>
          <w:tab w:leader="none" w:pos="1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40" w:lineRule="exact"/>
        <w:rPr>
          <w:rFonts w:ascii="Arial" w:cs="Arial" w:eastAsia="Arial" w:hAnsi="Arial"/>
          <w:sz w:val="14"/>
          <w:szCs w:val="14"/>
          <w:color w:val="auto"/>
        </w:rPr>
      </w:pPr>
    </w:p>
    <w:p>
      <w:pPr>
        <w:jc w:val="both"/>
        <w:ind w:left="1340" w:right="20" w:hanging="443"/>
        <w:spacing w:after="0" w:line="276" w:lineRule="auto"/>
        <w:tabs>
          <w:tab w:leader="none" w:pos="1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55" w:lineRule="exact"/>
        <w:rPr>
          <w:sz w:val="20"/>
          <w:szCs w:val="20"/>
          <w:color w:val="auto"/>
        </w:rPr>
      </w:pPr>
    </w:p>
    <w:p>
      <w:pPr>
        <w:jc w:val="both"/>
        <w:ind w:left="900"/>
        <w:spacing w:after="0" w:line="25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Upon conversion of the convertible note in February 2010, the entire redemption amount was derecognized against additional paid in capital in the amount of</w:t>
      </w:r>
    </w:p>
    <w:p>
      <w:pPr>
        <w:spacing w:after="0" w:line="32" w:lineRule="exact"/>
        <w:rPr>
          <w:sz w:val="20"/>
          <w:szCs w:val="20"/>
          <w:color w:val="auto"/>
        </w:rPr>
      </w:pPr>
    </w:p>
    <w:p>
      <w:pPr>
        <w:ind w:left="5560" w:right="5020" w:hanging="4656"/>
        <w:spacing w:after="0" w:line="829" w:lineRule="auto"/>
        <w:tabs>
          <w:tab w:leader="none" w:pos="1021" w:val="left"/>
        </w:tabs>
        <w:numPr>
          <w:ilvl w:val="0"/>
          <w:numId w:val="96"/>
        </w:numPr>
        <w:rPr>
          <w:rFonts w:ascii="Arial" w:cs="Arial" w:eastAsia="Arial" w:hAnsi="Arial"/>
          <w:sz w:val="15"/>
          <w:szCs w:val="15"/>
          <w:color w:val="auto"/>
        </w:rPr>
      </w:pPr>
      <w:r>
        <w:rPr>
          <w:rFonts w:ascii="Arial" w:cs="Arial" w:eastAsia="Arial" w:hAnsi="Arial"/>
          <w:sz w:val="15"/>
          <w:szCs w:val="15"/>
          <w:color w:val="auto"/>
        </w:rPr>
        <w:t>279. As of December 31, 2012, the convertible notes redemption amount was $ 662.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INCOME TAXES</w:t>
      </w:r>
    </w:p>
    <w:p>
      <w:pPr>
        <w:spacing w:after="0" w:line="204" w:lineRule="exact"/>
        <w:rPr>
          <w:sz w:val="20"/>
          <w:szCs w:val="20"/>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Tax rates applicable to the Company:</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5"/>
          <w:szCs w:val="15"/>
          <w:color w:val="auto"/>
        </w:rPr>
        <w:t>The Company is incorporated in Israel. Taxable income of Israeli companies is subject to tax at the rate of 24% in 2011 and 25% in 2012 and onwards.</w:t>
      </w:r>
    </w:p>
    <w:p>
      <w:pPr>
        <w:spacing w:after="0" w:line="21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Net operating losses carry forward:</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accumulated losses for tax purposes as of December 31, 2012 in the amount of approximately $ 4,600 which may be carried forward and offset against taxable income in the future for an indefinite period.</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0" w:lineRule="exact"/>
        <w:rPr>
          <w:rFonts w:ascii="Arial" w:cs="Arial" w:eastAsia="Arial" w:hAnsi="Arial"/>
          <w:sz w:val="16"/>
          <w:szCs w:val="16"/>
          <w:color w:val="auto"/>
        </w:rPr>
      </w:pPr>
    </w:p>
    <w:p>
      <w:pPr>
        <w:ind w:left="1360" w:right="20"/>
        <w:spacing w:after="0" w:line="312" w:lineRule="auto"/>
        <w:rPr>
          <w:rFonts w:ascii="Arial" w:cs="Arial" w:eastAsia="Arial" w:hAnsi="Arial"/>
          <w:sz w:val="16"/>
          <w:szCs w:val="16"/>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r>
      <w:tr>
        <w:trPr>
          <w:trHeight w:val="184"/>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Operating loss carryforward</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1,153</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703</w:t>
            </w: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Reserves and allowances</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84"/>
        </w:trPr>
        <w:tc>
          <w:tcPr>
            <w:tcW w:w="69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280" w:type="dxa"/>
            <w:vAlign w:val="bottom"/>
            <w:tcBorders>
              <w:top w:val="single" w:sz="8" w:color="CCFFCC"/>
            </w:tcBorders>
            <w:shd w:val="clear" w:color="auto" w:fill="CCFFCC"/>
          </w:tcPr>
          <w:p>
            <w:pPr>
              <w:spacing w:after="0"/>
              <w:rPr>
                <w:sz w:val="16"/>
                <w:szCs w:val="16"/>
                <w:color w:val="auto"/>
              </w:rPr>
            </w:pPr>
          </w:p>
        </w:tc>
        <w:tc>
          <w:tcPr>
            <w:tcW w:w="40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Net deferred tax asset before valuation allowance</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1,461</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1,044</w:t>
            </w: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Valuation allowance</w:t>
            </w:r>
          </w:p>
        </w:tc>
        <w:tc>
          <w:tcPr>
            <w:tcW w:w="84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w w:val="94"/>
              </w:rPr>
              <w:t>(1,461)</w:t>
            </w:r>
          </w:p>
        </w:tc>
        <w:tc>
          <w:tcPr>
            <w:tcW w:w="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(1,044)</w:t>
            </w:r>
          </w:p>
        </w:tc>
      </w:tr>
      <w:tr>
        <w:trPr>
          <w:trHeight w:val="184"/>
        </w:trPr>
        <w:tc>
          <w:tcPr>
            <w:tcW w:w="69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Net deferred tax asset</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80" w:lineRule="exact"/>
        <w:rPr>
          <w:sz w:val="20"/>
          <w:szCs w:val="20"/>
          <w:color w:val="auto"/>
        </w:rPr>
      </w:pPr>
    </w:p>
    <w:p>
      <w:pPr>
        <w:jc w:val="both"/>
        <w:ind w:left="1360"/>
        <w:spacing w:after="0" w:line="264" w:lineRule="auto"/>
        <w:rPr>
          <w:sz w:val="20"/>
          <w:szCs w:val="20"/>
          <w:color w:val="auto"/>
        </w:rPr>
      </w:pPr>
      <w:r>
        <w:rPr>
          <w:rFonts w:ascii="Arial" w:cs="Arial" w:eastAsia="Arial" w:hAnsi="Arial"/>
          <w:sz w:val="16"/>
          <w:szCs w:val="16"/>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62" w:lineRule="exact"/>
        <w:rPr>
          <w:sz w:val="20"/>
          <w:szCs w:val="20"/>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liability for uncertain tax positions was recorded as a result of implementation of ASC 740.</w:t>
      </w:r>
    </w:p>
    <w:p>
      <w:pPr>
        <w:spacing w:after="0" w:line="200" w:lineRule="exact"/>
        <w:rPr>
          <w:rFonts w:ascii="Arial" w:cs="Arial" w:eastAsia="Arial" w:hAnsi="Arial"/>
          <w:sz w:val="16"/>
          <w:szCs w:val="16"/>
          <w:color w:val="auto"/>
        </w:rPr>
      </w:pPr>
    </w:p>
    <w:p>
      <w:pPr>
        <w:ind w:left="1340" w:right="20" w:hanging="443"/>
        <w:spacing w:after="0" w:line="312" w:lineRule="auto"/>
        <w:tabs>
          <w:tab w:leader="none" w:pos="1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CONTINGENT LIABILITIES AND COMMITMENTS</w:t>
      </w:r>
    </w:p>
    <w:p>
      <w:pPr>
        <w:spacing w:after="0" w:line="204" w:lineRule="exact"/>
        <w:rPr>
          <w:sz w:val="20"/>
          <w:szCs w:val="20"/>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5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8"/>
        </w:trPr>
        <w:tc>
          <w:tcPr>
            <w:tcW w:w="174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740" w:type="dxa"/>
            <w:vAlign w:val="bottom"/>
            <w:shd w:val="clear" w:color="auto" w:fill="CCFFCC"/>
          </w:tcPr>
          <w:p>
            <w:pPr>
              <w:jc w:val="right"/>
              <w:ind w:right="1300"/>
              <w:spacing w:after="0"/>
              <w:rPr>
                <w:sz w:val="20"/>
                <w:szCs w:val="20"/>
                <w:color w:val="auto"/>
              </w:rPr>
            </w:pPr>
            <w:r>
              <w:rPr>
                <w:rFonts w:ascii="Arial" w:cs="Arial" w:eastAsia="Arial" w:hAnsi="Arial"/>
                <w:sz w:val="16"/>
                <w:szCs w:val="16"/>
                <w:color w:val="auto"/>
                <w:w w:val="95"/>
              </w:rPr>
              <w:t>2013</w:t>
            </w: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FFCC"/>
          </w:tcPr>
          <w:p>
            <w:pPr>
              <w:spacing w:after="0"/>
              <w:rPr>
                <w:sz w:val="16"/>
                <w:szCs w:val="16"/>
                <w:color w:val="auto"/>
              </w:rPr>
            </w:pPr>
          </w:p>
        </w:tc>
      </w:tr>
      <w:tr>
        <w:trPr>
          <w:trHeight w:val="204"/>
        </w:trPr>
        <w:tc>
          <w:tcPr>
            <w:tcW w:w="1740" w:type="dxa"/>
            <w:vAlign w:val="bottom"/>
            <w:tcBorders>
              <w:bottom w:val="single" w:sz="8" w:color="CCFFCC"/>
            </w:tcBorders>
          </w:tcPr>
          <w:p>
            <w:pPr>
              <w:jc w:val="right"/>
              <w:ind w:right="1300"/>
              <w:spacing w:after="0"/>
              <w:rPr>
                <w:sz w:val="20"/>
                <w:szCs w:val="20"/>
                <w:color w:val="auto"/>
              </w:rPr>
            </w:pPr>
            <w:r>
              <w:rPr>
                <w:rFonts w:ascii="Arial" w:cs="Arial" w:eastAsia="Arial" w:hAnsi="Arial"/>
                <w:sz w:val="16"/>
                <w:szCs w:val="16"/>
                <w:color w:val="auto"/>
                <w:w w:val="95"/>
              </w:rPr>
              <w:t>2014</w:t>
            </w:r>
          </w:p>
        </w:tc>
        <w:tc>
          <w:tcPr>
            <w:tcW w:w="476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FFCC"/>
            </w:tcBorders>
          </w:tcPr>
          <w:p>
            <w:pPr>
              <w:spacing w:after="0"/>
              <w:rPr>
                <w:sz w:val="17"/>
                <w:szCs w:val="17"/>
                <w:color w:val="auto"/>
              </w:rPr>
            </w:pPr>
          </w:p>
        </w:tc>
      </w:tr>
      <w:tr>
        <w:trPr>
          <w:trHeight w:val="184"/>
        </w:trPr>
        <w:tc>
          <w:tcPr>
            <w:tcW w:w="1740" w:type="dxa"/>
            <w:vAlign w:val="bottom"/>
            <w:shd w:val="clear" w:color="auto" w:fill="CCFFCC"/>
          </w:tcPr>
          <w:p>
            <w:pPr>
              <w:spacing w:after="0"/>
              <w:rPr>
                <w:sz w:val="16"/>
                <w:szCs w:val="16"/>
                <w:color w:val="auto"/>
              </w:rPr>
            </w:pP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13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40" w:hanging="443"/>
        <w:spacing w:after="0"/>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Royalty bearing Government grants: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51" w:lineRule="exact"/>
        <w:rPr>
          <w:rFonts w:ascii="Arial" w:cs="Arial" w:eastAsia="Arial" w:hAnsi="Arial"/>
          <w:sz w:val="16"/>
          <w:szCs w:val="16"/>
          <w:color w:val="auto"/>
        </w:rPr>
      </w:pPr>
    </w:p>
    <w:p>
      <w:pPr>
        <w:jc w:val="both"/>
        <w:ind w:left="1360" w:right="20"/>
        <w:spacing w:after="0" w:line="297" w:lineRule="auto"/>
        <w:rPr>
          <w:rFonts w:ascii="Arial" w:cs="Arial" w:eastAsia="Arial" w:hAnsi="Arial"/>
          <w:sz w:val="16"/>
          <w:szCs w:val="16"/>
          <w:color w:val="auto"/>
        </w:rPr>
      </w:pPr>
      <w:r>
        <w:rPr>
          <w:rFonts w:ascii="Arial" w:cs="Arial" w:eastAsia="Arial" w:hAnsi="Arial"/>
          <w:sz w:val="14"/>
          <w:szCs w:val="14"/>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w:t>
      </w:r>
    </w:p>
    <w:p>
      <w:pPr>
        <w:spacing w:after="0" w:line="204" w:lineRule="exact"/>
        <w:rPr>
          <w:sz w:val="20"/>
          <w:szCs w:val="20"/>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General:</w:t>
      </w:r>
    </w:p>
    <w:p>
      <w:pPr>
        <w:spacing w:after="0" w:line="200" w:lineRule="exact"/>
        <w:rPr>
          <w:rFonts w:ascii="Arial" w:cs="Arial" w:eastAsia="Arial" w:hAnsi="Arial"/>
          <w:sz w:val="16"/>
          <w:szCs w:val="16"/>
          <w:color w:val="auto"/>
        </w:rPr>
      </w:pPr>
    </w:p>
    <w:p>
      <w:pPr>
        <w:jc w:val="both"/>
        <w:ind w:left="1340" w:right="20"/>
        <w:spacing w:after="0" w:line="264" w:lineRule="auto"/>
        <w:rPr>
          <w:rFonts w:ascii="Arial" w:cs="Arial" w:eastAsia="Arial" w:hAnsi="Arial"/>
          <w:sz w:val="16"/>
          <w:szCs w:val="16"/>
          <w:color w:val="auto"/>
        </w:rPr>
      </w:pPr>
      <w:r>
        <w:rPr>
          <w:rFonts w:ascii="Arial" w:cs="Arial" w:eastAsia="Arial" w:hAnsi="Arial"/>
          <w:sz w:val="16"/>
          <w:szCs w:val="16"/>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 capital:</w:t>
      </w:r>
    </w:p>
    <w:p>
      <w:pPr>
        <w:spacing w:after="0" w:line="200" w:lineRule="exact"/>
        <w:rPr>
          <w:rFonts w:ascii="Arial" w:cs="Arial" w:eastAsia="Arial" w:hAnsi="Arial"/>
          <w:sz w:val="16"/>
          <w:szCs w:val="16"/>
          <w:color w:val="auto"/>
        </w:rPr>
      </w:pPr>
    </w:p>
    <w:p>
      <w:pPr>
        <w:ind w:left="1340"/>
        <w:spacing w:after="0" w:line="277" w:lineRule="auto"/>
        <w:rPr>
          <w:rFonts w:ascii="Arial" w:cs="Arial" w:eastAsia="Arial" w:hAnsi="Arial"/>
          <w:sz w:val="16"/>
          <w:szCs w:val="16"/>
          <w:color w:val="auto"/>
        </w:rPr>
      </w:pPr>
      <w:r>
        <w:rPr>
          <w:rFonts w:ascii="Arial" w:cs="Arial" w:eastAsia="Arial" w:hAnsi="Arial"/>
          <w:sz w:val="16"/>
          <w:szCs w:val="16"/>
          <w:color w:val="auto"/>
        </w:rPr>
        <w:t>The Ordinary shares confer upon their holders the right to participate and vote in general shareholders meetings of the Company and to share in the distribution of dividends, if any declared by the Company.</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Issuances of shares:</w:t>
      </w:r>
    </w:p>
    <w:p>
      <w:pPr>
        <w:spacing w:after="0" w:line="200" w:lineRule="exact"/>
        <w:rPr>
          <w:rFonts w:ascii="Arial" w:cs="Arial" w:eastAsia="Arial" w:hAnsi="Arial"/>
          <w:sz w:val="16"/>
          <w:szCs w:val="16"/>
          <w:color w:val="auto"/>
        </w:rPr>
      </w:pPr>
    </w:p>
    <w:p>
      <w:pPr>
        <w:ind w:left="1800" w:hanging="447"/>
        <w:spacing w:after="0"/>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February 7, 2008, (inception day) the Company issued 5,752,600 Ordinary shares in consideration of their par value.</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February 2008, the Company entered into an investment agreement, according to the agreement, the Company issued 434,814 Preferred A shares in consideration of $400.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hanging="447"/>
        <w:spacing w:after="0" w:line="264"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61" w:lineRule="exact"/>
        <w:rPr>
          <w:rFonts w:ascii="Arial" w:cs="Arial" w:eastAsia="Arial" w:hAnsi="Arial"/>
          <w:sz w:val="16"/>
          <w:szCs w:val="16"/>
          <w:color w:val="auto"/>
        </w:rPr>
      </w:pPr>
    </w:p>
    <w:p>
      <w:pPr>
        <w:jc w:val="both"/>
        <w:ind w:left="1820" w:right="20"/>
        <w:spacing w:after="0" w:line="264" w:lineRule="auto"/>
        <w:rPr>
          <w:rFonts w:ascii="Arial" w:cs="Arial" w:eastAsia="Arial" w:hAnsi="Arial"/>
          <w:sz w:val="16"/>
          <w:szCs w:val="16"/>
          <w:color w:val="auto"/>
        </w:rPr>
      </w:pPr>
      <w:r>
        <w:rPr>
          <w:rFonts w:ascii="Arial" w:cs="Arial" w:eastAsia="Arial" w:hAnsi="Arial"/>
          <w:sz w:val="16"/>
          <w:szCs w:val="16"/>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6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In January 2009, the Investor carried out the rest of the services and an additional 190,229 Preferred A shares were issued.</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51"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51" w:lineRule="exact"/>
        <w:rPr>
          <w:rFonts w:ascii="Arial" w:cs="Arial" w:eastAsia="Arial" w:hAnsi="Arial"/>
          <w:sz w:val="16"/>
          <w:szCs w:val="16"/>
          <w:color w:val="auto"/>
        </w:rPr>
      </w:pPr>
    </w:p>
    <w:p>
      <w:pPr>
        <w:jc w:val="both"/>
        <w:ind w:left="1800" w:right="20" w:hanging="447"/>
        <w:spacing w:after="0" w:line="259"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66" w:lineRule="exact"/>
        <w:rPr>
          <w:rFonts w:ascii="Arial" w:cs="Arial" w:eastAsia="Arial" w:hAnsi="Arial"/>
          <w:sz w:val="16"/>
          <w:szCs w:val="16"/>
          <w:color w:val="auto"/>
        </w:rPr>
      </w:pPr>
    </w:p>
    <w:p>
      <w:pPr>
        <w:jc w:val="both"/>
        <w:ind w:left="1800" w:right="20"/>
        <w:spacing w:after="0" w:line="259" w:lineRule="auto"/>
        <w:rPr>
          <w:rFonts w:ascii="Arial" w:cs="Arial" w:eastAsia="Arial" w:hAnsi="Arial"/>
          <w:sz w:val="16"/>
          <w:szCs w:val="16"/>
          <w:color w:val="auto"/>
        </w:rPr>
      </w:pPr>
      <w:r>
        <w:rPr>
          <w:rFonts w:ascii="Arial" w:cs="Arial" w:eastAsia="Arial" w:hAnsi="Arial"/>
          <w:sz w:val="16"/>
          <w:szCs w:val="16"/>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66" w:lineRule="exact"/>
        <w:rPr>
          <w:rFonts w:ascii="Arial" w:cs="Arial" w:eastAsia="Arial" w:hAnsi="Arial"/>
          <w:sz w:val="16"/>
          <w:szCs w:val="16"/>
          <w:color w:val="auto"/>
        </w:rPr>
      </w:pPr>
    </w:p>
    <w:p>
      <w:pPr>
        <w:ind w:left="1800" w:right="20"/>
        <w:spacing w:after="0" w:line="277" w:lineRule="auto"/>
        <w:rPr>
          <w:rFonts w:ascii="Arial" w:cs="Arial" w:eastAsia="Arial" w:hAnsi="Arial"/>
          <w:sz w:val="16"/>
          <w:szCs w:val="16"/>
          <w:color w:val="auto"/>
        </w:rPr>
      </w:pPr>
      <w:r>
        <w:rPr>
          <w:rFonts w:ascii="Arial" w:cs="Arial" w:eastAsia="Arial" w:hAnsi="Arial"/>
          <w:sz w:val="16"/>
          <w:szCs w:val="16"/>
          <w:color w:val="auto"/>
        </w:rPr>
        <w:t>In August 2010, additional 159,335 preferred B shares and 39,834 warrants to preferred B-3 were issued for a total consideration of $323 (net of $26 issuance expenses).</w:t>
      </w:r>
    </w:p>
    <w:p>
      <w:pPr>
        <w:spacing w:after="0" w:line="151" w:lineRule="exact"/>
        <w:rPr>
          <w:rFonts w:ascii="Arial" w:cs="Arial" w:eastAsia="Arial" w:hAnsi="Arial"/>
          <w:sz w:val="16"/>
          <w:szCs w:val="16"/>
          <w:color w:val="auto"/>
        </w:rPr>
      </w:pPr>
    </w:p>
    <w:p>
      <w:pPr>
        <w:jc w:val="both"/>
        <w:ind w:left="1800" w:right="20" w:hanging="447"/>
        <w:spacing w:after="0" w:line="25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spacing w:after="0" w:line="302" w:lineRule="auto"/>
        <w:rPr>
          <w:sz w:val="20"/>
          <w:szCs w:val="20"/>
          <w:color w:val="auto"/>
        </w:rPr>
      </w:pPr>
      <w:r>
        <w:rPr>
          <w:rFonts w:ascii="Arial" w:cs="Arial" w:eastAsia="Arial" w:hAnsi="Arial"/>
          <w:sz w:val="14"/>
          <w:szCs w:val="14"/>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40" w:lineRule="exact"/>
        <w:rPr>
          <w:sz w:val="20"/>
          <w:szCs w:val="20"/>
          <w:color w:val="auto"/>
        </w:rPr>
      </w:pPr>
    </w:p>
    <w:p>
      <w:pPr>
        <w:jc w:val="both"/>
        <w:ind w:left="1820" w:right="20"/>
        <w:spacing w:after="0" w:line="291" w:lineRule="auto"/>
        <w:rPr>
          <w:sz w:val="20"/>
          <w:szCs w:val="20"/>
          <w:color w:val="auto"/>
        </w:rPr>
      </w:pPr>
      <w:r>
        <w:rPr>
          <w:rFonts w:ascii="Arial" w:cs="Arial" w:eastAsia="Arial" w:hAnsi="Arial"/>
          <w:sz w:val="14"/>
          <w:szCs w:val="14"/>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w:t>
      </w:r>
    </w:p>
    <w:p>
      <w:pPr>
        <w:ind w:left="1820" w:right="20" w:hanging="8"/>
        <w:spacing w:after="0" w:line="261" w:lineRule="auto"/>
        <w:tabs>
          <w:tab w:leader="none" w:pos="195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15 and of $ 1,466 in the years ended December 31, 2012 and 2011, respectively. Additionally, a deemed dividend to other Ordinary shareholders was recorded in the amount of $ 180 for the year ended December 31, 2011.</w:t>
      </w:r>
    </w:p>
    <w:p>
      <w:pPr>
        <w:spacing w:after="0" w:line="163" w:lineRule="exact"/>
        <w:rPr>
          <w:rFonts w:ascii="Arial" w:cs="Arial" w:eastAsia="Arial" w:hAnsi="Arial"/>
          <w:sz w:val="16"/>
          <w:szCs w:val="16"/>
          <w:color w:val="auto"/>
        </w:rPr>
      </w:pPr>
    </w:p>
    <w:p>
      <w:pPr>
        <w:ind w:left="1340" w:hanging="443"/>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2010 incentive option plan:</w:t>
      </w:r>
    </w:p>
    <w:p>
      <w:pPr>
        <w:spacing w:after="0" w:line="200" w:lineRule="exact"/>
        <w:rPr>
          <w:rFonts w:ascii="Arial" w:cs="Arial" w:eastAsia="Arial" w:hAnsi="Arial"/>
          <w:sz w:val="16"/>
          <w:szCs w:val="16"/>
          <w:color w:val="auto"/>
        </w:rPr>
      </w:pPr>
    </w:p>
    <w:p>
      <w:pPr>
        <w:jc w:val="both"/>
        <w:ind w:left="1340" w:right="20"/>
        <w:spacing w:after="0" w:line="259" w:lineRule="auto"/>
        <w:rPr>
          <w:rFonts w:ascii="Arial" w:cs="Arial" w:eastAsia="Arial" w:hAnsi="Arial"/>
          <w:sz w:val="16"/>
          <w:szCs w:val="16"/>
          <w:color w:val="auto"/>
        </w:rPr>
      </w:pPr>
      <w:r>
        <w:rPr>
          <w:rFonts w:ascii="Arial" w:cs="Arial" w:eastAsia="Arial" w:hAnsi="Arial"/>
          <w:sz w:val="16"/>
          <w:szCs w:val="16"/>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NOTE 9:- SHAREHOLDERS' EQUITY (DEFICIENCY) (Cont.)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8"/>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(A development stage company)</w:t>
            </w:r>
          </w:p>
        </w:tc>
      </w:tr>
      <w:tr>
        <w:trPr>
          <w:trHeight w:val="384"/>
        </w:trPr>
        <w:tc>
          <w:tcPr>
            <w:tcW w:w="9440" w:type="dxa"/>
            <w:vAlign w:val="bottom"/>
            <w:gridSpan w:val="9"/>
          </w:tcPr>
          <w:p>
            <w:pPr>
              <w:jc w:val="right"/>
              <w:ind w:right="1000"/>
              <w:spacing w:after="0"/>
              <w:rPr>
                <w:sz w:val="20"/>
                <w:szCs w:val="20"/>
                <w:color w:val="auto"/>
              </w:rPr>
            </w:pPr>
            <w:r>
              <w:rPr>
                <w:rFonts w:ascii="Arial" w:cs="Arial" w:eastAsia="Arial" w:hAnsi="Arial"/>
                <w:sz w:val="16"/>
                <w:szCs w:val="16"/>
                <w:color w:val="auto"/>
              </w:rPr>
              <w:t>A summary of the Company's options activity (for employees and directors) under the 2010 Plan is as follows: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2012</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80" w:type="dxa"/>
            <w:vAlign w:val="bottom"/>
            <w:gridSpan w:val="3"/>
          </w:tcPr>
          <w:p>
            <w:pPr>
              <w:jc w:val="center"/>
              <w:ind w:right="1120"/>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options</w:t>
            </w:r>
          </w:p>
        </w:tc>
        <w:tc>
          <w:tcPr>
            <w:tcW w:w="2000" w:type="dxa"/>
            <w:vAlign w:val="bottom"/>
            <w:gridSpan w:val="4"/>
          </w:tcPr>
          <w:p>
            <w:pPr>
              <w:jc w:val="center"/>
              <w:ind w:right="1000"/>
              <w:spacing w:after="0"/>
              <w:rPr>
                <w:sz w:val="20"/>
                <w:szCs w:val="20"/>
                <w:color w:val="auto"/>
              </w:rPr>
            </w:pPr>
            <w:r>
              <w:rPr>
                <w:rFonts w:ascii="Arial" w:cs="Arial" w:eastAsia="Arial" w:hAnsi="Arial"/>
                <w:sz w:val="16"/>
                <w:szCs w:val="16"/>
                <w:b w:val="1"/>
                <w:bCs w:val="1"/>
                <w:color w:val="auto"/>
                <w:w w:val="86"/>
              </w:rPr>
              <w:t>exercise price</w:t>
            </w:r>
          </w:p>
        </w:tc>
      </w:tr>
      <w:tr>
        <w:trPr>
          <w:trHeight w:val="184"/>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0.18</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Exercised</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17"/>
                <w:szCs w:val="17"/>
                <w:color w:val="auto"/>
              </w:rPr>
            </w:pPr>
          </w:p>
        </w:tc>
      </w:tr>
      <w:tr>
        <w:trPr>
          <w:trHeight w:val="184"/>
        </w:trPr>
        <w:tc>
          <w:tcPr>
            <w:tcW w:w="1380" w:type="dxa"/>
            <w:vAlign w:val="bottom"/>
          </w:tcPr>
          <w:p>
            <w:pPr>
              <w:spacing w:after="0"/>
              <w:rPr>
                <w:sz w:val="16"/>
                <w:szCs w:val="16"/>
                <w:color w:val="auto"/>
              </w:rPr>
            </w:pPr>
          </w:p>
        </w:tc>
        <w:tc>
          <w:tcPr>
            <w:tcW w:w="450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right w:val="single" w:sz="8" w:color="CCFFCC"/>
            </w:tcBorders>
            <w:shd w:val="clear" w:color="auto" w:fill="CCFFCC"/>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366,464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9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6"/>
          <w:szCs w:val="16"/>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62" w:lineRule="exact"/>
        <w:rPr>
          <w:sz w:val="20"/>
          <w:szCs w:val="20"/>
          <w:color w:val="auto"/>
        </w:rPr>
      </w:pPr>
    </w:p>
    <w:p>
      <w:pPr>
        <w:jc w:val="both"/>
        <w:ind w:left="1340" w:right="20"/>
        <w:spacing w:after="0" w:line="25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68"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ASC-718-10-20, compensation cost will be recognized if the performance condition is satisfied. As of December 31, 2012, no compensation cost was recognized.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340" w:right="20"/>
        <w:spacing w:after="0" w:line="282" w:lineRule="auto"/>
        <w:rPr>
          <w:sz w:val="20"/>
          <w:szCs w:val="20"/>
          <w:color w:val="auto"/>
        </w:rPr>
      </w:pPr>
      <w:r>
        <w:rPr>
          <w:rFonts w:ascii="Arial" w:cs="Arial" w:eastAsia="Arial" w:hAnsi="Arial"/>
          <w:sz w:val="15"/>
          <w:szCs w:val="15"/>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50"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52" w:lineRule="exact"/>
        <w:rPr>
          <w:sz w:val="20"/>
          <w:szCs w:val="20"/>
          <w:color w:val="auto"/>
        </w:rPr>
      </w:pPr>
    </w:p>
    <w:p>
      <w:pPr>
        <w:ind w:left="1340" w:hanging="443"/>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Options granted to consultants:</w:t>
      </w:r>
    </w:p>
    <w:p>
      <w:pPr>
        <w:spacing w:after="0" w:line="200" w:lineRule="exact"/>
        <w:rPr>
          <w:rFonts w:ascii="Arial" w:cs="Arial" w:eastAsia="Arial" w:hAnsi="Arial"/>
          <w:sz w:val="16"/>
          <w:szCs w:val="16"/>
          <w:color w:val="auto"/>
        </w:rPr>
      </w:pPr>
    </w:p>
    <w:p>
      <w:pPr>
        <w:ind w:left="1360" w:right="2160"/>
        <w:spacing w:after="0" w:line="498" w:lineRule="auto"/>
        <w:rPr>
          <w:rFonts w:ascii="Arial" w:cs="Arial" w:eastAsia="Arial" w:hAnsi="Arial"/>
          <w:sz w:val="16"/>
          <w:szCs w:val="16"/>
          <w:color w:val="auto"/>
        </w:rPr>
      </w:pPr>
      <w:r>
        <w:rPr>
          <w:rFonts w:ascii="Arial" w:cs="Arial" w:eastAsia="Arial" w:hAnsi="Arial"/>
          <w:sz w:val="16"/>
          <w:szCs w:val="16"/>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Exercise</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840"/>
              <w:spacing w:after="0"/>
              <w:rPr>
                <w:sz w:val="20"/>
                <w:szCs w:val="20"/>
                <w:color w:val="auto"/>
              </w:rPr>
            </w:pPr>
            <w:r>
              <w:rPr>
                <w:rFonts w:ascii="Arial" w:cs="Arial" w:eastAsia="Arial" w:hAnsi="Arial"/>
                <w:sz w:val="16"/>
                <w:szCs w:val="16"/>
                <w:b w:val="1"/>
                <w:bCs w:val="1"/>
                <w:color w:val="auto"/>
              </w:rPr>
              <w:t>Grant date</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 options</w:t>
            </w:r>
          </w:p>
        </w:tc>
        <w:tc>
          <w:tcPr>
            <w:tcW w:w="18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price</w:t>
            </w:r>
          </w:p>
        </w:tc>
        <w:tc>
          <w:tcPr>
            <w:tcW w:w="3020" w:type="dxa"/>
            <w:vAlign w:val="bottom"/>
            <w:gridSpan w:val="2"/>
          </w:tcPr>
          <w:p>
            <w:pPr>
              <w:ind w:left="9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58,700</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April 2, 2018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February 28, 2010</w:t>
            </w:r>
          </w:p>
        </w:tc>
        <w:tc>
          <w:tcPr>
            <w:tcW w:w="1860" w:type="dxa"/>
            <w:vAlign w:val="bottom"/>
          </w:tcPr>
          <w:p>
            <w:pPr>
              <w:jc w:val="right"/>
              <w:spacing w:after="0"/>
              <w:rPr>
                <w:sz w:val="20"/>
                <w:szCs w:val="20"/>
                <w:color w:val="auto"/>
              </w:rPr>
            </w:pPr>
            <w:r>
              <w:rPr>
                <w:rFonts w:ascii="Arial" w:cs="Arial" w:eastAsia="Arial" w:hAnsi="Arial"/>
                <w:sz w:val="16"/>
                <w:szCs w:val="16"/>
                <w:color w:val="auto"/>
              </w:rPr>
              <w:t>8,805</w:t>
            </w:r>
          </w:p>
        </w:tc>
        <w:tc>
          <w:tcPr>
            <w:tcW w:w="2320" w:type="dxa"/>
            <w:vAlign w:val="bottom"/>
            <w:gridSpan w:val="3"/>
          </w:tcPr>
          <w:p>
            <w:pPr>
              <w:jc w:val="right"/>
              <w:ind w:right="200"/>
              <w:spacing w:after="0"/>
              <w:rPr>
                <w:sz w:val="20"/>
                <w:szCs w:val="20"/>
                <w:color w:val="auto"/>
              </w:rPr>
            </w:pPr>
            <w:r>
              <w:rPr>
                <w:rFonts w:ascii="Arial" w:cs="Arial" w:eastAsia="Arial" w:hAnsi="Arial"/>
                <w:sz w:val="16"/>
                <w:szCs w:val="16"/>
                <w:color w:val="auto"/>
              </w:rPr>
              <w:t>2.184</w:t>
            </w:r>
          </w:p>
        </w:tc>
        <w:tc>
          <w:tcPr>
            <w:tcW w:w="3000" w:type="dxa"/>
            <w:vAlign w:val="bottom"/>
          </w:tcPr>
          <w:p>
            <w:pPr>
              <w:jc w:val="right"/>
              <w:spacing w:after="0"/>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1,174</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February 13,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FFCC"/>
            </w:tcBorders>
            <w:gridSpan w:val="2"/>
          </w:tcPr>
          <w:p>
            <w:pPr>
              <w:ind w:left="40"/>
              <w:spacing w:after="0"/>
              <w:rPr>
                <w:sz w:val="20"/>
                <w:szCs w:val="20"/>
                <w:color w:val="auto"/>
              </w:rPr>
            </w:pPr>
            <w:r>
              <w:rPr>
                <w:rFonts w:ascii="Arial" w:cs="Arial" w:eastAsia="Arial" w:hAnsi="Arial"/>
                <w:sz w:val="16"/>
                <w:szCs w:val="16"/>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320" w:type="dxa"/>
            <w:vAlign w:val="bottom"/>
            <w:tcBorders>
              <w:bottom w:val="single" w:sz="8" w:color="CCFFCC"/>
            </w:tcBorders>
            <w:gridSpan w:val="3"/>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February 17,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9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0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72,483*)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All options were fully vested on grant date.</w:t>
      </w:r>
    </w:p>
    <w:p>
      <w:pPr>
        <w:spacing w:after="0" w:line="200" w:lineRule="exact"/>
        <w:rPr>
          <w:sz w:val="20"/>
          <w:szCs w:val="20"/>
          <w:color w:val="auto"/>
        </w:rPr>
      </w:pPr>
    </w:p>
    <w:p>
      <w:pPr>
        <w:ind w:left="1340" w:hanging="443"/>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Share-based payment:</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The share based expense recognized in the financial statements for services received from employees and non-employees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February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7, 2008 (date of</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503"/>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 to</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403"/>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350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Research and development, net</w:t>
            </w:r>
          </w:p>
        </w:tc>
        <w:tc>
          <w:tcPr>
            <w:tcW w:w="250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35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1,535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Borders>
              <w:top w:val="single" w:sz="8" w:color="CCFFCC"/>
            </w:tcBorders>
            <w:shd w:val="clear" w:color="auto" w:fill="CCFFCC"/>
          </w:tcPr>
          <w:p>
            <w:pPr>
              <w:spacing w:after="0"/>
              <w:rPr>
                <w:sz w:val="16"/>
                <w:szCs w:val="16"/>
                <w:color w:val="auto"/>
              </w:rPr>
            </w:pPr>
          </w:p>
        </w:tc>
        <w:tc>
          <w:tcPr>
            <w:tcW w:w="324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3240" w:type="dxa"/>
            <w:vAlign w:val="bottom"/>
            <w:vMerge w:val="restart"/>
          </w:tcPr>
          <w:p>
            <w:pPr>
              <w:ind w:left="160"/>
              <w:spacing w:after="0"/>
              <w:rPr>
                <w:sz w:val="20"/>
                <w:szCs w:val="20"/>
                <w:color w:val="auto"/>
              </w:rPr>
            </w:pPr>
            <w:r>
              <w:rPr>
                <w:rFonts w:ascii="Arial" w:cs="Arial" w:eastAsia="Arial" w:hAnsi="Arial"/>
                <w:sz w:val="16"/>
                <w:szCs w:val="16"/>
                <w:color w:val="auto"/>
              </w:rPr>
              <w:t>Represents an amount lower than $ 1.</w:t>
            </w:r>
          </w:p>
        </w:tc>
        <w:tc>
          <w:tcPr>
            <w:tcW w:w="1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640" w:type="dxa"/>
            <w:vAlign w:val="bottom"/>
            <w:gridSpan w:val="2"/>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jc w:val="center"/>
        <w:ind w:right="6700"/>
        <w:spacing w:after="0"/>
        <w:rPr>
          <w:sz w:val="20"/>
          <w:szCs w:val="20"/>
          <w:color w:val="auto"/>
        </w:rPr>
      </w:pPr>
      <w:r>
        <w:rPr>
          <w:rFonts w:ascii="Arial" w:cs="Arial" w:eastAsia="Arial" w:hAnsi="Arial"/>
          <w:sz w:val="15"/>
          <w:szCs w:val="15"/>
          <w:b w:val="1"/>
          <w:bCs w:val="1"/>
          <w:color w:val="auto"/>
        </w:rPr>
        <w:t>NOTE 10:- RELATED PARTY BALANCES AND TRANSACTIONS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Balances with related parties: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Convertible Notes (e)</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610</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accounts payable (c)</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bottom w:val="single" w:sz="8" w:color="CCFFCC"/>
            </w:tcBorders>
            <w:gridSpan w:val="2"/>
            <w:vMerge w:val="restart"/>
          </w:tcPr>
          <w:p>
            <w:pPr>
              <w:ind w:left="100"/>
              <w:spacing w:after="0"/>
              <w:rPr>
                <w:sz w:val="20"/>
                <w:szCs w:val="20"/>
                <w:color w:val="auto"/>
              </w:rPr>
            </w:pPr>
            <w:r>
              <w:rPr>
                <w:rFonts w:ascii="Arial" w:cs="Arial" w:eastAsia="Arial" w:hAnsi="Arial"/>
                <w:sz w:val="16"/>
                <w:szCs w:val="16"/>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Amounts charged to: *)</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 (a) (b) (c) (d)</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22"/>
                <w:szCs w:val="22"/>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40" w:type="dxa"/>
            <w:vAlign w:val="bottom"/>
            <w:tcBorders>
              <w:top w:val="single" w:sz="8" w:color="CCFFCC"/>
            </w:tcBorders>
            <w:shd w:val="clear" w:color="auto" w:fill="CCFFCC"/>
          </w:tcPr>
          <w:p>
            <w:pPr>
              <w:spacing w:after="0"/>
              <w:rPr>
                <w:sz w:val="14"/>
                <w:szCs w:val="14"/>
                <w:color w:val="auto"/>
              </w:rPr>
            </w:pPr>
          </w:p>
        </w:tc>
        <w:tc>
          <w:tcPr>
            <w:tcW w:w="4720" w:type="dxa"/>
            <w:vAlign w:val="bottom"/>
            <w:tcBorders>
              <w:top w:val="single" w:sz="8" w:color="CCFFCC"/>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Financial expense (e)</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9400" w:type="dxa"/>
            <w:vAlign w:val="bottom"/>
            <w:gridSpan w:val="8"/>
          </w:tcPr>
          <w:p>
            <w:pPr>
              <w:jc w:val="center"/>
              <w:ind w:left="80"/>
              <w:spacing w:after="0"/>
              <w:rPr>
                <w:sz w:val="20"/>
                <w:szCs w:val="20"/>
                <w:color w:val="auto"/>
              </w:rPr>
            </w:pPr>
            <w:r>
              <w:rPr>
                <w:rFonts w:ascii="Arial" w:cs="Arial" w:eastAsia="Arial" w:hAnsi="Arial"/>
                <w:sz w:val="16"/>
                <w:szCs w:val="16"/>
                <w:color w:val="auto"/>
                <w:w w:val="97"/>
              </w:rPr>
              <w:t>Including share based compensation expenses for the years ended December 31, 2012 and 2011 in the amounts of $ 26 and $ 1,394,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51" w:lineRule="exact"/>
        <w:rPr>
          <w:rFonts w:ascii="Arial" w:cs="Arial" w:eastAsia="Arial" w:hAnsi="Arial"/>
          <w:sz w:val="16"/>
          <w:szCs w:val="16"/>
          <w:color w:val="auto"/>
        </w:rPr>
      </w:pPr>
    </w:p>
    <w:p>
      <w:pPr>
        <w:jc w:val="both"/>
        <w:ind w:left="1340" w:right="20" w:hanging="443"/>
        <w:spacing w:after="0" w:line="264"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6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51" w:lineRule="exact"/>
        <w:rPr>
          <w:rFonts w:ascii="Arial" w:cs="Arial" w:eastAsia="Arial" w:hAnsi="Arial"/>
          <w:sz w:val="16"/>
          <w:szCs w:val="16"/>
          <w:color w:val="auto"/>
        </w:rPr>
      </w:pPr>
    </w:p>
    <w:p>
      <w:pPr>
        <w:jc w:val="both"/>
        <w:ind w:left="1340" w:right="20" w:hanging="443"/>
        <w:spacing w:after="0" w:line="319" w:lineRule="auto"/>
        <w:tabs>
          <w:tab w:leader="none" w:pos="1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26" w:lineRule="exact"/>
        <w:rPr>
          <w:rFonts w:ascii="Arial" w:cs="Arial" w:eastAsia="Arial" w:hAnsi="Arial"/>
          <w:sz w:val="14"/>
          <w:szCs w:val="14"/>
          <w:color w:val="auto"/>
        </w:rPr>
      </w:pPr>
    </w:p>
    <w:p>
      <w:pPr>
        <w:ind w:left="1340" w:hanging="443"/>
        <w:spacing w:after="0"/>
        <w:tabs>
          <w:tab w:leader="none" w:pos="13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gridSpan w:val="7"/>
          </w:tcPr>
          <w:p>
            <w:pPr>
              <w:jc w:val="right"/>
              <w:spacing w:after="0"/>
              <w:rPr>
                <w:sz w:val="20"/>
                <w:szCs w:val="20"/>
                <w:color w:val="auto"/>
              </w:rPr>
            </w:pPr>
            <w:r>
              <w:rPr>
                <w:rFonts w:ascii="Arial" w:cs="Arial" w:eastAsia="Arial" w:hAnsi="Arial"/>
                <w:sz w:val="16"/>
                <w:szCs w:val="16"/>
                <w:b w:val="1"/>
                <w:bCs w:val="1"/>
                <w:color w:val="auto"/>
                <w:w w:val="99"/>
              </w:rPr>
              <w:t>(A development stage company)</w:t>
            </w: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NOTE 11:- FINANCIAL EXPENSES, NET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February 7, 2008</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(date of inception)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w w:val="97"/>
              </w:rPr>
              <w:t>December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to December 31,</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bottom w:val="single" w:sz="8" w:color="CCFFCC"/>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FFCC"/>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Borders>
              <w:bottom w:val="single" w:sz="8" w:color="CCFFCC"/>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expenses:</w:t>
            </w:r>
          </w:p>
        </w:tc>
        <w:tc>
          <w:tcPr>
            <w:tcW w:w="96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Exchange rate</w:t>
            </w:r>
          </w:p>
        </w:tc>
        <w:tc>
          <w:tcPr>
            <w:tcW w:w="9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FFCC"/>
          </w:tcPr>
          <w:p>
            <w:pPr>
              <w:spacing w:after="0"/>
              <w:rPr>
                <w:sz w:val="16"/>
                <w:szCs w:val="16"/>
                <w:color w:val="auto"/>
              </w:rPr>
            </w:pP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Interest on convertible notes</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52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Financial income:</w:t>
            </w: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12:- BASIC AND 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of Ordinary share:</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Ordinary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(1,579)</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Shares used in computing net loss per share of Ordinary shares, basic and diluted</w:t>
            </w:r>
          </w:p>
        </w:tc>
        <w:tc>
          <w:tcPr>
            <w:tcW w:w="3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7,791,932</w:t>
            </w:r>
          </w:p>
        </w:tc>
        <w:tc>
          <w:tcPr>
            <w:tcW w:w="14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per share of Ordinary share, basic and diluted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(0.2)</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right="240"/>
        <w:spacing w:after="0" w:line="277" w:lineRule="auto"/>
        <w:rPr>
          <w:sz w:val="20"/>
          <w:szCs w:val="20"/>
          <w:color w:val="auto"/>
        </w:rPr>
      </w:pPr>
      <w:r>
        <w:rPr>
          <w:rFonts w:ascii="Arial" w:cs="Arial" w:eastAsia="Arial" w:hAnsi="Arial"/>
          <w:sz w:val="16"/>
          <w:szCs w:val="16"/>
          <w:color w:val="auto"/>
        </w:rPr>
        <w:t>For the years ended December 31, 2012 and 2011, all outstanding options and warrants have been excluded from the calculation of the diluted net loss per share since their effect was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EVENTS</w:t>
      </w:r>
    </w:p>
    <w:p>
      <w:pPr>
        <w:spacing w:after="0" w:line="204" w:lineRule="exact"/>
        <w:rPr>
          <w:sz w:val="20"/>
          <w:szCs w:val="20"/>
          <w:color w:val="auto"/>
        </w:rPr>
      </w:pPr>
    </w:p>
    <w:p>
      <w:pPr>
        <w:ind w:left="1180" w:right="20" w:hanging="283"/>
        <w:spacing w:after="0" w:line="312" w:lineRule="auto"/>
        <w:tabs>
          <w:tab w:leader="none" w:pos="11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NOTE 13:- SUBSEQUENT EVENTS (Cont.)</w:t>
      </w:r>
    </w:p>
    <w:p>
      <w:pPr>
        <w:spacing w:after="0" w:line="204" w:lineRule="exact"/>
        <w:rPr>
          <w:sz w:val="20"/>
          <w:szCs w:val="20"/>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51" w:lineRule="exact"/>
        <w:rPr>
          <w:rFonts w:ascii="Arial" w:cs="Arial" w:eastAsia="Arial" w:hAnsi="Arial"/>
          <w:sz w:val="16"/>
          <w:szCs w:val="16"/>
          <w:color w:val="auto"/>
        </w:rPr>
      </w:pPr>
    </w:p>
    <w:p>
      <w:pPr>
        <w:jc w:val="both"/>
        <w:ind w:left="1180" w:hanging="283"/>
        <w:spacing w:after="0" w:line="264"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61" w:lineRule="exact"/>
        <w:rPr>
          <w:rFonts w:ascii="Arial" w:cs="Arial" w:eastAsia="Arial" w:hAnsi="Arial"/>
          <w:sz w:val="16"/>
          <w:szCs w:val="16"/>
          <w:color w:val="auto"/>
        </w:rPr>
      </w:pPr>
    </w:p>
    <w:p>
      <w:pPr>
        <w:ind w:left="1180" w:hanging="283"/>
        <w:spacing w:after="0"/>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00" w:lineRule="exact"/>
        <w:rPr>
          <w:rFonts w:ascii="Arial" w:cs="Arial" w:eastAsia="Arial" w:hAnsi="Arial"/>
          <w:sz w:val="16"/>
          <w:szCs w:val="16"/>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received a short term loan from a bank in the amount of $69. The loan bears an annual interest rate of 4.8% paid on a weekly basis and will be settled no later than July 2,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17" w:name="page118"/>
    <w:bookmarkEnd w:id="117"/>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3,125,000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1468120</wp:posOffset>
            </wp:positionV>
            <wp:extent cx="181546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15465" cy="762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628650</wp:posOffset>
            </wp:positionV>
            <wp:extent cx="1365250" cy="442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6525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280" w:type="dxa"/>
            <w:vAlign w:val="bottom"/>
          </w:tcPr>
          <w:p>
            <w:pPr>
              <w:spacing w:after="0"/>
              <w:rPr>
                <w:sz w:val="24"/>
                <w:szCs w:val="24"/>
                <w:color w:val="auto"/>
              </w:rPr>
            </w:pPr>
          </w:p>
        </w:tc>
        <w:tc>
          <w:tcPr>
            <w:tcW w:w="7160" w:type="dxa"/>
            <w:vAlign w:val="bottom"/>
            <w:gridSpan w:val="2"/>
          </w:tcPr>
          <w:p>
            <w:pPr>
              <w:jc w:val="center"/>
              <w:ind w:right="4160"/>
              <w:spacing w:after="0"/>
              <w:rPr>
                <w:sz w:val="20"/>
                <w:szCs w:val="20"/>
                <w:color w:val="auto"/>
              </w:rPr>
            </w:pPr>
            <w:r>
              <w:rPr>
                <w:rFonts w:ascii="Arial" w:cs="Arial" w:eastAsia="Arial" w:hAnsi="Arial"/>
                <w:sz w:val="22"/>
                <w:szCs w:val="22"/>
                <w:b w:val="1"/>
                <w:bCs w:val="1"/>
                <w:color w:val="auto"/>
                <w:w w:val="97"/>
              </w:rPr>
              <w:t>PROSPECTUS</w:t>
            </w:r>
          </w:p>
        </w:tc>
      </w:tr>
      <w:tr>
        <w:trPr>
          <w:trHeight w:val="234"/>
        </w:trPr>
        <w:tc>
          <w:tcPr>
            <w:tcW w:w="428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300" w:type="dxa"/>
            <w:vAlign w:val="bottom"/>
          </w:tcPr>
          <w:p>
            <w:pPr>
              <w:spacing w:after="0"/>
              <w:rPr>
                <w:sz w:val="20"/>
                <w:szCs w:val="20"/>
                <w:color w:val="auto"/>
              </w:rPr>
            </w:pPr>
          </w:p>
        </w:tc>
      </w:tr>
      <w:tr>
        <w:trPr>
          <w:trHeight w:val="448"/>
        </w:trPr>
        <w:tc>
          <w:tcPr>
            <w:tcW w:w="4280" w:type="dxa"/>
            <w:vAlign w:val="bottom"/>
          </w:tcPr>
          <w:p>
            <w:pPr>
              <w:spacing w:after="0"/>
              <w:rPr>
                <w:sz w:val="24"/>
                <w:szCs w:val="24"/>
                <w:color w:val="auto"/>
              </w:rPr>
            </w:pPr>
          </w:p>
        </w:tc>
        <w:tc>
          <w:tcPr>
            <w:tcW w:w="7160" w:type="dxa"/>
            <w:vAlign w:val="bottom"/>
            <w:gridSpan w:val="2"/>
          </w:tcPr>
          <w:p>
            <w:pPr>
              <w:jc w:val="center"/>
              <w:ind w:right="4140"/>
              <w:spacing w:after="0"/>
              <w:rPr>
                <w:sz w:val="20"/>
                <w:szCs w:val="20"/>
                <w:color w:val="auto"/>
              </w:rPr>
            </w:pPr>
            <w:r>
              <w:rPr>
                <w:rFonts w:ascii="Arial" w:cs="Arial" w:eastAsia="Arial" w:hAnsi="Arial"/>
                <w:sz w:val="16"/>
                <w:szCs w:val="16"/>
                <w:b w:val="1"/>
                <w:bCs w:val="1"/>
                <w:color w:val="auto"/>
                <w:w w:val="91"/>
              </w:rPr>
              <w:t>May 21, 2013</w:t>
            </w:r>
          </w:p>
        </w:tc>
      </w:tr>
      <w:tr>
        <w:trPr>
          <w:trHeight w:val="240"/>
        </w:trPr>
        <w:tc>
          <w:tcPr>
            <w:tcW w:w="428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300" w:type="dxa"/>
            <w:vAlign w:val="bottom"/>
          </w:tcPr>
          <w:p>
            <w:pPr>
              <w:spacing w:after="0"/>
              <w:rPr>
                <w:sz w:val="20"/>
                <w:szCs w:val="20"/>
                <w:color w:val="auto"/>
              </w:rPr>
            </w:pPr>
          </w:p>
        </w:tc>
      </w:tr>
      <w:tr>
        <w:trPr>
          <w:trHeight w:val="436"/>
        </w:trPr>
        <w:tc>
          <w:tcPr>
            <w:tcW w:w="4280" w:type="dxa"/>
            <w:vAlign w:val="bottom"/>
          </w:tcPr>
          <w:p>
            <w:pPr>
              <w:spacing w:after="0"/>
              <w:rPr>
                <w:sz w:val="24"/>
                <w:szCs w:val="24"/>
                <w:color w:val="auto"/>
              </w:rPr>
            </w:pPr>
          </w:p>
        </w:tc>
        <w:tc>
          <w:tcPr>
            <w:tcW w:w="7160" w:type="dxa"/>
            <w:vAlign w:val="bottom"/>
            <w:gridSpan w:val="2"/>
          </w:tcPr>
          <w:p>
            <w:pPr>
              <w:jc w:val="center"/>
              <w:ind w:right="4180"/>
              <w:spacing w:after="0"/>
              <w:rPr>
                <w:sz w:val="20"/>
                <w:szCs w:val="20"/>
                <w:color w:val="auto"/>
              </w:rPr>
            </w:pPr>
            <w:r>
              <w:rPr>
                <w:rFonts w:ascii="Arial" w:cs="Arial" w:eastAsia="Arial" w:hAnsi="Arial"/>
                <w:sz w:val="16"/>
                <w:szCs w:val="16"/>
                <w:i w:val="1"/>
                <w:iCs w:val="1"/>
                <w:color w:val="auto"/>
                <w:w w:val="90"/>
              </w:rPr>
              <w:t>Sole Book-Running Manager</w:t>
            </w:r>
          </w:p>
        </w:tc>
      </w:tr>
      <w:tr>
        <w:trPr>
          <w:trHeight w:val="496"/>
        </w:trPr>
        <w:tc>
          <w:tcPr>
            <w:tcW w:w="4280" w:type="dxa"/>
            <w:vAlign w:val="bottom"/>
          </w:tcPr>
          <w:p>
            <w:pPr>
              <w:spacing w:after="0"/>
              <w:rPr>
                <w:sz w:val="24"/>
                <w:szCs w:val="24"/>
                <w:color w:val="auto"/>
              </w:rPr>
            </w:pPr>
          </w:p>
        </w:tc>
        <w:tc>
          <w:tcPr>
            <w:tcW w:w="7160" w:type="dxa"/>
            <w:vAlign w:val="bottom"/>
            <w:gridSpan w:val="2"/>
          </w:tcPr>
          <w:p>
            <w:pPr>
              <w:jc w:val="center"/>
              <w:ind w:right="4180"/>
              <w:spacing w:after="0"/>
              <w:rPr>
                <w:sz w:val="20"/>
                <w:szCs w:val="20"/>
                <w:color w:val="auto"/>
              </w:rPr>
            </w:pPr>
            <w:r>
              <w:rPr>
                <w:rFonts w:ascii="Arial" w:cs="Arial" w:eastAsia="Arial" w:hAnsi="Arial"/>
                <w:sz w:val="26"/>
                <w:szCs w:val="26"/>
                <w:b w:val="1"/>
                <w:bCs w:val="1"/>
                <w:color w:val="auto"/>
                <w:w w:val="90"/>
              </w:rPr>
              <w:t>Aegis Capital Corp</w:t>
            </w:r>
          </w:p>
        </w:tc>
      </w:tr>
      <w:tr>
        <w:trPr>
          <w:trHeight w:val="236"/>
        </w:trPr>
        <w:tc>
          <w:tcPr>
            <w:tcW w:w="428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300" w:type="dxa"/>
            <w:vAlign w:val="bottom"/>
          </w:tcPr>
          <w:p>
            <w:pPr>
              <w:spacing w:after="0"/>
              <w:rPr>
                <w:sz w:val="20"/>
                <w:szCs w:val="20"/>
                <w:color w:val="auto"/>
              </w:rPr>
            </w:pPr>
          </w:p>
        </w:tc>
      </w:tr>
      <w:tr>
        <w:trPr>
          <w:trHeight w:val="436"/>
        </w:trPr>
        <w:tc>
          <w:tcPr>
            <w:tcW w:w="4280" w:type="dxa"/>
            <w:vAlign w:val="bottom"/>
          </w:tcPr>
          <w:p>
            <w:pPr>
              <w:spacing w:after="0"/>
              <w:rPr>
                <w:sz w:val="24"/>
                <w:szCs w:val="24"/>
                <w:color w:val="auto"/>
              </w:rPr>
            </w:pPr>
          </w:p>
        </w:tc>
        <w:tc>
          <w:tcPr>
            <w:tcW w:w="7160" w:type="dxa"/>
            <w:vAlign w:val="bottom"/>
            <w:gridSpan w:val="2"/>
          </w:tcPr>
          <w:p>
            <w:pPr>
              <w:jc w:val="center"/>
              <w:ind w:right="4180"/>
              <w:spacing w:after="0"/>
              <w:rPr>
                <w:sz w:val="20"/>
                <w:szCs w:val="20"/>
                <w:color w:val="auto"/>
              </w:rPr>
            </w:pPr>
            <w:r>
              <w:rPr>
                <w:rFonts w:ascii="Arial" w:cs="Arial" w:eastAsia="Arial" w:hAnsi="Arial"/>
                <w:sz w:val="16"/>
                <w:szCs w:val="16"/>
                <w:i w:val="1"/>
                <w:iCs w:val="1"/>
                <w:color w:val="auto"/>
                <w:w w:val="92"/>
              </w:rPr>
              <w:t>Co-Managers</w:t>
            </w:r>
          </w:p>
        </w:tc>
      </w:tr>
      <w:tr>
        <w:trPr>
          <w:trHeight w:val="480"/>
        </w:trPr>
        <w:tc>
          <w:tcPr>
            <w:tcW w:w="4280" w:type="dxa"/>
            <w:vAlign w:val="bottom"/>
          </w:tcPr>
          <w:p>
            <w:pPr>
              <w:spacing w:after="0"/>
              <w:rPr>
                <w:sz w:val="20"/>
                <w:szCs w:val="20"/>
                <w:color w:val="auto"/>
              </w:rPr>
            </w:pPr>
            <w:r>
              <w:rPr>
                <w:rFonts w:ascii="Arial" w:cs="Arial" w:eastAsia="Arial" w:hAnsi="Arial"/>
                <w:sz w:val="24"/>
                <w:szCs w:val="24"/>
                <w:b w:val="1"/>
                <w:bCs w:val="1"/>
                <w:color w:val="auto"/>
              </w:rPr>
              <w:t>Sunrise Securities Corp.</w:t>
            </w:r>
          </w:p>
        </w:tc>
        <w:tc>
          <w:tcPr>
            <w:tcW w:w="2860" w:type="dxa"/>
            <w:vAlign w:val="bottom"/>
          </w:tcPr>
          <w:p>
            <w:pPr>
              <w:spacing w:after="0"/>
              <w:rPr>
                <w:sz w:val="24"/>
                <w:szCs w:val="24"/>
                <w:color w:val="auto"/>
              </w:rPr>
            </w:pPr>
          </w:p>
        </w:tc>
        <w:tc>
          <w:tcPr>
            <w:tcW w:w="4300" w:type="dxa"/>
            <w:vAlign w:val="bottom"/>
          </w:tcPr>
          <w:p>
            <w:pPr>
              <w:ind w:left="2500"/>
              <w:spacing w:after="0"/>
              <w:rPr>
                <w:sz w:val="20"/>
                <w:szCs w:val="20"/>
                <w:color w:val="auto"/>
              </w:rPr>
            </w:pPr>
            <w:r>
              <w:rPr>
                <w:rFonts w:ascii="Arial" w:cs="Arial" w:eastAsia="Arial" w:hAnsi="Arial"/>
                <w:sz w:val="24"/>
                <w:szCs w:val="24"/>
                <w:b w:val="1"/>
                <w:bCs w:val="1"/>
                <w:color w:val="auto"/>
                <w:w w:val="93"/>
              </w:rPr>
              <w:t>Feltl &amp; Company</w:t>
            </w:r>
          </w:p>
        </w:tc>
      </w:tr>
      <w:tr>
        <w:trPr>
          <w:trHeight w:val="220"/>
        </w:trPr>
        <w:tc>
          <w:tcPr>
            <w:tcW w:w="4280" w:type="dxa"/>
            <w:vAlign w:val="bottom"/>
            <w:tcBorders>
              <w:bottom w:val="single" w:sz="8" w:color="BFBFBF"/>
            </w:tcBorders>
          </w:tcPr>
          <w:p>
            <w:pPr>
              <w:spacing w:after="0"/>
              <w:rPr>
                <w:sz w:val="19"/>
                <w:szCs w:val="19"/>
                <w:color w:val="auto"/>
              </w:rPr>
            </w:pPr>
          </w:p>
        </w:tc>
        <w:tc>
          <w:tcPr>
            <w:tcW w:w="2860" w:type="dxa"/>
            <w:vAlign w:val="bottom"/>
            <w:tcBorders>
              <w:bottom w:val="single" w:sz="8" w:color="BFBFBF"/>
            </w:tcBorders>
          </w:tcPr>
          <w:p>
            <w:pPr>
              <w:spacing w:after="0"/>
              <w:rPr>
                <w:sz w:val="19"/>
                <w:szCs w:val="19"/>
                <w:color w:val="auto"/>
              </w:rPr>
            </w:pPr>
          </w:p>
        </w:tc>
        <w:tc>
          <w:tcPr>
            <w:tcW w:w="4300" w:type="dxa"/>
            <w:vAlign w:val="bottom"/>
            <w:tcBorders>
              <w:bottom w:val="single" w:sz="8" w:color="BFBFBF"/>
            </w:tcBorders>
          </w:tcPr>
          <w:p>
            <w:pPr>
              <w:spacing w:after="0"/>
              <w:rPr>
                <w:sz w:val="19"/>
                <w:szCs w:val="19"/>
                <w:color w:val="auto"/>
              </w:rPr>
            </w:pPr>
          </w:p>
        </w:tc>
      </w:tr>
      <w:tr>
        <w:trPr>
          <w:trHeight w:val="601"/>
        </w:trPr>
        <w:tc>
          <w:tcPr>
            <w:tcW w:w="4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
      <w:numFmt w:val="bullet"/>
      <w:start w:val="1"/>
    </w:lvl>
    <w:lvl w:ilvl="1">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1)"/>
      <w:numFmt w:val="lowerRoman"/>
      <w:start w:val="2"/>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lowerRoman"/>
      <w:start w:val="2"/>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1)"/>
      <w:numFmt w:val="decimal"/>
      <w:start w:val="2"/>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1)"/>
      <w:numFmt w:val="lowerRoman"/>
      <w:start w:val="1"/>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1."/>
      <w:numFmt w:val="lowerLetter"/>
      <w:start w:val="1"/>
    </w:lvl>
  </w:abstractNum>
  <w:abstractNum w:abstractNumId="89">
    <w:nsid w:val="7672BD23"/>
    <w:multiLevelType w:val="hybridMultilevel"/>
    <w:lvl w:ilvl="0">
      <w:lvlJc w:val="left"/>
      <w:lvlText w:val="%1."/>
      <w:numFmt w:val="lowerLetter"/>
      <w:start w:val="2"/>
    </w:lvl>
  </w:abstractNum>
  <w:abstractNum w:abstractNumId="90">
    <w:nsid w:val="6FC75AF8"/>
    <w:multiLevelType w:val="hybridMultilevel"/>
    <w:lvl w:ilvl="0">
      <w:lvlJc w:val="left"/>
      <w:lvlText w:val="%1."/>
      <w:numFmt w:val="lowerLetter"/>
      <w:start w:val="7"/>
    </w:lvl>
  </w:abstractNum>
  <w:abstractNum w:abstractNumId="91">
    <w:nsid w:val="6A5F7029"/>
    <w:multiLevelType w:val="hybridMultilevel"/>
    <w:lvl w:ilvl="0">
      <w:lvlJc w:val="left"/>
      <w:lvlText w:val="%1."/>
      <w:numFmt w:val="lowerLetter"/>
      <w:start w:val="10"/>
    </w:lvl>
  </w:abstractNum>
  <w:abstractNum w:abstractNumId="92">
    <w:nsid w:val="7D5E18F8"/>
    <w:multiLevelType w:val="hybridMultilevel"/>
    <w:lvl w:ilvl="0">
      <w:lvlJc w:val="left"/>
      <w:lvlText w:val="%1."/>
      <w:numFmt w:val="lowerLetter"/>
      <w:start w:val="13"/>
    </w:lvl>
  </w:abstractNum>
  <w:abstractNum w:abstractNumId="93">
    <w:nsid w:val="5F3534A4"/>
    <w:multiLevelType w:val="hybridMultilevel"/>
    <w:lvl w:ilvl="0">
      <w:lvlJc w:val="left"/>
      <w:lvlText w:val="%1."/>
      <w:numFmt w:val="lowerLetter"/>
      <w:start w:val="14"/>
    </w:lvl>
  </w:abstractNum>
  <w:abstractNum w:abstractNumId="94">
    <w:nsid w:val="73A1821B"/>
    <w:multiLevelType w:val="hybridMultilevel"/>
    <w:lvl w:ilvl="0">
      <w:lvlJc w:val="left"/>
      <w:lvlText w:val="%1."/>
      <w:numFmt w:val="lowerLetter"/>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1."/>
      <w:numFmt w:val="lowerLetter"/>
      <w:start w:val="4"/>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lowerLetter"/>
      <w:start w:val="3"/>
    </w:lvl>
  </w:abstractNum>
  <w:abstractNum w:abstractNumId="100">
    <w:nsid w:val="71C91298"/>
    <w:multiLevelType w:val="hybridMultilevel"/>
    <w:lvl w:ilvl="0">
      <w:lvlJc w:val="left"/>
      <w:lvlText w:val="%1."/>
      <w:numFmt w:val="lowerLetter"/>
      <w:start w:val="1"/>
    </w:lvl>
    <w:lvl w:ilvl="1">
      <w:lvlJc w:val="left"/>
      <w:lvlText w:val="%2."/>
      <w:numFmt w:val="decimal"/>
      <w:start w:val="1"/>
    </w:lvl>
  </w:abstractNum>
  <w:abstractNum w:abstractNumId="101">
    <w:nsid w:val="9DAF632"/>
    <w:multiLevelType w:val="hybridMultilevel"/>
    <w:lvl w:ilvl="0">
      <w:lvlJc w:val="left"/>
      <w:lvlText w:val="%1."/>
      <w:numFmt w:val="decimal"/>
      <w:start w:val="3"/>
    </w:lvl>
  </w:abstractNum>
  <w:abstractNum w:abstractNumId="102">
    <w:nsid w:val="53299938"/>
    <w:multiLevelType w:val="hybridMultilevel"/>
    <w:lvl w:ilvl="0">
      <w:lvlJc w:val="left"/>
      <w:lvlText w:val="%1."/>
      <w:numFmt w:val="lowerLetter"/>
      <w:start w:val="3"/>
    </w:lvl>
    <w:lvl w:ilvl="1">
      <w:lvlJc w:val="left"/>
      <w:lvlText w:val="$"/>
      <w:numFmt w:val="bullet"/>
      <w:start w:val="1"/>
    </w:lvl>
  </w:abstractNum>
  <w:abstractNum w:abstractNumId="103">
    <w:nsid w:val="1FBFE8E0"/>
    <w:multiLevelType w:val="hybridMultilevel"/>
    <w:lvl w:ilvl="0">
      <w:lvlJc w:val="left"/>
      <w:lvlText w:val="%1."/>
      <w:numFmt w:val="lowerLetter"/>
      <w:start w:val="5"/>
    </w:lvl>
  </w:abstractNum>
  <w:abstractNum w:abstractNumId="104">
    <w:nsid w:val="5092CA79"/>
    <w:multiLevelType w:val="hybridMultilevel"/>
    <w:lvl w:ilvl="0">
      <w:lvlJc w:val="left"/>
      <w:lvlText w:val="%1."/>
      <w:numFmt w:val="lowerLetter"/>
      <w:start w:val="6"/>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lowerLetter"/>
      <w:start w:val="1"/>
    </w:lvl>
  </w:abstractNum>
  <w:abstractNum w:abstractNumId="107">
    <w:nsid w:val="288F1A3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2019-12-08T05:29:58Z</dcterms:created>
  <dcterms:modified xsi:type="dcterms:W3CDTF">2019-12-08T05:29:58Z</dcterms:modified>
</cp:coreProperties>
</file>