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333-232281</w:t>
      </w:r>
    </w:p>
    <w:p>
      <w:pPr>
        <w:spacing w:after="0" w:line="13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160020</wp:posOffset>
            </wp:positionV>
            <wp:extent cx="20751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Arcturus Therapeutics Holdings Inc.</w:t>
      </w:r>
    </w:p>
    <w:p>
      <w:pPr>
        <w:spacing w:after="0" w:line="2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200,000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right="700"/>
        <w:spacing w:after="0" w:line="342" w:lineRule="auto"/>
        <w:rPr>
          <w:sz w:val="20"/>
          <w:szCs w:val="20"/>
          <w:color w:val="auto"/>
        </w:rPr>
      </w:pPr>
      <w:r>
        <w:rPr>
          <w:rFonts w:ascii="Arial" w:cs="Arial" w:eastAsia="Arial" w:hAnsi="Arial"/>
          <w:sz w:val="16"/>
          <w:szCs w:val="16"/>
          <w:color w:val="auto"/>
        </w:rPr>
        <w:t>We are offering 200,000 shares of our Common Stock, or the Shares, to an institutional investor pursuant to this prospectus supplement and the accompanying prospectus and securities purchase agreement with such investor. Each Share will be sold at a price of $11.50 per share.</w:t>
      </w:r>
    </w:p>
    <w:p>
      <w:pPr>
        <w:spacing w:after="0" w:line="124" w:lineRule="exact"/>
        <w:rPr>
          <w:sz w:val="24"/>
          <w:szCs w:val="24"/>
          <w:color w:val="auto"/>
        </w:rPr>
      </w:pPr>
    </w:p>
    <w:p>
      <w:pPr>
        <w:ind w:left="200" w:right="24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“ARCT.” On August 1, 2019, the last reported sale price of our common stock on the Nasdaq Global Market was $11.58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0" w:right="40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Shares involves a high degree of risk. You should review carefully the risks and uncertainties referenced under the heading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S-6 of this prospectus supplement and page 3 of the accompanying prospectus as well as in our periodic reports filed with the Securities and Exchange Commission and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00" w:right="80"/>
        <w:spacing w:after="0" w:line="259" w:lineRule="auto"/>
        <w:rPr>
          <w:sz w:val="20"/>
          <w:szCs w:val="20"/>
          <w:color w:val="auto"/>
        </w:rPr>
      </w:pPr>
      <w:r>
        <w:rPr>
          <w:rFonts w:ascii="Arial" w:cs="Arial" w:eastAsia="Arial" w:hAnsi="Arial"/>
          <w:sz w:val="18"/>
          <w:szCs w:val="18"/>
          <w:color w:val="auto"/>
        </w:rPr>
        <w:t>We have retained H.C. Wainwright &amp; Co., LLC to act as our exclusive placement agent in connection with the arrangement of this transaction. We have agreed to pay the placement agent the placement agent fee set forth in the table below, which assumes that we sell all of the shares of common stock we are offering. The placement agent is not required to arrange for the sale of any specific number of shares or dollar amount but will use its “reasonable best efforts” to arrange for the sale of the shares.</w:t>
      </w:r>
    </w:p>
    <w:p>
      <w:pPr>
        <w:spacing w:after="0" w:line="210" w:lineRule="exact"/>
        <w:rPr>
          <w:sz w:val="24"/>
          <w:szCs w:val="24"/>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5"/>
              </w:rPr>
              <w:t>Per Share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Placement agent fees</w:t>
            </w:r>
            <w:r>
              <w:rPr>
                <w:rFonts w:ascii="Arial" w:cs="Arial" w:eastAsia="Arial" w:hAnsi="Arial"/>
                <w:sz w:val="15"/>
                <w:szCs w:val="15"/>
                <w:color w:val="auto"/>
              </w:rPr>
              <w:t>(1)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2,162,000.00</w:t>
            </w:r>
          </w:p>
        </w:tc>
        <w:tc>
          <w:tcPr>
            <w:tcW w:w="60" w:type="dxa"/>
            <w:vAlign w:val="bottom"/>
            <w:shd w:val="clear" w:color="auto" w:fill="CCEEFF"/>
          </w:tcPr>
          <w:p>
            <w:pPr>
              <w:spacing w:after="0"/>
              <w:rPr>
                <w:sz w:val="18"/>
                <w:szCs w:val="18"/>
                <w:color w:val="auto"/>
              </w:rPr>
            </w:pPr>
          </w:p>
        </w:tc>
      </w:tr>
    </w:tbl>
    <w:p>
      <w:pPr>
        <w:spacing w:after="0" w:line="229" w:lineRule="exact"/>
        <w:rPr>
          <w:sz w:val="24"/>
          <w:szCs w:val="24"/>
          <w:color w:val="auto"/>
        </w:rPr>
      </w:pPr>
    </w:p>
    <w:p>
      <w:pPr>
        <w:ind w:left="640" w:right="100" w:hanging="436"/>
        <w:spacing w:after="0" w:line="277"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pay the placement agent a cash fee equal to 6.0% of the gross proceeds received in this offering. See “Plan of Distribution” for additional information.</w:t>
      </w:r>
    </w:p>
    <w:p>
      <w:pPr>
        <w:spacing w:after="0" w:line="275" w:lineRule="exact"/>
        <w:rPr>
          <w:sz w:val="24"/>
          <w:szCs w:val="24"/>
          <w:color w:val="auto"/>
        </w:rPr>
      </w:pPr>
    </w:p>
    <w:p>
      <w:pPr>
        <w:ind w:left="200" w:right="18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8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expect to deliver the Shares against payment on or about August 5, 2019, subject to the satisfaction of certain closing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H.C. Wainwright &amp; Co.</w:t>
      </w:r>
    </w:p>
    <w:p>
      <w:pPr>
        <w:sectPr>
          <w:pgSz w:w="11900" w:h="16838" w:orient="portrait"/>
          <w:cols w:equalWidth="0" w:num="1">
            <w:col w:w="11220"/>
          </w:cols>
          <w:pgMar w:left="240" w:top="230" w:right="439" w:bottom="1440" w:gutter="0" w:footer="0" w:header="0"/>
        </w:sectPr>
      </w:pPr>
    </w:p>
    <w:p>
      <w:pPr>
        <w:spacing w:after="0" w:line="23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The date of this prospectus supplement is August 2, 2019</w:t>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60" w:type="dxa"/>
            <w:vAlign w:val="bottom"/>
            <w:gridSpan w:val="2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w w:val="87"/>
              </w:rPr>
              <w:t>Prospectus Supplement</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120" w:type="dxa"/>
            <w:vAlign w:val="bottom"/>
            <w:gridSpan w:val="7"/>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52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THE OFFERING</w:t>
              </w:r>
            </w:hyperlink>
          </w:p>
        </w:tc>
        <w:tc>
          <w:tcPr>
            <w:tcW w:w="7280" w:type="dxa"/>
            <w:vAlign w:val="bottom"/>
            <w:gridSpan w:val="1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4520" w:type="dxa"/>
            <w:vAlign w:val="bottom"/>
            <w:tcBorders>
              <w:top w:val="single" w:sz="8" w:color="0000EE"/>
            </w:tcBorders>
            <w:gridSpan w:val="17"/>
          </w:tcPr>
          <w:p>
            <w:pPr>
              <w:spacing w:after="0"/>
              <w:rPr>
                <w:sz w:val="17"/>
                <w:szCs w:val="17"/>
                <w:color w:val="auto"/>
              </w:rPr>
            </w:pPr>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DIVIDEND POLICY</w:t>
              </w:r>
            </w:hyperlink>
          </w:p>
        </w:tc>
        <w:tc>
          <w:tcPr>
            <w:tcW w:w="69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DILUTION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PLAN OF DISTRIBUTION</w:t>
              </w:r>
            </w:hyperlink>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71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EXPERTS</w:t>
              </w:r>
            </w:hyperlink>
          </w:p>
        </w:tc>
        <w:tc>
          <w:tcPr>
            <w:tcW w:w="778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WHERE YOU CAN FIND MORE INFORMATION</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669"/>
        </w:trPr>
        <w:tc>
          <w:tcPr>
            <w:tcW w:w="20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85"/>
              </w:rPr>
              <w:t>Prospectus</w:t>
            </w:r>
          </w:p>
        </w:tc>
        <w:tc>
          <w:tcPr>
            <w:tcW w:w="24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56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2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PROSPECTUS SUMMARY</w:t>
              </w:r>
            </w:hyperlink>
          </w:p>
        </w:tc>
        <w:tc>
          <w:tcPr>
            <w:tcW w:w="63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6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5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78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43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44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416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3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7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5"/>
          </w:tcPr>
          <w:p>
            <w:pPr>
              <w:spacing w:after="0"/>
              <w:rPr>
                <w:sz w:val="17"/>
                <w:szCs w:val="17"/>
                <w:color w:val="auto"/>
              </w:rPr>
            </w:pPr>
          </w:p>
        </w:tc>
        <w:tc>
          <w:tcPr>
            <w:tcW w:w="516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710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780" w:type="dxa"/>
            <w:vAlign w:val="bottom"/>
            <w:gridSpan w:val="2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74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the securities we are offering. The second part, the accompanying prospectus dated July 29, 2019, gives more general information about our securities.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7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prospectuses we have authorized for use in connection with this offering. If the description of the offering varies between this prospectus supplement and the accompanying prospectus, you should rely on the information in this prospectus supplement. We have not authorized anyone to provide you with different or additional information. Under no circumstances should the delivery to you of this prospectus supplement and the accompanying prospectus or any sale made pursuant to this prospectus supplement create any implication that the information contained in this prospectus supplement or the accompanying prospectus is correct as of any time after the respective dates of such information.</w:t>
      </w:r>
    </w:p>
    <w:p>
      <w:pPr>
        <w:spacing w:after="0" w:line="189" w:lineRule="exact"/>
        <w:rPr>
          <w:sz w:val="20"/>
          <w:szCs w:val="20"/>
          <w:color w:val="auto"/>
        </w:rPr>
      </w:pPr>
    </w:p>
    <w:p>
      <w:pPr>
        <w:ind w:left="200" w:right="400"/>
        <w:spacing w:after="0" w:line="297"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this prospectus supplement, unless otherwise indicated, the terms the “Company,” “Arcturus Therapeutics,” “we,” “us” and “our” refer to Arcturus Therapeutics Holdings Inc., a Delaware corporation, and its predecessors and consolidated subsidiaries.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40"/>
        <w:spacing w:after="0" w:line="253" w:lineRule="auto"/>
        <w:rPr>
          <w:sz w:val="20"/>
          <w:szCs w:val="20"/>
          <w:color w:val="auto"/>
        </w:rPr>
      </w:pPr>
      <w:r>
        <w:rPr>
          <w:rFonts w:ascii="Arial" w:cs="Arial" w:eastAsia="Arial" w:hAnsi="Arial"/>
          <w:sz w:val="18"/>
          <w:szCs w:val="18"/>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securities. The following summary is qualified in its entirety by, and should be read in conjunction with, the more detailed information and financial statements and notes thereto appearing elsewhere in this prospectus supplement and the accompanying prospectus. Before you decide to invest in our securities, to fully understand this offering and its consequences to you, you should carefully read the entire prospectus supplement carefully, including the matters set forth under the caption “Risk Factors” beginning on page S-6 of this prospectus supplement and page 3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3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380" w:right="14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320" w:right="4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320" w:right="120" w:hanging="407"/>
        <w:spacing w:after="0" w:line="277"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380" w:right="14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380" w:right="4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right="24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or Arcturus Inc., pursuant to a merger between the companies. Immediately after giving effect to the merger, on November 15, 2017, Alcobra Ltd. changed its name to Arcturus Therapeutics Ltd.. or Arcturus Ltd.</w:t>
      </w:r>
    </w:p>
    <w:p>
      <w:pPr>
        <w:spacing w:after="0" w:line="181" w:lineRule="exact"/>
        <w:rPr>
          <w:sz w:val="20"/>
          <w:szCs w:val="20"/>
          <w:color w:val="auto"/>
        </w:rPr>
      </w:pPr>
    </w:p>
    <w:p>
      <w:pPr>
        <w:ind w:left="380" w:right="360"/>
        <w:spacing w:after="0" w:line="277" w:lineRule="auto"/>
        <w:rPr>
          <w:sz w:val="20"/>
          <w:szCs w:val="20"/>
          <w:color w:val="auto"/>
        </w:rPr>
      </w:pPr>
      <w:r>
        <w:rPr>
          <w:rFonts w:ascii="Arial" w:cs="Arial" w:eastAsia="Arial" w:hAnsi="Arial"/>
          <w:sz w:val="18"/>
          <w:szCs w:val="18"/>
          <w:color w:val="auto"/>
        </w:rPr>
        <w:t>On June 12, 2019, Arcturus Ltd. redomiciled as a Delaware corporation following the completion of the actions contemplated by an Exchange Agreement dated as of February 8, 2019, between Arcturus Ltd. and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4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1247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Following the redomiciliation, the Company became the successor issuer to Arcturus Ltd. and each of Arcturus Ltd. and Arcturus Inc. became wholly-owned subsidiaries of the Company.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w:t>
      </w:r>
    </w:p>
    <w:p>
      <w:pPr>
        <w:spacing w:after="0" w:line="46" w:lineRule="exact"/>
        <w:rPr>
          <w:sz w:val="20"/>
          <w:szCs w:val="20"/>
          <w:color w:val="auto"/>
        </w:rPr>
      </w:pPr>
    </w:p>
    <w:p>
      <w:pPr>
        <w:ind w:left="380" w:firstLine="6"/>
        <w:spacing w:after="0" w:line="255"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900-2660. Our website is located at https://arcturusrx.com. We do not incorporate by reference into this prospectus supplement the information on, or accessible through, our website, and you should not consider it as part of this prospectus supplement. Our common stock trades on The Nasdaq Global Market under the symbol “ARCT”.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240" w:top="459" w:right="7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85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3854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200,000 shares</w:t>
      </w:r>
    </w:p>
    <w:p>
      <w:pPr>
        <w:spacing w:after="0" w:line="21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$11.50 per share</w:t>
      </w:r>
    </w:p>
    <w:p>
      <w:pPr>
        <w:spacing w:after="0" w:line="211"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14,274,378 shares</w:t>
      </w:r>
    </w:p>
    <w:p>
      <w:pPr>
        <w:spacing w:after="0" w:line="211" w:lineRule="exact"/>
        <w:rPr>
          <w:sz w:val="20"/>
          <w:szCs w:val="20"/>
          <w:color w:val="auto"/>
        </w:rPr>
      </w:pPr>
    </w:p>
    <w:p>
      <w:pPr>
        <w:sectPr>
          <w:pgSz w:w="11900" w:h="16838" w:orient="portrait"/>
          <w:cols w:equalWidth="0" w:num="2">
            <w:col w:w="4080" w:space="340"/>
            <w:col w:w="6580"/>
          </w:cols>
          <w:pgMar w:left="240" w:top="459" w:right="65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currently expect to use the net proceeds from this offering to fund our continued research and development initiatives in connection with our product pipeline including, but not limited to, LUNAR-CF, LUNAR-CV, LUNAR-MD and general corporate purposes. See “Use of Proceeds” on page S-8 of this prospectus supplement.</w:t>
      </w:r>
    </w:p>
    <w:p>
      <w:pPr>
        <w:spacing w:after="0" w:line="198"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w:t>
      </w:r>
    </w:p>
    <w:p>
      <w:pPr>
        <w:spacing w:after="0" w:line="200"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investment in our securities involves a high degree of risk. See “Risk Factors” beginning on page S-6 of this prospectus supplement, page 3 of the accompanying prospectus and in the documents incorporated by reference into this prospectus supplement for a discussion of factors you should consider carefully when making an investment decision.</w:t>
      </w:r>
    </w:p>
    <w:p>
      <w:pPr>
        <w:spacing w:after="0" w:line="188"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380" w:right="60"/>
        <w:spacing w:after="0" w:line="302" w:lineRule="auto"/>
        <w:rPr>
          <w:sz w:val="20"/>
          <w:szCs w:val="20"/>
          <w:color w:val="auto"/>
        </w:rPr>
      </w:pPr>
      <w:r>
        <w:rPr>
          <w:rFonts w:ascii="Arial" w:cs="Arial" w:eastAsia="Arial" w:hAnsi="Arial"/>
          <w:sz w:val="16"/>
          <w:szCs w:val="16"/>
          <w:color w:val="auto"/>
        </w:rPr>
        <w:t>The number of shares our common stock to be outstanding after the offering is based on 13,128,725 shares of our common stock outstanding as of August 1, 2019, including 945,653 shares of common stock to be issued on or about August 5, 2019 pursuant to securities purchase agreements with institutional investors (subject to customary closing conditions) dated as of August 1, 2019, and excludes 1,817,878 shares issuable upon exercise of currently outstanding options to purchase our common stock at a weighted average exercise price of $10.12 per share.</w:t>
      </w:r>
    </w:p>
    <w:p>
      <w:pPr>
        <w:spacing w:after="0" w:line="200" w:lineRule="exact"/>
        <w:rPr>
          <w:sz w:val="20"/>
          <w:szCs w:val="20"/>
          <w:color w:val="auto"/>
        </w:rPr>
      </w:pPr>
    </w:p>
    <w:p>
      <w:pPr>
        <w:spacing w:after="0" w:line="38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00"/>
          </w:cols>
          <w:pgMar w:left="240" w:top="459" w:right="6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Investment in our shares of common stock involves risks. Prior to making a decision about investing in our shares of common stock, you should consider carefully all of the information included in and incorporated by reference or deemed to be incorporated by reference in this prospectus supplement and the accompanying prospectus, including the risk factors incorporated by reference herein from our Annual Report on Form 10-K for the year ended December 31, 2018, filed with the Securities and Exchange Commission, or SEC, on March 18, 2019, as updated by annual, quarterly and other reports and documents we file with the SEC after the date of this prospectus supplement and that are incorporated by reference in the this prospectus supplement.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Our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common stock you purchase.</w:t>
      </w:r>
    </w:p>
    <w:p>
      <w:pPr>
        <w:spacing w:after="0" w:line="117"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Because the price per share of our common stock being offered is substantially higher than the book value per share of our common stock, you will suffer substantial dilution in the net tangible book value of the common stock you purchase in this offering. If you purchase shares of common stock in this offering, you will suffer immediate and substantial dilution of $8.52 per share in the net tangible book value of the common stock. See the section entitled “Dilution” below for a more detailed discussion of the dilution you will incur if you purchase common stock in this offering.</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management will have broad discretion over the use of the net proceeds from this offering.</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currently intend to use the net proceeds from this offering to fund our continued research and development initiatives in connection with our product pipeline including, but not limited to LUNAR-CF, LUNAR-CV, LUNAR-MD and other general corporate purposes. We have not determined the amounts we plan to spend for various working capital and general corporate purposes or the timing of these expenditures. Accordingly, our management will have considerable discretion in the application of the net proceeds from this offering, and you will not have the opportunity, as part of your investment decision, to assess whether the proceeds from this offering are being used appropriately. The net proceeds may be used for corporate purposes that do not increase our operating results or market value. Until the net proceeds are used, they may be placed in investments that do not produce income or that lose value.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140"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62"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27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62"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our stock price and trading volume could decline.</w:t>
      </w:r>
    </w:p>
    <w:p>
      <w:pPr>
        <w:spacing w:after="0" w:line="129"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60"/>
        <w:spacing w:after="0" w:line="277" w:lineRule="auto"/>
        <w:rPr>
          <w:sz w:val="20"/>
          <w:szCs w:val="20"/>
          <w:color w:val="auto"/>
        </w:rPr>
      </w:pPr>
      <w:r>
        <w:rPr>
          <w:rFonts w:ascii="Arial" w:cs="Arial" w:eastAsia="Arial" w:hAnsi="Arial"/>
          <w:sz w:val="18"/>
          <w:szCs w:val="18"/>
          <w:color w:val="auto"/>
        </w:rPr>
        <w:t>We estimate that the net proceeds from the sale of the Shares that we are offering, after deducting the placement agent fee and estimated offering expenses payable by us, will be approximately $2.1 million.</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to fund our continued research and development initiatives in connection with our product pipeline including, but not limited to LUNAR-CF, LUNAR-CV, LUNAR-MD and general corporate purposes. This anticipated use of net proceeds represents our intentions based upon our current plans and business conditions.</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Under the Securities Purchase Agreement, we are prohibited from using the proceeds of the offering for (i) the satisfaction of any portion of our debt (other than payment of trade payables in the ordinary course of our business and prior practices), (ii) the redemption of any common stock or common stock equivalents, or (iii) in violation of regulations under the Foreign Corrupt Practices Act of 1977 or the Office of Foreign Assets Control of the U.S. Treasury Department.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securities.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The following sets forth our cash and cash equivalents and capitalization on a consolidated basis as of March 31, 2019. We have presented our capitalization on an actual basis, a pro forma basis to reflect the issuance of 2,400,000 shares of common stock, net of $100,000 in issuance costs, representing the equity portion of a private placement we consummated on June 19, 2019, and 945,653 shares of common stock to be issued on or about August 5, 2019, pursuant to securities purchase agreements with institutional investors (subject to customary closing conditions) dated as of August 1, 2019, net of $802,500 in issuance costs, and a pro forma as adjusted basis to reflect the issuance of 200,000 shares of common stock, net of $163,000 in issuance costs, upon the sale of the Shares offered hereby, but not the application of the net proceeds from the issuance and sale of such Shares. See “Use of Proceeds.” You should read the following table along with our financial statements and the accompanying notes to those statements, together with the information set forth under “Management’s Discussion and Analysis of Financial Condition and Results of Operations” in our Annual Report on Form 10-K for the year ended December 31, 2018, and in our subsequent Quarterly Reports and Current Reports, which are incorporated by reference in this prospectus supplement and the accompanying prospectus.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As of March 31, 2019</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3"/>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(in thousands, except par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 forma</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 private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placement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Actual</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and prior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this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offering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31,220</w:t>
            </w:r>
          </w:p>
        </w:tc>
        <w:tc>
          <w:tcPr>
            <w:tcW w:w="13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$ 65,192</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$ 67,329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Debt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10,000</w:t>
            </w:r>
          </w:p>
        </w:tc>
        <w:tc>
          <w:tcPr>
            <w:tcW w:w="1380" w:type="dxa"/>
            <w:vAlign w:val="bottom"/>
          </w:tcPr>
          <w:p>
            <w:pPr>
              <w:jc w:val="right"/>
              <w:ind w:right="298"/>
              <w:spacing w:after="0"/>
              <w:rPr>
                <w:sz w:val="20"/>
                <w:szCs w:val="20"/>
                <w:color w:val="auto"/>
              </w:rPr>
            </w:pPr>
            <w:r>
              <w:rPr>
                <w:rFonts w:ascii="Arial" w:cs="Arial" w:eastAsia="Arial" w:hAnsi="Arial"/>
                <w:sz w:val="18"/>
                <w:szCs w:val="18"/>
                <w:color w:val="auto"/>
              </w:rPr>
              <w:t>$ 10,000</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w w:val="99"/>
              </w:rPr>
              <w:t>$ 10,000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30,000 shares authorized, 10,719 issued and outstanding, actual, 14,065</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issued and outstanding, pro forma for private placement and prior offering, 14,265 issued and</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outstanding, pro forma as adjusted</w:t>
            </w:r>
            <w:r>
              <w:rPr>
                <w:rFonts w:ascii="Arial" w:cs="Arial" w:eastAsia="Arial" w:hAnsi="Arial"/>
                <w:sz w:val="15"/>
                <w:szCs w:val="15"/>
                <w:color w:val="auto"/>
              </w:rPr>
              <w:t>(1)</w:t>
            </w:r>
          </w:p>
        </w:tc>
        <w:tc>
          <w:tcPr>
            <w:tcW w:w="30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298"/>
              <w:spacing w:after="0"/>
              <w:rPr>
                <w:sz w:val="20"/>
                <w:szCs w:val="20"/>
                <w:color w:val="auto"/>
              </w:rPr>
            </w:pPr>
            <w:r>
              <w:rPr>
                <w:rFonts w:ascii="Arial" w:cs="Arial" w:eastAsia="Arial" w:hAnsi="Arial"/>
                <w:sz w:val="18"/>
                <w:szCs w:val="18"/>
                <w:color w:val="auto"/>
              </w:rPr>
              <w:t>14</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58,904</w:t>
            </w:r>
          </w:p>
        </w:tc>
        <w:tc>
          <w:tcPr>
            <w:tcW w:w="13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92,873</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(52,561)</w:t>
            </w:r>
          </w:p>
        </w:tc>
        <w:tc>
          <w:tcPr>
            <w:tcW w:w="1380" w:type="dxa"/>
            <w:vAlign w:val="bottom"/>
          </w:tcPr>
          <w:p>
            <w:pPr>
              <w:jc w:val="right"/>
              <w:ind w:right="238"/>
              <w:spacing w:after="0"/>
              <w:rPr>
                <w:sz w:val="20"/>
                <w:szCs w:val="20"/>
                <w:color w:val="auto"/>
              </w:rPr>
            </w:pPr>
            <w:r>
              <w:rPr>
                <w:rFonts w:ascii="Arial" w:cs="Arial" w:eastAsia="Arial" w:hAnsi="Arial"/>
                <w:sz w:val="18"/>
                <w:szCs w:val="18"/>
                <w:color w:val="auto"/>
              </w:rPr>
              <w:t>(52,561)</w:t>
            </w:r>
          </w:p>
        </w:tc>
        <w:tc>
          <w:tcPr>
            <w:tcW w:w="840" w:type="dxa"/>
            <w:vAlign w:val="bottom"/>
          </w:tcPr>
          <w:p>
            <w:pPr>
              <w:jc w:val="right"/>
              <w:spacing w:after="0"/>
              <w:rPr>
                <w:sz w:val="20"/>
                <w:szCs w:val="20"/>
                <w:color w:val="auto"/>
              </w:rPr>
            </w:pPr>
            <w:r>
              <w:rPr>
                <w:rFonts w:ascii="Arial" w:cs="Arial" w:eastAsia="Arial" w:hAnsi="Arial"/>
                <w:sz w:val="18"/>
                <w:szCs w:val="18"/>
                <w:color w:val="auto"/>
              </w:rPr>
              <w:t>(52,561)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6,354</w:t>
            </w:r>
          </w:p>
        </w:tc>
        <w:tc>
          <w:tcPr>
            <w:tcW w:w="13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$ 40,326</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$ 42,463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capitalization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16,354</w:t>
            </w:r>
          </w:p>
        </w:tc>
        <w:tc>
          <w:tcPr>
            <w:tcW w:w="1380" w:type="dxa"/>
            <w:vAlign w:val="bottom"/>
          </w:tcPr>
          <w:p>
            <w:pPr>
              <w:jc w:val="right"/>
              <w:ind w:right="298"/>
              <w:spacing w:after="0"/>
              <w:rPr>
                <w:sz w:val="20"/>
                <w:szCs w:val="20"/>
                <w:color w:val="auto"/>
              </w:rPr>
            </w:pPr>
            <w:r>
              <w:rPr>
                <w:rFonts w:ascii="Arial" w:cs="Arial" w:eastAsia="Arial" w:hAnsi="Arial"/>
                <w:sz w:val="18"/>
                <w:szCs w:val="18"/>
                <w:color w:val="auto"/>
              </w:rPr>
              <w:t>$ 50,326</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w w:val="99"/>
              </w:rPr>
              <w:t>$ 52,463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60" w:hanging="436"/>
        <w:spacing w:after="0" w:line="258"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Gives effect to the Company’s redomiciliation as a Delaware corporation, which occurred on June 12, 2019. Excludes previous Treasury Shares of 43 that were extinguished upon the redomiciliation.</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that all equity issued in the private placement will be classified as equity for accounting purposes.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Our net tangible book value as of March 31, 2019 was approximately $6.4 million or $0.59 per share. Net tangible book value per share is determined by dividing our total tangible assets, less total liabilities, by the number of shares of our common stock outstanding as of March 31, 2019.</w:t>
      </w:r>
    </w:p>
    <w:p>
      <w:pPr>
        <w:spacing w:after="0" w:line="124"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Our pro forma net tangible book value as of March 31, 2019 was approximately $40.4 million, or $2.87 per share. Pro forma net tangible book value per share is determined by dividing our total tangible assets, less total liabilities, by the number of shares of our common stock outstanding as of March 31, 2019, as adjusted to reflect the issuance of 2,400,000 shares of common stock in a private placement on June 19, 2019, and 945,653 shares of common stock to be issued on or about August 5, 2019 pursuant to securities purchase agreements with institutional investors (subject to customary closing conditions) dated as of August 1, 2019.</w:t>
      </w:r>
    </w:p>
    <w:p>
      <w:pPr>
        <w:spacing w:after="0" w:line="188"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Dilution with respect to pro forma net tangible book value per share represents the difference between the amount per share paid by purchasers of our Shares in this offering and the pro forma net tangible book value per share of our Shares immediately after this offering.</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After giving effect to the sale of 200,000 Shares in this offering at the offering price of $11.50 per Share, and after deducting the placement agent fees and the estimated offering expenses payable by us for this offering, our pro forma as adjusted net tangible book value as of March 31, 2019, would have been approximately $42.5 million, or $2.98 per share. This represents an immediate increase in pro forma net tangible book value of $0.11 per Share to existing stockholders and immediate dilution in pro forma net tangible book value of $8.52 per Share to investors purchasing our Shares in this offering at the offering price. The following table illustrates this dilution on a per Share basis: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11.50</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Net tangible book value per Share of as March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 forma reduction per share attributable to the June 19, 2019 private placement and August 1, 2019 offering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Pro forma net tangible book value per share as of March 31,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As adjusted pro forma net tangible book value per Share after this offering</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bl>
    <w:p>
      <w:pPr>
        <w:spacing w:after="0" w:line="202" w:lineRule="exact"/>
        <w:rPr>
          <w:sz w:val="20"/>
          <w:szCs w:val="20"/>
          <w:color w:val="auto"/>
        </w:rPr>
      </w:pPr>
    </w:p>
    <w:p>
      <w:pPr>
        <w:jc w:val="both"/>
        <w:ind w:left="200" w:right="280"/>
        <w:spacing w:after="0" w:line="342" w:lineRule="auto"/>
        <w:rPr>
          <w:sz w:val="20"/>
          <w:szCs w:val="20"/>
          <w:color w:val="auto"/>
        </w:rPr>
      </w:pPr>
      <w:r>
        <w:rPr>
          <w:rFonts w:ascii="Arial" w:cs="Arial" w:eastAsia="Arial" w:hAnsi="Arial"/>
          <w:sz w:val="16"/>
          <w:szCs w:val="16"/>
          <w:color w:val="auto"/>
        </w:rPr>
        <w:t>The number of Shares to be outstanding after the offering is based on the number of shares outstanding as of March 31, 2019. As of that date, we had 10.7 million Shares outstanding, excluding 1.8 million shares issuable upon exercise of currently outstanding options to purchase our common stock.</w:t>
      </w:r>
    </w:p>
    <w:p>
      <w:pPr>
        <w:spacing w:after="0" w:line="124"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Pursuant to an engagement agreement dated July 26, 2019, we have engaged H.C. Wainwright &amp; Co., LLC, or the placement agent, to act as our exclusive placement agent in connection with this offering of our shares of common stock pursuant to this prospectus supplement and accompanying prospectus. Under the terms of the engagement agreement, the placement agent has agreed to be our exclusive placement agent, on a reasonable best efforts basis, in connection with the issuance and sale by us of our shares of common stock in this takedown from our “shelf” registration statement. The terms of this offering were subject to market conditions and negotiations between us, the placement agent and prospective investors. The engagement agreement does not give rise to any commitment by the placement agent to purchase any of our shares of common stock, and the placement agent will have no authority to bind us by virtue of the engagement agreement. The placement agent may engage sub-agents or selected dealers to assist with the offering.</w:t>
      </w:r>
    </w:p>
    <w:p>
      <w:pPr>
        <w:spacing w:after="0" w:line="192"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have entered into a securities purchase agreement directly with several investors in connection with this offering, and we only sell the shares of common stock to investors who have entered into the securities purchase agreement.</w:t>
      </w:r>
    </w:p>
    <w:p>
      <w:pPr>
        <w:spacing w:after="0" w:line="17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expect to deliver the shares of our common stock being offered pursuant to this prospectus supplement and the accompanying prospectus on or about August 5, 2019, subject to customary closing conditions.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agreed to pay the placement agent a total cash fee equal to 6.0% of the gross proceeds of this offering.</w:t>
      </w:r>
    </w:p>
    <w:p>
      <w:pPr>
        <w:spacing w:after="0" w:line="225"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following table shows per share and total cash placement agent’s fees we will pay to the placement agent in connection with the sale of the shares of common stock pursuant to this prospectus supplement and the accompanying prospectus assuming the purchase of all of the shares of common stock offered hereby:</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138,000</w:t>
            </w:r>
          </w:p>
        </w:tc>
      </w:tr>
    </w:tbl>
    <w:p>
      <w:pPr>
        <w:spacing w:after="0" w:line="187"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We have agreed to indemnify the placement agent and specified other persons against certain civil liabilities, including liabilities under the Securities Act, and the Securities Exchange Act of 1934, as amended, or the Exchange Act, and to contribute to payments that the placement agent may be required to make in respect of such liabilities.</w:t>
      </w:r>
    </w:p>
    <w:p>
      <w:pPr>
        <w:spacing w:after="0" w:line="181" w:lineRule="exact"/>
        <w:rPr>
          <w:sz w:val="20"/>
          <w:szCs w:val="20"/>
          <w:color w:val="auto"/>
        </w:rPr>
      </w:pPr>
    </w:p>
    <w:p>
      <w:pPr>
        <w:ind w:left="200" w:right="860"/>
        <w:spacing w:after="0" w:line="277" w:lineRule="auto"/>
        <w:rPr>
          <w:sz w:val="20"/>
          <w:szCs w:val="20"/>
          <w:color w:val="auto"/>
        </w:rPr>
      </w:pPr>
      <w:r>
        <w:rPr>
          <w:rFonts w:ascii="Arial" w:cs="Arial" w:eastAsia="Arial" w:hAnsi="Arial"/>
          <w:sz w:val="18"/>
          <w:szCs w:val="18"/>
          <w:color w:val="auto"/>
        </w:rPr>
        <w:t>We estimate the total offering expenses of this offering that will be payable by us, excluding the placement agent’s fees and expenses, will be approximately $0.1 million.</w:t>
      </w:r>
    </w:p>
    <w:p>
      <w:pPr>
        <w:spacing w:after="0" w:line="17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common stock and warrants by the placement agent acting as principal. Under these rules and regulations, the placement agent:</w:t>
      </w:r>
    </w:p>
    <w:p>
      <w:pPr>
        <w:spacing w:after="0" w:line="99"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not engage in any stabilization activity in connection with our securities;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securities purchase agreement is included as an exhibit to a Current Report on Form 8-K that we have filed with the SEC and that is incorporated by reference into the registration statement of which this prospectus supplement forms a part.</w:t>
      </w:r>
    </w:p>
    <w:p>
      <w:pPr>
        <w:spacing w:after="0" w:line="17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From time to time, the placement agent may provide in the future various advisory, investment and commercial banking and other services to us in the ordinary course of business, for which they have received and may continue to receive customary fees and commissions. H.C. Wainwright &amp; Co., LLC acted as our exclusive agent in connection with our registered direct offering announced on August 1, 2019, for which it received compensation. However, except as disclosed in this prospectus supplement, we have no present arrangements with the placement agent for any further services.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transfer agent for our common stock is Continental Stock Transfer &amp; Trust Company, located at 17 Battery Place, 8th Floor, New York, NY 10004.</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under the symbol “ARCT.”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validity of the issuance of the securities offered hereby will be passed upon by Dentons US LLP, New York, New York.</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on Form 10-K for the year ended December 31, 2018 (the “10-K”)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7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appearing in the 10-K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We are a reporting company and file annual, quarterly and current reports, proxy and information statements and other information with the SEC. This prospectus supplement and accompanying prospectus are part of a registration statement that we have filed with the SEC relating to the securities to be offered under this prospectus supplement. This prospectus supplement does not contain all of the information set forth in the registration statement and the exhibits to the registration statement. For further information with respect to us and the securities to be offered under this prospectus supplement, we refer you to the registration statement and the exhibits and schedules filed as a part of the registration statement.</w:t>
      </w:r>
    </w:p>
    <w:p>
      <w:pPr>
        <w:spacing w:after="0" w:line="15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https://arcturusrx.com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supplement, and information that we file later with the SEC (except in each case, any disclosure on Items 2.02 and 7.01 of Form 8-K) will automatically update and supersede this information. We incorporate by reference the documents filed with the SEC listed below:</w:t>
      </w:r>
    </w:p>
    <w:p>
      <w:pPr>
        <w:spacing w:after="0" w:line="77" w:lineRule="exact"/>
        <w:rPr>
          <w:sz w:val="20"/>
          <w:szCs w:val="20"/>
          <w:color w:val="auto"/>
        </w:rPr>
      </w:pPr>
    </w:p>
    <w:p>
      <w:pPr>
        <w:ind w:left="1180" w:right="8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as filed with the SEC on </w:t>
      </w:r>
      <w:hyperlink r:id="rId32">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amended on </w:t>
      </w:r>
      <w:hyperlink r:id="rId33">
        <w:r>
          <w:rPr>
            <w:rFonts w:ascii="Arial" w:cs="Arial" w:eastAsia="Arial" w:hAnsi="Arial"/>
            <w:sz w:val="18"/>
            <w:szCs w:val="18"/>
            <w:u w:val="single" w:color="auto"/>
            <w:color w:val="0000EE"/>
          </w:rPr>
          <w:t>April 10, 2019</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as filed with the SEC on </w:t>
      </w:r>
      <w:hyperlink r:id="rId34">
        <w:r>
          <w:rPr>
            <w:rFonts w:ascii="Arial" w:cs="Arial" w:eastAsia="Arial" w:hAnsi="Arial"/>
            <w:sz w:val="18"/>
            <w:szCs w:val="18"/>
            <w:u w:val="single" w:color="auto"/>
            <w:color w:val="0000EE"/>
          </w:rPr>
          <w:t>May 13,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as filed with the SEC on </w:t>
      </w:r>
      <w:hyperlink r:id="rId35">
        <w:r>
          <w:rPr>
            <w:rFonts w:ascii="Arial" w:cs="Arial" w:eastAsia="Arial" w:hAnsi="Arial"/>
            <w:sz w:val="18"/>
            <w:szCs w:val="18"/>
            <w:u w:val="single" w:color="auto"/>
            <w:color w:val="0000EE"/>
          </w:rPr>
          <w:t>March 19, 2019</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May 20, 2019</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June 19, 2019</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June 20,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July 29,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 xml:space="preserve">August 1,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3">
        <w:r>
          <w:rPr>
            <w:rFonts w:ascii="Arial" w:cs="Arial" w:eastAsia="Arial" w:hAnsi="Arial"/>
            <w:sz w:val="18"/>
            <w:szCs w:val="18"/>
            <w:u w:val="single" w:color="auto"/>
            <w:color w:val="0000EE"/>
          </w:rPr>
          <w:t>August 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80" w:right="40" w:hanging="436"/>
        <w:spacing w:after="0" w:line="264"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44">
        <w:r>
          <w:rPr>
            <w:rFonts w:ascii="Arial" w:cs="Arial" w:eastAsia="Arial" w:hAnsi="Arial"/>
            <w:sz w:val="18"/>
            <w:szCs w:val="18"/>
            <w:u w:val="single" w:color="auto"/>
            <w:color w:val="0000EE"/>
          </w:rPr>
          <w:t>May 17, 2013</w:t>
        </w:r>
      </w:hyperlink>
      <w:r>
        <w:rPr>
          <w:rFonts w:ascii="Arial" w:cs="Arial" w:eastAsia="Arial" w:hAnsi="Arial"/>
          <w:sz w:val="18"/>
          <w:szCs w:val="18"/>
          <w:color w:val="auto"/>
        </w:rPr>
        <w:t xml:space="preserve">, including any amendments or reports filed for purposes of updating such description, including the Form 8-K12B filed on </w:t>
      </w:r>
      <w:hyperlink r:id="rId45">
        <w:r>
          <w:rPr>
            <w:rFonts w:ascii="Arial" w:cs="Arial" w:eastAsia="Arial" w:hAnsi="Arial"/>
            <w:sz w:val="18"/>
            <w:szCs w:val="18"/>
            <w:u w:val="single" w:color="auto"/>
            <w:color w:val="0000EE"/>
          </w:rPr>
          <w:t>June 14, 2019</w:t>
        </w:r>
      </w:hyperlink>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0" w:right="60"/>
        <w:spacing w:after="0" w:line="290" w:lineRule="auto"/>
        <w:rPr>
          <w:sz w:val="20"/>
          <w:szCs w:val="20"/>
          <w:color w:val="auto"/>
        </w:rPr>
      </w:pPr>
      <w:r>
        <w:rPr>
          <w:rFonts w:ascii="Arial" w:cs="Arial" w:eastAsia="Arial" w:hAnsi="Arial"/>
          <w:sz w:val="16"/>
          <w:szCs w:val="16"/>
          <w:color w:val="auto"/>
        </w:rPr>
        <w:t>All reports and other documents subsequently filed by us with the SEC pursuant to Sections 13(a), 13(c), 14, or 15(d) of the Securities Exchange Act of 1934 after the date of this prospectus supplement and before the termination of the offering shall be deemed to be incorporated by reference in this prospectus supplement and accompanying prospectus and to be a part of this prospectus supplement and accompanying prospectus from the date of filing of such reports and documents. Any statement contained in any document incorporated or deemed to be incorporated by reference herein shall be deemed to be modified or superseded for purposes of this prospectus supplement and accompanying prospectus to the extent that a statement contained in this prospectus supplement and accompanying prospectus or in any other subsequently filed document which also is or is deemed to be incorporated by reference in this prospectus supplement and accompanying prospectus modifies or supersedes such statement. Any statement so modified or superseded shall not be deemed, except as so modified or superseded, to constitute a part of this prospectus supplement and accompanying prospectus.</w:t>
      </w:r>
    </w:p>
    <w:p>
      <w:pPr>
        <w:spacing w:after="0" w:line="166" w:lineRule="exact"/>
        <w:rPr>
          <w:rFonts w:ascii="Arial" w:cs="Arial" w:eastAsia="Arial" w:hAnsi="Arial"/>
          <w:sz w:val="18"/>
          <w:szCs w:val="18"/>
          <w:color w:val="auto"/>
        </w:rPr>
      </w:pPr>
    </w:p>
    <w:p>
      <w:pPr>
        <w:ind w:left="200" w:right="300"/>
        <w:spacing w:after="0" w:line="277" w:lineRule="auto"/>
        <w:rPr>
          <w:sz w:val="20"/>
          <w:szCs w:val="20"/>
          <w:color w:val="auto"/>
        </w:rPr>
      </w:pPr>
      <w:r>
        <w:rPr>
          <w:rFonts w:ascii="Arial" w:cs="Arial" w:eastAsia="Arial" w:hAnsi="Arial"/>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62"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San Diego, California 92121</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Telephone: (858) 900-2660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8"/>
          <w:szCs w:val="18"/>
          <w:color w:val="auto"/>
        </w:rPr>
      </w:pPr>
    </w:p>
    <w:p>
      <w:pPr>
        <w:ind w:left="200" w:right="200"/>
        <w:spacing w:after="0" w:line="264"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1" w:lineRule="exact"/>
        <w:rPr>
          <w:rFonts w:ascii="Arial" w:cs="Arial" w:eastAsia="Arial" w:hAnsi="Arial"/>
          <w:sz w:val="18"/>
          <w:szCs w:val="18"/>
          <w:color w:val="auto"/>
        </w:rPr>
      </w:pPr>
    </w:p>
    <w:p>
      <w:pPr>
        <w:ind w:left="200" w:right="120"/>
        <w:spacing w:after="0" w:line="312" w:lineRule="auto"/>
        <w:rPr>
          <w:sz w:val="20"/>
          <w:szCs w:val="20"/>
          <w:color w:val="auto"/>
        </w:rPr>
      </w:pPr>
      <w:r>
        <w:rPr>
          <w:rFonts w:ascii="Arial" w:cs="Arial" w:eastAsia="Arial" w:hAnsi="Arial"/>
          <w:sz w:val="16"/>
          <w:szCs w:val="16"/>
          <w:color w:val="auto"/>
        </w:rPr>
        <w:t>This prospectus supplement and accompanying prospectus is part of a registration statement we filed with the SEC. We have incorporated exhibits into the registration statement of which this prospectus supplement and accompanying prospectus is a part. You should read the exhibits carefully for provisions that may be important to you. Neither we nor the placement agent authorized anyone to provide any information or to make any</w:t>
      </w:r>
    </w:p>
    <w:p>
      <w:pPr>
        <w:spacing w:after="0" w:line="7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representations other than those contained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accompanying prospectus is an offer to sell only the shares offered hereby, but only under the circumstances and in the jurisdictions where it is lawful to do so. The information contained in this prospectus supplement, the accompanying prospectus or in any applicable free writing prospectus is current only as of its date, regardless of its time of delivery.</w:t>
      </w:r>
    </w:p>
    <w:p>
      <w:pPr>
        <w:spacing w:after="0" w:line="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24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172085</wp:posOffset>
            </wp:positionV>
            <wp:extent cx="2075180" cy="711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Preferred Stock</w:t>
      </w:r>
    </w:p>
    <w:p>
      <w:pPr>
        <w:jc w:val="center"/>
        <w:ind w:right="-23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239"/>
        <w:spacing w:after="0" w:line="231" w:lineRule="auto"/>
        <w:rPr>
          <w:sz w:val="20"/>
          <w:szCs w:val="20"/>
          <w:color w:val="auto"/>
        </w:rPr>
      </w:pPr>
      <w:r>
        <w:rPr>
          <w:rFonts w:ascii="Arial" w:cs="Arial" w:eastAsia="Arial" w:hAnsi="Arial"/>
          <w:sz w:val="22"/>
          <w:szCs w:val="22"/>
          <w:b w:val="1"/>
          <w:bCs w:val="1"/>
          <w:color w:val="auto"/>
        </w:rPr>
        <w:t>Warrants</w:t>
      </w:r>
    </w:p>
    <w:p>
      <w:pPr>
        <w:jc w:val="center"/>
        <w:ind w:right="-239"/>
        <w:spacing w:after="0"/>
        <w:rPr>
          <w:sz w:val="20"/>
          <w:szCs w:val="20"/>
          <w:color w:val="auto"/>
        </w:rPr>
      </w:pPr>
      <w:r>
        <w:rPr>
          <w:rFonts w:ascii="Arial" w:cs="Arial" w:eastAsia="Arial" w:hAnsi="Arial"/>
          <w:sz w:val="22"/>
          <w:szCs w:val="22"/>
          <w:b w:val="1"/>
          <w:bCs w:val="1"/>
          <w:color w:val="auto"/>
        </w:rPr>
        <w:t>Units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hyperlink w:anchor="page2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61" w:lineRule="exact"/>
        <w:rPr>
          <w:sz w:val="20"/>
          <w:szCs w:val="20"/>
          <w:color w:val="auto"/>
        </w:rPr>
      </w:pPr>
    </w:p>
    <w:p>
      <w:pPr>
        <w:ind w:left="200" w:right="1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date of this prospectus is July 29, 2019.</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ABOUT THIS PROSPECTUS</w:t>
              </w:r>
            </w:hyperlink>
          </w:p>
        </w:tc>
        <w:tc>
          <w:tcPr>
            <w:tcW w:w="6000" w:type="dxa"/>
            <w:vAlign w:val="bottom"/>
            <w:gridSpan w:val="8"/>
          </w:tcPr>
          <w:p>
            <w:pPr>
              <w:spacing w:after="0"/>
              <w:rPr>
                <w:sz w:val="16"/>
                <w:szCs w:val="16"/>
                <w:color w:val="auto"/>
              </w:rPr>
            </w:pPr>
          </w:p>
        </w:tc>
        <w:tc>
          <w:tcPr>
            <w:tcW w:w="27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PROSPECTUS SUMMARY</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820" w:type="dxa"/>
            <w:vAlign w:val="bottom"/>
            <w:tcBorders>
              <w:top w:val="single" w:sz="8" w:color="0000EE"/>
            </w:tcBorders>
            <w:gridSpan w:val="4"/>
          </w:tcPr>
          <w:p>
            <w:pPr>
              <w:spacing w:after="0"/>
              <w:rPr>
                <w:sz w:val="17"/>
                <w:szCs w:val="17"/>
                <w:color w:val="auto"/>
              </w:rPr>
            </w:pPr>
          </w:p>
        </w:tc>
        <w:tc>
          <w:tcPr>
            <w:tcW w:w="6160" w:type="dxa"/>
            <w:vAlign w:val="bottom"/>
            <w:gridSpan w:val="9"/>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CAUTIONARY NOTE REGARDING FORWARD-LOOKING STATEMENTS</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2460" w:type="dxa"/>
            <w:vAlign w:val="bottom"/>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DESCRIPTION OF CAPITAL STOCK WE MAY OFFER</w:t>
              </w:r>
            </w:hyperlink>
          </w:p>
        </w:tc>
        <w:tc>
          <w:tcPr>
            <w:tcW w:w="3980" w:type="dxa"/>
            <w:vAlign w:val="bottom"/>
            <w:gridSpan w:val="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WE MAY OFFER</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WARRANTS WE MAY OFFER</w:t>
              </w:r>
            </w:hyperlink>
          </w:p>
        </w:tc>
        <w:tc>
          <w:tcPr>
            <w:tcW w:w="3840" w:type="dxa"/>
            <w:vAlign w:val="bottom"/>
            <w:gridSpan w:val="3"/>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 WE MAY OFFER</w:t>
              </w:r>
            </w:hyperlink>
          </w:p>
        </w:tc>
        <w:tc>
          <w:tcPr>
            <w:tcW w:w="4380" w:type="dxa"/>
            <w:vAlign w:val="bottom"/>
            <w:gridSpan w:val="5"/>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3"/>
          </w:tcPr>
          <w:p>
            <w:pPr>
              <w:spacing w:after="0"/>
              <w:rPr>
                <w:sz w:val="17"/>
                <w:szCs w:val="17"/>
                <w:color w:val="auto"/>
              </w:rPr>
            </w:pPr>
          </w:p>
        </w:tc>
        <w:tc>
          <w:tcPr>
            <w:tcW w:w="4840" w:type="dxa"/>
            <w:vAlign w:val="bottom"/>
            <w:gridSpan w:val="7"/>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LEGAL MATTERS</w:t>
              </w:r>
            </w:hyperlink>
          </w:p>
        </w:tc>
        <w:tc>
          <w:tcPr>
            <w:tcW w:w="6780" w:type="dxa"/>
            <w:vAlign w:val="bottom"/>
            <w:gridSpan w:val="12"/>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EXPERTS</w:t>
              </w:r>
            </w:hyperlink>
          </w:p>
        </w:tc>
        <w:tc>
          <w:tcPr>
            <w:tcW w:w="7460" w:type="dxa"/>
            <w:vAlign w:val="bottom"/>
            <w:gridSpan w:val="14"/>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WHERE YOU CAN FIND MORE INFORMATION</w:t>
              </w:r>
            </w:hyperlink>
          </w:p>
        </w:tc>
        <w:tc>
          <w:tcPr>
            <w:tcW w:w="4420" w:type="dxa"/>
            <w:vAlign w:val="bottom"/>
            <w:gridSpan w:val="6"/>
          </w:tcPr>
          <w:p>
            <w:pPr>
              <w:spacing w:after="0"/>
              <w:rPr>
                <w:sz w:val="17"/>
                <w:szCs w:val="17"/>
                <w:color w:val="auto"/>
              </w:rPr>
            </w:pPr>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240" w:type="dxa"/>
            <w:vAlign w:val="bottom"/>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INCORPORATION OF CERTAIN DOCUMENTS BY REFERENCE</w:t>
              </w:r>
            </w:hyperlink>
          </w:p>
        </w:tc>
        <w:tc>
          <w:tcPr>
            <w:tcW w:w="27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71"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7" w:lineRule="exact"/>
        <w:rPr>
          <w:sz w:val="20"/>
          <w:szCs w:val="20"/>
          <w:color w:val="auto"/>
        </w:rPr>
      </w:pPr>
    </w:p>
    <w:p>
      <w:pPr>
        <w:ind w:left="200" w:right="2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w:t>
      </w:r>
      <w:r>
        <w:rPr>
          <w:rFonts w:ascii="Arial" w:cs="Arial" w:eastAsia="Arial" w:hAnsi="Arial"/>
          <w:sz w:val="15"/>
          <w:szCs w:val="15"/>
          <w:color w:val="auto"/>
        </w:rPr>
        <w:t>®</w:t>
      </w:r>
      <w:r>
        <w:rPr>
          <w:rFonts w:ascii="Arial" w:cs="Arial" w:eastAsia="Arial" w:hAnsi="Arial"/>
          <w:sz w:val="18"/>
          <w:szCs w:val="18"/>
          <w:color w:val="auto"/>
        </w:rPr>
        <w:t>, enables multiple nucleic acid medicines. We have deep expertise in the discovery and development of RNA medicines, including key experience in the production of RNA drug substance and nanoparticle-formulated drug product.</w:t>
      </w:r>
    </w:p>
    <w:p>
      <w:pPr>
        <w:spacing w:after="0" w:line="92" w:lineRule="exact"/>
        <w:rPr>
          <w:sz w:val="20"/>
          <w:szCs w:val="20"/>
          <w:color w:val="auto"/>
        </w:rPr>
      </w:pPr>
    </w:p>
    <w:p>
      <w:pPr>
        <w:ind w:left="1180" w:right="3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pipeline of seven drugs in late-stage discovery and early-stage development: two wholly-owned and five pharma partnered programs.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w:t>
      </w:r>
      <w:r>
        <w:rPr>
          <w:rFonts w:ascii="Arial" w:cs="Arial" w:eastAsia="Arial" w:hAnsi="Arial"/>
          <w:sz w:val="15"/>
          <w:szCs w:val="15"/>
          <w:color w:val="auto"/>
        </w:rPr>
        <w:t>®</w:t>
      </w:r>
      <w:r>
        <w:rPr>
          <w:rFonts w:ascii="Arial" w:cs="Arial" w:eastAsia="Arial" w:hAnsi="Arial"/>
          <w:sz w:val="18"/>
          <w:szCs w:val="18"/>
          <w:color w:val="auto"/>
        </w:rPr>
        <w:t xml:space="preserve"> which draws from a growing library of over 150 proprietary lipids intended to enable safer and more efficient delivery of RNA medicines.</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wholly-owned, LUNAR</w:t>
      </w:r>
      <w:r>
        <w:rPr>
          <w:rFonts w:ascii="Arial" w:cs="Arial" w:eastAsia="Arial" w:hAnsi="Arial"/>
          <w:sz w:val="15"/>
          <w:szCs w:val="15"/>
          <w:color w:val="auto"/>
        </w:rPr>
        <w:t>®</w:t>
      </w:r>
      <w:r>
        <w:rPr>
          <w:rFonts w:ascii="Arial" w:cs="Arial" w:eastAsia="Arial" w:hAnsi="Arial"/>
          <w:sz w:val="18"/>
          <w:szCs w:val="18"/>
          <w:color w:val="auto"/>
        </w:rPr>
        <w:t xml:space="preserve"> and nucleic acid technologies are covered by a patent portfolio of 152 patents and patent applications, issued in the United States, China, Europe, Japan and other countries.</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71"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181"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166"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31" w:lineRule="exact"/>
        <w:rPr>
          <w:sz w:val="20"/>
          <w:szCs w:val="20"/>
          <w:color w:val="auto"/>
        </w:rPr>
      </w:pPr>
    </w:p>
    <w:p>
      <w:pPr>
        <w:ind w:left="1180" w:right="3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7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7"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June 21, 2019, there were no shares of preferred stock issued and outstanding.</w:t>
      </w:r>
    </w:p>
    <w:p>
      <w:pPr>
        <w:spacing w:after="0" w:line="170"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87"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of preferred stock offered, the liquidation preference per share and the offering price of the shares of preferred stock;</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dividend rate(s), period(s) and/or payment date(s) or method(s) of calculation thereof applicable to the shares of preferred stock;</w:t>
      </w:r>
    </w:p>
    <w:p>
      <w:pPr>
        <w:spacing w:after="0" w:line="142" w:lineRule="exact"/>
        <w:rPr>
          <w:rFonts w:ascii="Arial" w:cs="Arial" w:eastAsia="Arial" w:hAnsi="Arial"/>
          <w:sz w:val="17"/>
          <w:szCs w:val="17"/>
          <w:color w:val="auto"/>
        </w:rPr>
      </w:pPr>
    </w:p>
    <w:p>
      <w:pPr>
        <w:ind w:left="1180" w:right="2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130"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75" w:lineRule="exact"/>
        <w:rPr>
          <w:rFonts w:ascii="Arial" w:cs="Arial" w:eastAsia="Arial" w:hAnsi="Arial"/>
          <w:sz w:val="18"/>
          <w:szCs w:val="18"/>
          <w:color w:val="auto"/>
        </w:rPr>
      </w:pPr>
    </w:p>
    <w:p>
      <w:pPr>
        <w:ind w:left="1180" w:right="240" w:hanging="436"/>
        <w:spacing w:after="0" w:line="308"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Size of Board and Vacancies</w:t>
      </w:r>
    </w:p>
    <w:p>
      <w:pPr>
        <w:spacing w:after="0" w:line="115" w:lineRule="exact"/>
        <w:rPr>
          <w:sz w:val="20"/>
          <w:szCs w:val="20"/>
          <w:color w:val="auto"/>
        </w:rPr>
      </w:pPr>
    </w:p>
    <w:p>
      <w:pPr>
        <w:jc w:val="both"/>
        <w:ind w:left="200" w:right="220"/>
        <w:spacing w:after="0" w:line="261" w:lineRule="auto"/>
        <w:rPr>
          <w:sz w:val="20"/>
          <w:szCs w:val="20"/>
          <w:color w:val="auto"/>
        </w:rPr>
      </w:pPr>
      <w:r>
        <w:rPr>
          <w:rFonts w:ascii="Arial" w:cs="Arial" w:eastAsia="Arial" w:hAnsi="Arial"/>
          <w:sz w:val="17"/>
          <w:szCs w:val="17"/>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5" w:lineRule="exact"/>
        <w:rPr>
          <w:sz w:val="20"/>
          <w:szCs w:val="20"/>
          <w:color w:val="auto"/>
        </w:rPr>
      </w:pPr>
    </w:p>
    <w:p>
      <w:pPr>
        <w:ind w:left="200" w:right="680"/>
        <w:spacing w:after="0" w:line="274" w:lineRule="auto"/>
        <w:rPr>
          <w:sz w:val="20"/>
          <w:szCs w:val="20"/>
          <w:color w:val="auto"/>
        </w:rPr>
      </w:pPr>
      <w:r>
        <w:rPr>
          <w:rFonts w:ascii="Arial" w:cs="Arial" w:eastAsia="Arial" w:hAnsi="Arial"/>
          <w:sz w:val="17"/>
          <w:szCs w:val="17"/>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115" w:lineRule="exact"/>
        <w:rPr>
          <w:sz w:val="20"/>
          <w:szCs w:val="20"/>
          <w:color w:val="auto"/>
        </w:rPr>
      </w:pPr>
    </w:p>
    <w:p>
      <w:pPr>
        <w:ind w:left="200"/>
        <w:spacing w:after="0" w:line="288" w:lineRule="auto"/>
        <w:rPr>
          <w:sz w:val="20"/>
          <w:szCs w:val="20"/>
          <w:color w:val="auto"/>
        </w:rPr>
      </w:pPr>
      <w:r>
        <w:rPr>
          <w:rFonts w:ascii="Arial" w:cs="Arial" w:eastAsia="Arial" w:hAnsi="Arial"/>
          <w:sz w:val="15"/>
          <w:szCs w:val="15"/>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Director Liability</w:t>
      </w:r>
    </w:p>
    <w:p>
      <w:pPr>
        <w:spacing w:after="0" w:line="115" w:lineRule="exact"/>
        <w:rPr>
          <w:sz w:val="20"/>
          <w:szCs w:val="20"/>
          <w:color w:val="auto"/>
        </w:rPr>
      </w:pPr>
    </w:p>
    <w:p>
      <w:pPr>
        <w:ind w:left="200" w:right="40"/>
        <w:spacing w:after="0" w:line="261" w:lineRule="auto"/>
        <w:rPr>
          <w:sz w:val="20"/>
          <w:szCs w:val="20"/>
          <w:color w:val="auto"/>
        </w:rPr>
      </w:pPr>
      <w:r>
        <w:rPr>
          <w:rFonts w:ascii="Arial" w:cs="Arial" w:eastAsia="Arial" w:hAnsi="Arial"/>
          <w:sz w:val="17"/>
          <w:szCs w:val="17"/>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DEBT SECURITIES WE MAY OFFER</w:t>
      </w:r>
    </w:p>
    <w:p>
      <w:pPr>
        <w:spacing w:after="0" w:line="229" w:lineRule="exact"/>
        <w:rPr>
          <w:sz w:val="20"/>
          <w:szCs w:val="20"/>
          <w:color w:val="auto"/>
        </w:rPr>
      </w:pPr>
    </w:p>
    <w:p>
      <w:pPr>
        <w:ind w:left="200" w:right="40"/>
        <w:spacing w:after="0" w:line="25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77"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30" w:lineRule="exact"/>
        <w:rPr>
          <w:rFonts w:ascii="Arial" w:cs="Arial" w:eastAsia="Arial" w:hAnsi="Arial"/>
          <w:sz w:val="18"/>
          <w:szCs w:val="18"/>
          <w:color w:val="auto"/>
        </w:rPr>
      </w:pPr>
    </w:p>
    <w:p>
      <w:pPr>
        <w:ind w:left="1180" w:right="280" w:hanging="436"/>
        <w:spacing w:after="0" w:line="308"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51" w:lineRule="exact"/>
        <w:rPr>
          <w:rFonts w:ascii="Arial" w:cs="Arial" w:eastAsia="Arial" w:hAnsi="Arial"/>
          <w:sz w:val="17"/>
          <w:szCs w:val="17"/>
          <w:color w:val="auto"/>
        </w:rPr>
      </w:pPr>
    </w:p>
    <w:p>
      <w:pPr>
        <w:ind w:left="1180" w:right="240" w:hanging="436"/>
        <w:spacing w:after="0" w:line="342"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20" w:hanging="436"/>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the indenture will require us to maintain any interest coverage, fixed charge, cash flow-based, asset-based or other financial ratios;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75"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and</w:t>
      </w:r>
    </w:p>
    <w:p>
      <w:pPr>
        <w:spacing w:after="0" w:line="75"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81"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Conversion or Exchange Rights</w:t>
      </w:r>
    </w:p>
    <w:p>
      <w:pPr>
        <w:spacing w:after="0" w:line="121" w:lineRule="exact"/>
        <w:rPr>
          <w:sz w:val="20"/>
          <w:szCs w:val="20"/>
          <w:color w:val="auto"/>
        </w:rPr>
      </w:pPr>
    </w:p>
    <w:p>
      <w:pPr>
        <w:ind w:left="200" w:right="120"/>
        <w:spacing w:after="0" w:line="302" w:lineRule="auto"/>
        <w:rPr>
          <w:sz w:val="20"/>
          <w:szCs w:val="20"/>
          <w:color w:val="auto"/>
        </w:rPr>
      </w:pPr>
      <w:r>
        <w:rPr>
          <w:rFonts w:ascii="Arial" w:cs="Arial" w:eastAsia="Arial" w:hAnsi="Arial"/>
          <w:sz w:val="15"/>
          <w:szCs w:val="15"/>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Consolidation, Merger or Sale</w:t>
      </w:r>
    </w:p>
    <w:p>
      <w:pPr>
        <w:spacing w:after="0" w:line="121" w:lineRule="exact"/>
        <w:rPr>
          <w:sz w:val="20"/>
          <w:szCs w:val="20"/>
          <w:color w:val="auto"/>
        </w:rPr>
      </w:pPr>
    </w:p>
    <w:p>
      <w:pPr>
        <w:ind w:left="200" w:right="60"/>
        <w:spacing w:after="0" w:line="25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Events of Default under the Indenture</w:t>
      </w:r>
    </w:p>
    <w:p>
      <w:pPr>
        <w:spacing w:after="0" w:line="121" w:lineRule="exact"/>
        <w:rPr>
          <w:sz w:val="20"/>
          <w:szCs w:val="20"/>
          <w:color w:val="auto"/>
        </w:rPr>
      </w:pPr>
    </w:p>
    <w:p>
      <w:pPr>
        <w:ind w:left="200" w:right="500"/>
        <w:spacing w:after="0" w:line="27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80"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140" w:lineRule="exact"/>
        <w:rPr>
          <w:rFonts w:ascii="Arial" w:cs="Arial" w:eastAsia="Arial" w:hAnsi="Arial"/>
          <w:sz w:val="16"/>
          <w:szCs w:val="16"/>
          <w:color w:val="auto"/>
        </w:rPr>
      </w:pPr>
    </w:p>
    <w:p>
      <w:pPr>
        <w:jc w:val="both"/>
        <w:ind w:left="1060" w:right="180" w:hanging="316"/>
        <w:spacing w:after="0" w:line="312" w:lineRule="auto"/>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56" w:lineRule="exact"/>
        <w:rPr>
          <w:rFonts w:ascii="Arial" w:cs="Arial" w:eastAsia="Arial" w:hAnsi="Arial"/>
          <w:sz w:val="15"/>
          <w:szCs w:val="15"/>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specified events of bankruptcy, insolvency or reorganization occur.</w:t>
      </w:r>
    </w:p>
    <w:p>
      <w:pPr>
        <w:spacing w:after="0" w:line="223" w:lineRule="exact"/>
        <w:rPr>
          <w:sz w:val="20"/>
          <w:szCs w:val="20"/>
          <w:color w:val="auto"/>
        </w:rPr>
      </w:pPr>
    </w:p>
    <w:p>
      <w:pPr>
        <w:ind w:left="200" w:right="40"/>
        <w:spacing w:after="0" w:line="294" w:lineRule="auto"/>
        <w:rPr>
          <w:sz w:val="20"/>
          <w:szCs w:val="20"/>
          <w:color w:val="auto"/>
        </w:rPr>
      </w:pPr>
      <w:r>
        <w:rPr>
          <w:rFonts w:ascii="Arial" w:cs="Arial" w:eastAsia="Arial" w:hAnsi="Arial"/>
          <w:sz w:val="15"/>
          <w:szCs w:val="15"/>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64" w:lineRule="exact"/>
        <w:rPr>
          <w:sz w:val="20"/>
          <w:szCs w:val="20"/>
          <w:color w:val="auto"/>
        </w:rPr>
      </w:pPr>
    </w:p>
    <w:p>
      <w:pPr>
        <w:ind w:left="200"/>
        <w:spacing w:after="0" w:line="261"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86" w:lineRule="exact"/>
        <w:rPr>
          <w:sz w:val="20"/>
          <w:szCs w:val="20"/>
          <w:color w:val="auto"/>
        </w:rPr>
      </w:pPr>
    </w:p>
    <w:p>
      <w:pPr>
        <w:ind w:left="200" w:right="40"/>
        <w:spacing w:after="0" w:line="297" w:lineRule="auto"/>
        <w:rPr>
          <w:sz w:val="20"/>
          <w:szCs w:val="20"/>
          <w:color w:val="auto"/>
        </w:rPr>
      </w:pPr>
      <w:r>
        <w:rPr>
          <w:rFonts w:ascii="Arial" w:cs="Arial" w:eastAsia="Arial" w:hAnsi="Arial"/>
          <w:sz w:val="15"/>
          <w:szCs w:val="15"/>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67"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direction so given by the holders is not in conflict with any law or the applicable indenture; and</w:t>
      </w:r>
    </w:p>
    <w:p>
      <w:pPr>
        <w:spacing w:after="0" w:line="128" w:lineRule="exact"/>
        <w:rPr>
          <w:rFonts w:ascii="Arial" w:cs="Arial" w:eastAsia="Arial" w:hAnsi="Arial"/>
          <w:sz w:val="17"/>
          <w:szCs w:val="17"/>
          <w:color w:val="auto"/>
        </w:rPr>
      </w:pPr>
    </w:p>
    <w:p>
      <w:pPr>
        <w:ind w:left="1060" w:right="120" w:hanging="316"/>
        <w:spacing w:after="0" w:line="274"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91" w:lineRule="exact"/>
        <w:rPr>
          <w:sz w:val="20"/>
          <w:szCs w:val="20"/>
          <w:color w:val="auto"/>
        </w:rPr>
      </w:pPr>
    </w:p>
    <w:p>
      <w:pPr>
        <w:ind w:left="200" w:right="180"/>
        <w:spacing w:after="0" w:line="274"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indentures or to appoint a receiver or trustee, or to seek other remedies only if:</w:t>
      </w:r>
    </w:p>
    <w:p>
      <w:pPr>
        <w:spacing w:after="0" w:line="80"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128" w:lineRule="exact"/>
        <w:rPr>
          <w:rFonts w:ascii="Arial" w:cs="Arial" w:eastAsia="Arial" w:hAnsi="Arial"/>
          <w:sz w:val="17"/>
          <w:szCs w:val="17"/>
          <w:color w:val="auto"/>
        </w:rPr>
      </w:pPr>
    </w:p>
    <w:p>
      <w:pPr>
        <w:ind w:left="1060" w:right="420" w:hanging="316"/>
        <w:spacing w:after="0" w:line="261"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91" w:lineRule="exact"/>
        <w:rPr>
          <w:rFonts w:ascii="Arial" w:cs="Arial" w:eastAsia="Arial" w:hAnsi="Arial"/>
          <w:sz w:val="17"/>
          <w:szCs w:val="17"/>
          <w:color w:val="auto"/>
        </w:rPr>
      </w:pPr>
    </w:p>
    <w:p>
      <w:pPr>
        <w:ind w:left="1060" w:right="240" w:hanging="316"/>
        <w:spacing w:after="0" w:line="274"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75" w:lineRule="exact"/>
        <w:rPr>
          <w:sz w:val="20"/>
          <w:szCs w:val="20"/>
          <w:color w:val="auto"/>
        </w:rPr>
      </w:pPr>
    </w:p>
    <w:p>
      <w:pPr>
        <w:ind w:left="200" w:right="140"/>
        <w:spacing w:after="0" w:line="274"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indentures.</w:t>
      </w:r>
    </w:p>
    <w:p>
      <w:pPr>
        <w:spacing w:after="0" w:line="223" w:lineRule="exact"/>
        <w:rPr>
          <w:sz w:val="20"/>
          <w:szCs w:val="20"/>
          <w:color w:val="auto"/>
        </w:rPr>
      </w:pPr>
    </w:p>
    <w:p>
      <w:pPr>
        <w:ind w:left="200" w:right="40"/>
        <w:spacing w:after="0" w:line="274" w:lineRule="auto"/>
        <w:rPr>
          <w:sz w:val="20"/>
          <w:szCs w:val="20"/>
          <w:color w:val="auto"/>
        </w:rPr>
      </w:pPr>
      <w:r>
        <w:rPr>
          <w:rFonts w:ascii="Arial" w:cs="Arial" w:eastAsia="Arial" w:hAnsi="Arial"/>
          <w:sz w:val="16"/>
          <w:szCs w:val="16"/>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Modification of Indenture; Waiver</w:t>
      </w:r>
    </w:p>
    <w:p>
      <w:pPr>
        <w:spacing w:after="0" w:line="121" w:lineRule="exact"/>
        <w:rPr>
          <w:sz w:val="20"/>
          <w:szCs w:val="20"/>
          <w:color w:val="auto"/>
        </w:rPr>
      </w:pPr>
    </w:p>
    <w:p>
      <w:pPr>
        <w:ind w:left="200" w:right="160"/>
        <w:spacing w:after="0" w:line="274" w:lineRule="auto"/>
        <w:rPr>
          <w:sz w:val="20"/>
          <w:szCs w:val="20"/>
          <w:color w:val="auto"/>
        </w:rPr>
      </w:pPr>
      <w:r>
        <w:rPr>
          <w:rFonts w:ascii="Arial" w:cs="Arial" w:eastAsia="Arial" w:hAnsi="Arial"/>
          <w:sz w:val="17"/>
          <w:szCs w:val="17"/>
          <w:color w:val="auto"/>
        </w:rPr>
        <w:t>Subject to the terms of the indenture for any series of debt securities that we may issue, we and the trustee may change an indenture without the consent of any holders with respect to the following specific matters:</w:t>
      </w:r>
    </w:p>
    <w:p>
      <w:pPr>
        <w:spacing w:after="0" w:line="80"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fix any ambiguity, defect or inconsistency in the indenture;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comply with the provisions described above under “-Consolidation, Merger or Sale”;</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28" w:lineRule="exact"/>
        <w:rPr>
          <w:rFonts w:ascii="Arial" w:cs="Arial" w:eastAsia="Arial" w:hAnsi="Arial"/>
          <w:sz w:val="17"/>
          <w:szCs w:val="17"/>
          <w:color w:val="auto"/>
        </w:rPr>
      </w:pPr>
    </w:p>
    <w:p>
      <w:pPr>
        <w:ind w:left="1060" w:right="140" w:hanging="316"/>
        <w:spacing w:after="0" w:line="274"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such indenture;</w:t>
      </w:r>
    </w:p>
    <w:p>
      <w:pPr>
        <w:spacing w:after="0" w:line="80" w:lineRule="exact"/>
        <w:rPr>
          <w:rFonts w:ascii="Arial" w:cs="Arial" w:eastAsia="Arial" w:hAnsi="Arial"/>
          <w:sz w:val="17"/>
          <w:szCs w:val="17"/>
          <w:color w:val="auto"/>
        </w:rPr>
      </w:pPr>
    </w:p>
    <w:p>
      <w:pPr>
        <w:ind w:left="1060" w:right="100" w:hanging="316"/>
        <w:spacing w:after="0" w:line="261"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91" w:lineRule="exact"/>
        <w:rPr>
          <w:rFonts w:ascii="Arial" w:cs="Arial" w:eastAsia="Arial" w:hAnsi="Arial"/>
          <w:sz w:val="17"/>
          <w:szCs w:val="17"/>
          <w:color w:val="auto"/>
        </w:rPr>
      </w:pPr>
    </w:p>
    <w:p>
      <w:pPr>
        <w:ind w:left="1060" w:hanging="316"/>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w:t>
      </w:r>
    </w:p>
    <w:p>
      <w:pPr>
        <w:spacing w:after="0" w:line="128" w:lineRule="exact"/>
        <w:rPr>
          <w:rFonts w:ascii="Arial" w:cs="Arial" w:eastAsia="Arial" w:hAnsi="Arial"/>
          <w:sz w:val="17"/>
          <w:szCs w:val="17"/>
          <w:color w:val="auto"/>
        </w:rPr>
      </w:pPr>
    </w:p>
    <w:p>
      <w:pPr>
        <w:ind w:left="1060" w:right="360" w:hanging="316"/>
        <w:spacing w:after="0" w:line="274"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and to make all appropriate changes for such purpose;</w:t>
      </w:r>
    </w:p>
    <w:p>
      <w:pPr>
        <w:spacing w:after="0" w:line="80" w:lineRule="exact"/>
        <w:rPr>
          <w:rFonts w:ascii="Arial" w:cs="Arial" w:eastAsia="Arial" w:hAnsi="Arial"/>
          <w:sz w:val="17"/>
          <w:szCs w:val="17"/>
          <w:color w:val="auto"/>
        </w:rPr>
      </w:pPr>
    </w:p>
    <w:p>
      <w:pPr>
        <w:ind w:left="1060" w:hanging="316"/>
        <w:spacing w:after="0" w:line="261"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97"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58"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92"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reducing the amount of principal of an original issue discount security or any other note payable upon acceleration of the maturity thereof;</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changing any of our obligations to maintain an office or agency in the places and for the purposes required by the indentures;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87"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80"/>
        <w:spacing w:after="0" w:line="274"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Form, Exchange and Transfer</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9" w:lineRule="exact"/>
        <w:rPr>
          <w:sz w:val="20"/>
          <w:szCs w:val="20"/>
          <w:color w:val="auto"/>
        </w:rPr>
      </w:pPr>
    </w:p>
    <w:p>
      <w:pPr>
        <w:jc w:val="both"/>
        <w:ind w:left="200" w:right="540"/>
        <w:spacing w:after="0" w:line="261" w:lineRule="auto"/>
        <w:rPr>
          <w:sz w:val="20"/>
          <w:szCs w:val="20"/>
          <w:color w:val="auto"/>
        </w:rPr>
      </w:pPr>
      <w:r>
        <w:rPr>
          <w:rFonts w:ascii="Arial" w:cs="Arial" w:eastAsia="Arial" w:hAnsi="Arial"/>
          <w:sz w:val="17"/>
          <w:szCs w:val="17"/>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6" w:lineRule="exact"/>
        <w:rPr>
          <w:sz w:val="20"/>
          <w:szCs w:val="20"/>
          <w:color w:val="auto"/>
        </w:rPr>
      </w:pPr>
    </w:p>
    <w:p>
      <w:pPr>
        <w:ind w:left="200" w:right="120"/>
        <w:spacing w:after="0" w:line="274"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9" w:lineRule="exact"/>
        <w:rPr>
          <w:sz w:val="20"/>
          <w:szCs w:val="20"/>
          <w:color w:val="auto"/>
        </w:rPr>
      </w:pPr>
    </w:p>
    <w:p>
      <w:pPr>
        <w:jc w:val="both"/>
        <w:ind w:left="200"/>
        <w:spacing w:after="0" w:line="312" w:lineRule="auto"/>
        <w:rPr>
          <w:sz w:val="20"/>
          <w:szCs w:val="20"/>
          <w:color w:val="auto"/>
        </w:rPr>
      </w:pPr>
      <w:r>
        <w:rPr>
          <w:rFonts w:ascii="Arial" w:cs="Arial" w:eastAsia="Arial" w:hAnsi="Arial"/>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29" w:lineRule="exact"/>
        <w:rPr>
          <w:sz w:val="20"/>
          <w:szCs w:val="20"/>
          <w:color w:val="auto"/>
        </w:rPr>
      </w:pPr>
    </w:p>
    <w:p>
      <w:pPr>
        <w:ind w:left="1060" w:right="20" w:hanging="316"/>
        <w:spacing w:after="0" w:line="261"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91" w:lineRule="exact"/>
        <w:rPr>
          <w:rFonts w:ascii="Arial" w:cs="Arial" w:eastAsia="Arial" w:hAnsi="Arial"/>
          <w:sz w:val="17"/>
          <w:szCs w:val="17"/>
          <w:color w:val="auto"/>
        </w:rPr>
      </w:pPr>
    </w:p>
    <w:p>
      <w:pPr>
        <w:ind w:left="1060" w:right="220" w:hanging="316"/>
        <w:spacing w:after="0" w:line="274"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Information Concerning the Trustee</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5"/>
          <w:szCs w:val="15"/>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26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Payment and Paying Agents</w:t>
      </w:r>
    </w:p>
    <w:p>
      <w:pPr>
        <w:spacing w:after="0" w:line="121" w:lineRule="exact"/>
        <w:rPr>
          <w:sz w:val="20"/>
          <w:szCs w:val="20"/>
          <w:color w:val="auto"/>
        </w:rPr>
      </w:pPr>
    </w:p>
    <w:p>
      <w:pPr>
        <w:ind w:left="200" w:right="60"/>
        <w:spacing w:after="0" w:line="261"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6"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Debt Securities</w:t>
      </w:r>
    </w:p>
    <w:p>
      <w:pPr>
        <w:spacing w:after="0" w:line="121"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8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ind w:left="200" w:right="320"/>
        <w:spacing w:after="0" w:line="342" w:lineRule="auto"/>
        <w:rPr>
          <w:sz w:val="20"/>
          <w:szCs w:val="20"/>
          <w:color w:val="auto"/>
        </w:rPr>
      </w:pPr>
      <w:r>
        <w:rPr>
          <w:rFonts w:ascii="Arial" w:cs="Arial" w:eastAsia="Arial" w:hAnsi="Arial"/>
          <w:sz w:val="16"/>
          <w:szCs w:val="16"/>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jc w:val="both"/>
        <w:ind w:left="200"/>
        <w:spacing w:after="0" w:line="309" w:lineRule="auto"/>
        <w:rPr>
          <w:sz w:val="20"/>
          <w:szCs w:val="20"/>
          <w:color w:val="auto"/>
        </w:rPr>
      </w:pPr>
      <w:r>
        <w:rPr>
          <w:rFonts w:ascii="Arial" w:cs="Arial" w:eastAsia="Arial" w:hAnsi="Arial"/>
          <w:sz w:val="15"/>
          <w:szCs w:val="15"/>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w:t>
      </w:r>
    </w:p>
    <w:p>
      <w:pPr>
        <w:ind w:left="200"/>
        <w:spacing w:after="0" w:line="252" w:lineRule="auto"/>
        <w:rPr>
          <w:sz w:val="20"/>
          <w:szCs w:val="20"/>
          <w:color w:val="auto"/>
        </w:rPr>
      </w:pPr>
      <w:r>
        <w:rPr>
          <w:rFonts w:ascii="Arial" w:cs="Arial" w:eastAsia="Arial" w:hAnsi="Arial"/>
          <w:sz w:val="18"/>
          <w:szCs w:val="18"/>
          <w:b w:val="1"/>
          <w:bCs w:val="1"/>
          <w:color w:val="auto"/>
        </w:rPr>
        <w:t>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92"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87"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related preferred stock or common stock will be separately transferable;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47"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29"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130" w:lineRule="exact"/>
        <w:rPr>
          <w:rFonts w:ascii="Arial" w:cs="Arial" w:eastAsia="Arial" w:hAnsi="Arial"/>
          <w:sz w:val="18"/>
          <w:szCs w:val="18"/>
          <w:color w:val="auto"/>
        </w:rPr>
      </w:pPr>
    </w:p>
    <w:p>
      <w:pPr>
        <w:ind w:left="1180" w:right="56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to or adjustments in the exercise price of the debt warrants;</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discussion of the material U.S. federal income tax considerations applicable to the exercise of the debt warrants; and</w:t>
      </w:r>
    </w:p>
    <w:p>
      <w:pPr>
        <w:spacing w:after="0" w:line="128"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other terms of the debt warrants and terms, procedures and limitations relating to the exercise of the debt warrants.</w:t>
      </w:r>
    </w:p>
    <w:p>
      <w:pPr>
        <w:spacing w:after="0" w:line="223" w:lineRule="exact"/>
        <w:rPr>
          <w:sz w:val="20"/>
          <w:szCs w:val="20"/>
          <w:color w:val="auto"/>
        </w:rPr>
      </w:pPr>
    </w:p>
    <w:p>
      <w:pPr>
        <w:ind w:left="200" w:right="100"/>
        <w:spacing w:after="0" w:line="255" w:lineRule="auto"/>
        <w:rPr>
          <w:sz w:val="20"/>
          <w:szCs w:val="20"/>
          <w:color w:val="auto"/>
        </w:rPr>
      </w:pPr>
      <w:r>
        <w:rPr>
          <w:rFonts w:ascii="Arial" w:cs="Arial" w:eastAsia="Arial" w:hAnsi="Arial"/>
          <w:sz w:val="17"/>
          <w:szCs w:val="17"/>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Exercise of Warrants</w:t>
      </w:r>
    </w:p>
    <w:p>
      <w:pPr>
        <w:spacing w:after="0" w:line="121" w:lineRule="exact"/>
        <w:rPr>
          <w:sz w:val="20"/>
          <w:szCs w:val="20"/>
          <w:color w:val="auto"/>
        </w:rPr>
      </w:pPr>
    </w:p>
    <w:p>
      <w:pPr>
        <w:ind w:left="200" w:right="80"/>
        <w:spacing w:after="0" w:line="302" w:lineRule="auto"/>
        <w:rPr>
          <w:sz w:val="20"/>
          <w:szCs w:val="20"/>
          <w:color w:val="auto"/>
        </w:rPr>
      </w:pPr>
      <w:r>
        <w:rPr>
          <w:rFonts w:ascii="Arial" w:cs="Arial" w:eastAsia="Arial" w:hAnsi="Arial"/>
          <w:sz w:val="15"/>
          <w:szCs w:val="15"/>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158" w:lineRule="exact"/>
        <w:rPr>
          <w:sz w:val="20"/>
          <w:szCs w:val="20"/>
          <w:color w:val="auto"/>
        </w:rPr>
      </w:pPr>
    </w:p>
    <w:p>
      <w:pPr>
        <w:ind w:left="200" w:right="120"/>
        <w:spacing w:after="0" w:line="253" w:lineRule="auto"/>
        <w:rPr>
          <w:sz w:val="20"/>
          <w:szCs w:val="20"/>
          <w:color w:val="auto"/>
        </w:rPr>
      </w:pPr>
      <w:r>
        <w:rPr>
          <w:rFonts w:ascii="Arial" w:cs="Arial" w:eastAsia="Arial" w:hAnsi="Arial"/>
          <w:sz w:val="17"/>
          <w:szCs w:val="17"/>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DESCRIPTION OF UNITS WE MAY OFFER</w:t>
      </w:r>
    </w:p>
    <w:p>
      <w:pPr>
        <w:spacing w:after="0" w:line="229" w:lineRule="exact"/>
        <w:rPr>
          <w:sz w:val="20"/>
          <w:szCs w:val="20"/>
          <w:color w:val="auto"/>
        </w:rPr>
      </w:pPr>
    </w:p>
    <w:p>
      <w:pPr>
        <w:ind w:left="200" w:right="200"/>
        <w:spacing w:after="0" w:line="25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5"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left="200" w:right="20"/>
        <w:spacing w:after="0" w:line="257" w:lineRule="auto"/>
        <w:rPr>
          <w:sz w:val="20"/>
          <w:szCs w:val="20"/>
          <w:color w:val="auto"/>
        </w:rPr>
      </w:pPr>
      <w:r>
        <w:rPr>
          <w:rFonts w:ascii="Arial" w:cs="Arial" w:eastAsia="Arial" w:hAnsi="Arial"/>
          <w:sz w:val="17"/>
          <w:szCs w:val="17"/>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w:t>
      </w:r>
    </w:p>
    <w:p>
      <w:pPr>
        <w:spacing w:after="0" w:line="23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3"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sell the offered securities from time to time.</w:t>
      </w:r>
    </w:p>
    <w:p>
      <w:pPr>
        <w:spacing w:after="0" w:line="131"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31"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7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left="200" w:right="100"/>
        <w:spacing w:after="0" w:line="312" w:lineRule="auto"/>
        <w:rPr>
          <w:sz w:val="20"/>
          <w:szCs w:val="20"/>
          <w:color w:val="auto"/>
        </w:rPr>
      </w:pPr>
      <w:r>
        <w:rPr>
          <w:rFonts w:ascii="Arial" w:cs="Arial" w:eastAsia="Arial" w:hAnsi="Arial"/>
          <w:sz w:val="16"/>
          <w:szCs w:val="16"/>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7"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7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93"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will describe such relationships in the prospectus supplement naming the underwriter and the nature of any such relationship.</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LEGAL MATTERS</w:t>
      </w:r>
    </w:p>
    <w:p>
      <w:pPr>
        <w:spacing w:after="0" w:line="229" w:lineRule="exact"/>
        <w:rPr>
          <w:sz w:val="20"/>
          <w:szCs w:val="20"/>
          <w:color w:val="auto"/>
        </w:rPr>
      </w:pPr>
    </w:p>
    <w:p>
      <w:pPr>
        <w:ind w:left="200" w:right="360"/>
        <w:spacing w:after="0" w:line="274" w:lineRule="auto"/>
        <w:rPr>
          <w:sz w:val="20"/>
          <w:szCs w:val="20"/>
          <w:color w:val="auto"/>
        </w:rPr>
      </w:pPr>
      <w:r>
        <w:rPr>
          <w:rFonts w:ascii="Arial" w:cs="Arial" w:eastAsia="Arial" w:hAnsi="Arial"/>
          <w:sz w:val="17"/>
          <w:szCs w:val="17"/>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EXPERTS</w:t>
      </w:r>
    </w:p>
    <w:p>
      <w:pPr>
        <w:spacing w:after="0" w:line="229" w:lineRule="exact"/>
        <w:rPr>
          <w:sz w:val="20"/>
          <w:szCs w:val="20"/>
          <w:color w:val="auto"/>
        </w:rPr>
      </w:pPr>
    </w:p>
    <w:p>
      <w:pPr>
        <w:ind w:left="200" w:right="20"/>
        <w:spacing w:after="0" w:line="253" w:lineRule="auto"/>
        <w:rPr>
          <w:sz w:val="20"/>
          <w:szCs w:val="20"/>
          <w:color w:val="auto"/>
        </w:rPr>
      </w:pPr>
      <w:r>
        <w:rPr>
          <w:rFonts w:ascii="Arial" w:cs="Arial" w:eastAsia="Arial" w:hAnsi="Arial"/>
          <w:sz w:val="17"/>
          <w:szCs w:val="17"/>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5" w:lineRule="exact"/>
        <w:rPr>
          <w:sz w:val="20"/>
          <w:szCs w:val="20"/>
          <w:color w:val="auto"/>
        </w:rPr>
      </w:pPr>
    </w:p>
    <w:p>
      <w:pPr>
        <w:ind w:left="200" w:right="100"/>
        <w:spacing w:after="0" w:line="257" w:lineRule="auto"/>
        <w:rPr>
          <w:sz w:val="20"/>
          <w:szCs w:val="20"/>
          <w:color w:val="auto"/>
        </w:rPr>
      </w:pPr>
      <w:r>
        <w:rPr>
          <w:rFonts w:ascii="Arial" w:cs="Arial" w:eastAsia="Arial" w:hAnsi="Arial"/>
          <w:sz w:val="17"/>
          <w:szCs w:val="17"/>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9" w:lineRule="exact"/>
        <w:rPr>
          <w:sz w:val="20"/>
          <w:szCs w:val="20"/>
          <w:color w:val="auto"/>
        </w:rPr>
      </w:pPr>
    </w:p>
    <w:p>
      <w:pPr>
        <w:ind w:left="200" w:right="180"/>
        <w:spacing w:after="0" w:line="255" w:lineRule="auto"/>
        <w:rPr>
          <w:sz w:val="20"/>
          <w:szCs w:val="20"/>
          <w:color w:val="auto"/>
        </w:rPr>
      </w:pPr>
      <w:r>
        <w:rPr>
          <w:rFonts w:ascii="Arial" w:cs="Arial" w:eastAsia="Arial" w:hAnsi="Arial"/>
          <w:sz w:val="17"/>
          <w:szCs w:val="17"/>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91" w:lineRule="exact"/>
        <w:rPr>
          <w:sz w:val="20"/>
          <w:szCs w:val="20"/>
          <w:color w:val="auto"/>
        </w:rPr>
      </w:pPr>
    </w:p>
    <w:p>
      <w:pPr>
        <w:jc w:val="both"/>
        <w:ind w:left="200" w:right="160"/>
        <w:spacing w:after="0" w:line="261" w:lineRule="auto"/>
        <w:rPr>
          <w:sz w:val="20"/>
          <w:szCs w:val="20"/>
          <w:color w:val="auto"/>
        </w:rPr>
      </w:pPr>
      <w:r>
        <w:rPr>
          <w:rFonts w:ascii="Arial" w:cs="Arial" w:eastAsia="Arial" w:hAnsi="Arial"/>
          <w:sz w:val="17"/>
          <w:szCs w:val="17"/>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86" w:lineRule="exact"/>
        <w:rPr>
          <w:sz w:val="20"/>
          <w:szCs w:val="20"/>
          <w:color w:val="auto"/>
        </w:rPr>
      </w:pPr>
    </w:p>
    <w:p>
      <w:pPr>
        <w:ind w:left="200"/>
        <w:spacing w:after="0" w:line="274" w:lineRule="auto"/>
        <w:rPr>
          <w:sz w:val="20"/>
          <w:szCs w:val="20"/>
          <w:color w:val="auto"/>
        </w:rPr>
      </w:pPr>
      <w:r>
        <w:rPr>
          <w:rFonts w:ascii="Arial" w:cs="Arial" w:eastAsia="Arial" w:hAnsi="Arial"/>
          <w:sz w:val="17"/>
          <w:szCs w:val="17"/>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38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229" w:lineRule="exact"/>
        <w:rPr>
          <w:sz w:val="20"/>
          <w:szCs w:val="20"/>
          <w:color w:val="auto"/>
        </w:rPr>
      </w:pPr>
    </w:p>
    <w:p>
      <w:pPr>
        <w:ind w:left="200" w:right="280"/>
        <w:spacing w:after="0" w:line="312" w:lineRule="auto"/>
        <w:rPr>
          <w:sz w:val="20"/>
          <w:szCs w:val="20"/>
          <w:color w:val="auto"/>
        </w:rPr>
      </w:pPr>
      <w:r>
        <w:rPr>
          <w:rFonts w:ascii="Arial" w:cs="Arial" w:eastAsia="Arial" w:hAnsi="Arial"/>
          <w:sz w:val="15"/>
          <w:szCs w:val="15"/>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57" w:lineRule="exact"/>
        <w:rPr>
          <w:sz w:val="20"/>
          <w:szCs w:val="20"/>
          <w:color w:val="auto"/>
        </w:rPr>
      </w:pPr>
    </w:p>
    <w:p>
      <w:pPr>
        <w:ind w:left="1060" w:right="460" w:hanging="316"/>
        <w:spacing w:after="0" w:line="274" w:lineRule="auto"/>
        <w:tabs>
          <w:tab w:leader="none" w:pos="1060" w:val="left"/>
        </w:tabs>
        <w:numPr>
          <w:ilvl w:val="0"/>
          <w:numId w:val="32"/>
        </w:numPr>
        <w:rPr>
          <w:rFonts w:ascii="Arial" w:cs="Arial" w:eastAsia="Arial" w:hAnsi="Arial"/>
          <w:sz w:val="17"/>
          <w:szCs w:val="17"/>
          <w:color w:val="0000EE"/>
        </w:rPr>
      </w:pPr>
      <w:r>
        <w:rPr>
          <w:rFonts w:ascii="Arial" w:cs="Arial" w:eastAsia="Arial" w:hAnsi="Arial"/>
          <w:sz w:val="17"/>
          <w:szCs w:val="17"/>
          <w:color w:val="auto"/>
        </w:rPr>
        <w:t xml:space="preserve">Our Annual Report on Form 10-K for the fiscal year ended December 31, 2018, as filed with the SEC on </w:t>
      </w:r>
      <w:hyperlink r:id="rId32">
        <w:r>
          <w:rPr>
            <w:rFonts w:ascii="Arial" w:cs="Arial" w:eastAsia="Arial" w:hAnsi="Arial"/>
            <w:sz w:val="17"/>
            <w:szCs w:val="17"/>
            <w:u w:val="single" w:color="auto"/>
            <w:color w:val="0000EE"/>
          </w:rPr>
          <w:t>March 18,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as amended on </w:t>
      </w:r>
      <w:hyperlink r:id="rId33">
        <w:r>
          <w:rPr>
            <w:rFonts w:ascii="Arial" w:cs="Arial" w:eastAsia="Arial" w:hAnsi="Arial"/>
            <w:sz w:val="17"/>
            <w:szCs w:val="17"/>
            <w:u w:val="single" w:color="auto"/>
            <w:color w:val="0000EE"/>
          </w:rPr>
          <w:t>April 10, 2019</w:t>
        </w:r>
      </w:hyperlink>
      <w:r>
        <w:rPr>
          <w:rFonts w:ascii="Arial" w:cs="Arial" w:eastAsia="Arial" w:hAnsi="Arial"/>
          <w:sz w:val="17"/>
          <w:szCs w:val="17"/>
          <w:color w:val="000000"/>
        </w:rPr>
        <w:t>;</w:t>
      </w:r>
    </w:p>
    <w:p>
      <w:pPr>
        <w:spacing w:after="0" w:line="80" w:lineRule="exact"/>
        <w:rPr>
          <w:rFonts w:ascii="Arial" w:cs="Arial" w:eastAsia="Arial" w:hAnsi="Arial"/>
          <w:sz w:val="17"/>
          <w:szCs w:val="17"/>
          <w:color w:val="0000EE"/>
        </w:rPr>
      </w:pPr>
    </w:p>
    <w:p>
      <w:pPr>
        <w:ind w:left="1060" w:hanging="316"/>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Our Quarterly Report on Form 10-Q for the quarter ended March 31, 2019, as filed with the SEC on </w:t>
      </w:r>
      <w:hyperlink r:id="rId34">
        <w:r>
          <w:rPr>
            <w:rFonts w:ascii="Arial" w:cs="Arial" w:eastAsia="Arial" w:hAnsi="Arial"/>
            <w:sz w:val="17"/>
            <w:szCs w:val="17"/>
            <w:u w:val="single" w:color="auto"/>
            <w:color w:val="0000EE"/>
          </w:rPr>
          <w:t>May 13, 2019</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060" w:right="320" w:hanging="316"/>
        <w:spacing w:after="0" w:line="274" w:lineRule="auto"/>
        <w:tabs>
          <w:tab w:leader="none" w:pos="1060" w:val="left"/>
        </w:tabs>
        <w:numPr>
          <w:ilvl w:val="0"/>
          <w:numId w:val="32"/>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as filed with the SEC on </w:t>
      </w:r>
      <w:hyperlink r:id="rId35">
        <w:r>
          <w:rPr>
            <w:rFonts w:ascii="Arial" w:cs="Arial" w:eastAsia="Arial" w:hAnsi="Arial"/>
            <w:sz w:val="17"/>
            <w:szCs w:val="17"/>
            <w:u w:val="single" w:color="auto"/>
            <w:color w:val="0000EE"/>
          </w:rPr>
          <w:t>March 19, 2019</w:t>
        </w:r>
      </w:hyperlink>
      <w:r>
        <w:rPr>
          <w:rFonts w:ascii="Arial" w:cs="Arial" w:eastAsia="Arial" w:hAnsi="Arial"/>
          <w:sz w:val="17"/>
          <w:szCs w:val="17"/>
          <w:color w:val="auto"/>
        </w:rPr>
        <w:t xml:space="preserve">, </w:t>
      </w:r>
      <w:hyperlink r:id="rId36">
        <w:r>
          <w:rPr>
            <w:rFonts w:ascii="Arial" w:cs="Arial" w:eastAsia="Arial" w:hAnsi="Arial"/>
            <w:sz w:val="17"/>
            <w:szCs w:val="17"/>
            <w:u w:val="single" w:color="auto"/>
            <w:color w:val="0000EE"/>
          </w:rPr>
          <w:t>May 13, 2019</w:t>
        </w:r>
      </w:hyperlink>
      <w:r>
        <w:rPr>
          <w:rFonts w:ascii="Arial" w:cs="Arial" w:eastAsia="Arial" w:hAnsi="Arial"/>
          <w:sz w:val="17"/>
          <w:szCs w:val="17"/>
          <w:color w:val="auto"/>
        </w:rPr>
        <w:t xml:space="preserve">, </w:t>
      </w:r>
      <w:hyperlink r:id="rId37">
        <w:r>
          <w:rPr>
            <w:rFonts w:ascii="Arial" w:cs="Arial" w:eastAsia="Arial" w:hAnsi="Arial"/>
            <w:sz w:val="17"/>
            <w:szCs w:val="17"/>
            <w:u w:val="single" w:color="auto"/>
            <w:color w:val="0000EE"/>
          </w:rPr>
          <w:t>May 20, 2019</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EE"/>
          </w:rPr>
          <w:t>June 14, 2019</w:t>
        </w:r>
      </w:hyperlink>
      <w:r>
        <w:rPr>
          <w:rFonts w:ascii="Arial" w:cs="Arial" w:eastAsia="Arial" w:hAnsi="Arial"/>
          <w:sz w:val="17"/>
          <w:szCs w:val="17"/>
          <w:color w:val="auto"/>
        </w:rPr>
        <w:t xml:space="preserve">, </w:t>
      </w:r>
      <w:hyperlink r:id="rId39">
        <w:r>
          <w:rPr>
            <w:rFonts w:ascii="Arial" w:cs="Arial" w:eastAsia="Arial" w:hAnsi="Arial"/>
            <w:sz w:val="17"/>
            <w:szCs w:val="17"/>
            <w:u w:val="single" w:color="auto"/>
            <w:color w:val="0000EE"/>
          </w:rPr>
          <w:t>June 19,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40">
        <w:r>
          <w:rPr>
            <w:rFonts w:ascii="Arial" w:cs="Arial" w:eastAsia="Arial" w:hAnsi="Arial"/>
            <w:sz w:val="17"/>
            <w:szCs w:val="17"/>
            <w:u w:val="single" w:color="auto"/>
            <w:color w:val="0000EE"/>
          </w:rPr>
          <w:t>June 20, 2019</w:t>
        </w:r>
        <w:r>
          <w:rPr>
            <w:rFonts w:ascii="Arial" w:cs="Arial" w:eastAsia="Arial" w:hAnsi="Arial"/>
            <w:sz w:val="17"/>
            <w:szCs w:val="17"/>
            <w:color w:val="0000EE"/>
          </w:rPr>
          <w:t xml:space="preserve"> </w:t>
        </w:r>
      </w:hyperlink>
      <w:r>
        <w:rPr>
          <w:rFonts w:ascii="Arial" w:cs="Arial" w:eastAsia="Arial" w:hAnsi="Arial"/>
          <w:sz w:val="17"/>
          <w:szCs w:val="17"/>
          <w:color w:val="000000"/>
        </w:rPr>
        <w:t>(in</w:t>
      </w:r>
      <w:r>
        <w:rPr>
          <w:rFonts w:ascii="Arial" w:cs="Arial" w:eastAsia="Arial" w:hAnsi="Arial"/>
          <w:sz w:val="17"/>
          <w:szCs w:val="17"/>
          <w:color w:val="0000EE"/>
        </w:rPr>
        <w:t xml:space="preserve"> </w:t>
      </w:r>
      <w:r>
        <w:rPr>
          <w:rFonts w:ascii="Arial" w:cs="Arial" w:eastAsia="Arial" w:hAnsi="Arial"/>
          <w:sz w:val="17"/>
          <w:szCs w:val="17"/>
          <w:color w:val="000000"/>
        </w:rPr>
        <w:t>each case, except for information contained therein which is furnished rather than filed); and</w:t>
      </w:r>
    </w:p>
    <w:p>
      <w:pPr>
        <w:spacing w:after="0" w:line="80" w:lineRule="exact"/>
        <w:rPr>
          <w:rFonts w:ascii="Arial" w:cs="Arial" w:eastAsia="Arial" w:hAnsi="Arial"/>
          <w:sz w:val="17"/>
          <w:szCs w:val="17"/>
          <w:color w:val="0000EE"/>
        </w:rPr>
      </w:pPr>
    </w:p>
    <w:p>
      <w:pPr>
        <w:ind w:left="1060" w:right="380" w:hanging="316"/>
        <w:spacing w:after="0" w:line="261"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set forth in the registration statement on Form 8-A registering our common stock under Section 12 of the Exchange Act, which was filed with the SEC on </w:t>
      </w:r>
      <w:hyperlink r:id="rId44">
        <w:r>
          <w:rPr>
            <w:rFonts w:ascii="Arial" w:cs="Arial" w:eastAsia="Arial" w:hAnsi="Arial"/>
            <w:sz w:val="17"/>
            <w:szCs w:val="17"/>
            <w:u w:val="single" w:color="auto"/>
            <w:color w:val="0000EE"/>
          </w:rPr>
          <w:t>May 17, 2013</w:t>
        </w:r>
      </w:hyperlink>
      <w:r>
        <w:rPr>
          <w:rFonts w:ascii="Arial" w:cs="Arial" w:eastAsia="Arial" w:hAnsi="Arial"/>
          <w:sz w:val="17"/>
          <w:szCs w:val="17"/>
          <w:color w:val="auto"/>
        </w:rPr>
        <w:t xml:space="preserve">, including any amendments or reports filed for purposes of updating such description, including the Form 8-K12B filed on </w:t>
      </w:r>
      <w:hyperlink r:id="rId45">
        <w:r>
          <w:rPr>
            <w:rFonts w:ascii="Arial" w:cs="Arial" w:eastAsia="Arial" w:hAnsi="Arial"/>
            <w:sz w:val="17"/>
            <w:szCs w:val="17"/>
            <w:u w:val="single" w:color="auto"/>
            <w:color w:val="0000EE"/>
          </w:rPr>
          <w:t>June 14, 2019</w:t>
        </w:r>
      </w:hyperlink>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7"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648970</wp:posOffset>
            </wp:positionV>
            <wp:extent cx="2075180" cy="711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2075180" cy="7118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80"/>
        <w:spacing w:after="0"/>
        <w:rPr>
          <w:sz w:val="20"/>
          <w:szCs w:val="20"/>
          <w:color w:val="auto"/>
        </w:rPr>
      </w:pPr>
      <w:r>
        <w:rPr>
          <w:rFonts w:ascii="Arial" w:cs="Arial" w:eastAsia="Arial" w:hAnsi="Arial"/>
          <w:sz w:val="26"/>
          <w:szCs w:val="26"/>
          <w:b w:val="1"/>
          <w:bCs w:val="1"/>
          <w:color w:val="auto"/>
        </w:rPr>
        <w:t>200,000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1374140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60"/>
        <w:spacing w:after="0"/>
        <w:rPr>
          <w:sz w:val="20"/>
          <w:szCs w:val="20"/>
          <w:color w:val="auto"/>
        </w:rPr>
      </w:pPr>
      <w:r>
        <w:rPr>
          <w:rFonts w:ascii="Arial" w:cs="Arial" w:eastAsia="Arial" w:hAnsi="Arial"/>
          <w:sz w:val="29"/>
          <w:szCs w:val="29"/>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1360805</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40"/>
        <w:spacing w:after="0"/>
        <w:rPr>
          <w:sz w:val="20"/>
          <w:szCs w:val="20"/>
          <w:color w:val="auto"/>
        </w:rPr>
      </w:pPr>
      <w:r>
        <w:rPr>
          <w:rFonts w:ascii="Arial" w:cs="Arial" w:eastAsia="Arial" w:hAnsi="Arial"/>
          <w:sz w:val="15"/>
          <w:szCs w:val="15"/>
          <w:b w:val="1"/>
          <w:bCs w:val="1"/>
          <w:color w:val="auto"/>
        </w:rPr>
        <w:t>The date of this prospectus supplement is August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528320</wp:posOffset>
            </wp:positionV>
            <wp:extent cx="699770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858"/>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jpe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jpe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32" Type="http://schemas.openxmlformats.org/officeDocument/2006/relationships/hyperlink" Target="http://www.sec.gov/Archives/edgar/data/0001566049/000156459019008092/arct-10k_20181231.htm" TargetMode="External"/><Relationship Id="rId33" Type="http://schemas.openxmlformats.org/officeDocument/2006/relationships/hyperlink" Target="http://www.sec.gov/Archives/edgar/data/0001566049/000156459019011220/arct-10ka_20181231.htm" TargetMode="External"/><Relationship Id="rId34" Type="http://schemas.openxmlformats.org/officeDocument/2006/relationships/hyperlink" Target="http://www.sec.gov/Archives/edgar/data/0001566049/000156459019018656/arct-10q_20190331.htm" TargetMode="External"/><Relationship Id="rId35" Type="http://schemas.openxmlformats.org/officeDocument/2006/relationships/hyperlink" Target="http://www.sec.gov/Archives/edgar/data/0001566049/000156459019008354/arct-8k_20190318.htm" TargetMode="External"/><Relationship Id="rId36" Type="http://schemas.openxmlformats.org/officeDocument/2006/relationships/hyperlink" Target="http://www.sec.gov/Archives/edgar/data/0001566049/000156459019018889/arct-8k_20190513.htm" TargetMode="External"/><Relationship Id="rId37" Type="http://schemas.openxmlformats.org/officeDocument/2006/relationships/hyperlink" Target="http://www.sec.gov/Archives/edgar/data/0001566049/000156459019019850/arct-8k_20190520.htm" TargetMode="External"/><Relationship Id="rId38" Type="http://schemas.openxmlformats.org/officeDocument/2006/relationships/hyperlink" Target="http://www.sec.gov/Archives/edgar/data/1768224/000119312519173808/d826633d8k12b.htm" TargetMode="External"/><Relationship Id="rId39" Type="http://schemas.openxmlformats.org/officeDocument/2006/relationships/hyperlink" Target="http://www.sec.gov/Archives/edgar/data/0001768224/000119312519176112/d754519d8k.htm" TargetMode="External"/><Relationship Id="rId40" Type="http://schemas.openxmlformats.org/officeDocument/2006/relationships/hyperlink" Target="http://www.sec.gov/Archives/edgar/data/0001768224/000119312519176908/d721252d8k.htm" TargetMode="External"/><Relationship Id="rId41" Type="http://schemas.openxmlformats.org/officeDocument/2006/relationships/hyperlink" Target="http://www.sec.gov/Archives/edgar/data/1768224/000119312519205403/d753524d8k.htm" TargetMode="External"/><Relationship Id="rId42" Type="http://schemas.openxmlformats.org/officeDocument/2006/relationships/hyperlink" Target="http://www.sec.gov/Archives/edgar/data/1768224/000119380519000694/e618580_8k-at.htm" TargetMode="External"/><Relationship Id="rId43" Type="http://schemas.openxmlformats.org/officeDocument/2006/relationships/hyperlink" Target="http://www.sec.gov/Archives/edgar/data/1768224/000119312519212082/d776215d8k.htm" TargetMode="External"/><Relationship Id="rId44" Type="http://schemas.openxmlformats.org/officeDocument/2006/relationships/hyperlink" Target="http://www.sec.gov/Archives/edgar/data/0001566049/000114420413030169/v345563_8a12b.htm" TargetMode="External"/><Relationship Id="rId45" Type="http://schemas.openxmlformats.org/officeDocument/2006/relationships/hyperlink" Target="http://www.sec.gov/Archives/edgar/data/0001768224/000119312519173808/d826633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2019-12-20T23:54:49Z</dcterms:created>
  <dcterms:modified xsi:type="dcterms:W3CDTF">2019-12-20T23:54:49Z</dcterms:modified>
</cp:coreProperties>
</file>