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28,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14"/>
        </w:trPr>
        <w:tc>
          <w:tcPr>
            <w:tcW w:w="3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6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93"/>
              </w:rPr>
              <w:t>Trading</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7"/>
              </w:rPr>
              <w:t>Title of each class</w:t>
            </w:r>
          </w:p>
        </w:tc>
        <w:tc>
          <w:tcPr>
            <w:tcW w:w="266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9"/>
              </w:rPr>
              <w:t>Symbol(s)</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jc w:val="center"/>
              <w:ind w:right="630"/>
              <w:spacing w:after="0"/>
              <w:rPr>
                <w:sz w:val="20"/>
                <w:szCs w:val="20"/>
                <w:color w:val="auto"/>
              </w:rPr>
            </w:pPr>
            <w:r>
              <w:rPr>
                <w:rFonts w:ascii="Arial" w:cs="Arial" w:eastAsia="Arial" w:hAnsi="Arial"/>
                <w:sz w:val="18"/>
                <w:szCs w:val="18"/>
                <w:b w:val="1"/>
                <w:bCs w:val="1"/>
                <w:color w:val="auto"/>
                <w:w w:val="99"/>
              </w:rPr>
              <w:t>ARCT</w:t>
            </w:r>
          </w:p>
        </w:tc>
        <w:tc>
          <w:tcPr>
            <w:tcW w:w="12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March 28, 2023, Arcturus Therapeutics Holdings Inc. (the “Company” or “Arcturus”) issued a press release, a copy of which is furnished herewith as Exhibit 99.1, announcing the Company’s financial results for the quarter ended December 31, 2022 and providing a corporate update (the “Press Release”).</w:t>
      </w:r>
    </w:p>
    <w:p>
      <w:pPr>
        <w:spacing w:after="0" w:line="12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Regarding Forward-Looking Statements</w:t>
      </w:r>
    </w:p>
    <w:p>
      <w:pPr>
        <w:spacing w:after="0" w:line="22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current report and the Press Release contain forward-looking statements that involve substantial risks and uncertainties for purposes of the safe harbor provided by the Private Securities Litigation Reform Act of 1995. Any statements, other than statements of historical fact included in this current report or Press Release, are forward-looking statements, including those regarding strategy, future operations, the likelihood of success of the Company’s pipeline (including ARCT-032 and ARCT-810) and partnered programs (including the COVID-19 and flu programs partnered with CSL Seqirus), the anticipated receipt of $90 million in milestone payments from CSL Seqirus, the period of the Company’s cash runway, the anticipated timing and filing of a J-NDA submission and opportunity for Japanese regulatory PMDA approval of ARCT-154, the sharing of interim Phase 2 data for ARCT-810, the anticipated timing and completion of study enrollment in the ARCT-032 Phase 1 study, the likelihood of success of the collaboration with CSL Seqirus or any collaborations including the achievement of any milestones or other payments, the likelihood that preclinical or clinical data will be predictive of future clinical results, the likelihood that results to date for ARCT-154 or any other clinical candidate will be predictive of future clinical results, the timing and nature of any study results, the likelihood that a patent will issue from any patent application, its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 of Exhibit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220" w:type="dxa"/>
            <w:vAlign w:val="bottom"/>
            <w:gridSpan w:val="2"/>
          </w:tcPr>
          <w:p>
            <w:pPr>
              <w:spacing w:after="0"/>
              <w:rPr>
                <w:sz w:val="20"/>
                <w:szCs w:val="20"/>
                <w:color w:val="auto"/>
              </w:rPr>
            </w:pPr>
            <w:r>
              <w:rPr>
                <w:rFonts w:ascii="Arial" w:cs="Arial" w:eastAsia="Arial" w:hAnsi="Arial"/>
                <w:sz w:val="18"/>
                <w:szCs w:val="18"/>
                <w:color w:val="0000EE"/>
              </w:rPr>
              <w:t>Press Release dated March 28, 2023</w:t>
            </w:r>
          </w:p>
        </w:tc>
      </w:tr>
      <w:tr>
        <w:trPr>
          <w:trHeight w:val="20"/>
        </w:trPr>
        <w:tc>
          <w:tcPr>
            <w:tcW w:w="102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220" w:type="dxa"/>
            <w:vAlign w:val="bottom"/>
            <w:gridSpan w:val="2"/>
          </w:tcPr>
          <w:p>
            <w:pPr>
              <w:spacing w:after="0"/>
              <w:rPr>
                <w:sz w:val="20"/>
                <w:szCs w:val="20"/>
                <w:color w:val="auto"/>
              </w:rPr>
            </w:pPr>
            <w:r>
              <w:rPr>
                <w:rFonts w:ascii="Arial" w:cs="Arial" w:eastAsia="Arial" w:hAnsi="Arial"/>
                <w:sz w:val="18"/>
                <w:szCs w:val="18"/>
                <w:color w:val="auto"/>
              </w:rPr>
              <w:t>Cover Page to this Current Report on Form 8-K in Inline XBRL</w:t>
            </w:r>
          </w:p>
        </w:tc>
      </w:tr>
      <w:tr>
        <w:trPr>
          <w:trHeight w:val="567"/>
        </w:trPr>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March 28, 2023</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3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Arcturus Therapeutics Announces Fourth Quarter 2022 Financial Update and Pipeline Progress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$200 million upfront payment received in December 2022 from CSL collaboration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Achieved $90 million in development milestones in March 2023 under CSL collaboration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ARCT-154 Phase 3 COVID-19 booster trial enrollment completed in Japan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Multiple patients enrolled in ARCT-810 Phase 2 multiple ascending dose trial for OTC deficiency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ARCT-032 Phase 1 Cystic Fibrosis trial initiated and enrollment of first two cohorts successfully completed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Investor conference call at 4:30 p.m. EST today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SAN DIEGO--Mar. 28, 2023-- Arcturus Therapeutics Holdings Inc. (the “Company”, “Arcturus”, Nasdaq: ARCT), a global late-stage clinical messenger RNA medicines company focused on the development of infectious disease vaccines and opportunities within liver and respiratory rare diseases, today announced its financial results for the fourth quarter ended December 31, 2022, and provided corporate updates.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22222"/>
        </w:rPr>
        <w:t xml:space="preserve">“Arcturus has continued to make remarkable operational and pipeline progress. This was recently exemplified by the completion of the initial objectives with our partnered COVID-19 and Flu vaccine programs with CSL,” said Joseph Payne, President and CEO of Arcturus Therapeutics. “We are also pleased to report the completion of full enrollment ahead of schedule in the Phase 3 study being conducted by </w:t>
      </w:r>
      <w:r>
        <w:rPr>
          <w:rFonts w:ascii="Arial" w:cs="Arial" w:eastAsia="Arial" w:hAnsi="Arial"/>
          <w:sz w:val="18"/>
          <w:szCs w:val="18"/>
          <w:color w:val="000000"/>
        </w:rPr>
        <w:t>Meiji Pharma to evaluate ARCT-154 as a booster</w:t>
      </w:r>
      <w:r>
        <w:rPr>
          <w:rFonts w:ascii="Arial" w:cs="Arial" w:eastAsia="Arial" w:hAnsi="Arial"/>
          <w:sz w:val="18"/>
          <w:szCs w:val="18"/>
          <w:color w:val="222222"/>
        </w:rPr>
        <w:t xml:space="preserve"> </w:t>
      </w:r>
      <w:r>
        <w:rPr>
          <w:rFonts w:ascii="Arial" w:cs="Arial" w:eastAsia="Arial" w:hAnsi="Arial"/>
          <w:sz w:val="18"/>
          <w:szCs w:val="18"/>
          <w:color w:val="000000"/>
        </w:rPr>
        <w:t>vaccine for COVID-19.”</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22222"/>
        </w:rPr>
        <w:t>“Within the first four months of our CSL collaboration, we successfully achieved multiple program objectives, triggering $90 million in milestone payments,” said Andrew Sassine, CFO of Arcturus Therapeutics, “Additionally, with the elimination of $33.3 million of non-recourse debt to Singapore, our cash runway now extends into the beginning of 2026.”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Corporate Highlights</w:t>
      </w:r>
    </w:p>
    <w:p>
      <w:pPr>
        <w:spacing w:after="0" w:line="27" w:lineRule="exact"/>
        <w:rPr>
          <w:sz w:val="20"/>
          <w:szCs w:val="20"/>
          <w:color w:val="auto"/>
        </w:rPr>
      </w:pPr>
    </w:p>
    <w:p>
      <w:pPr>
        <w:jc w:val="both"/>
        <w:ind w:left="6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December 2022, the Company received a $200 million upfront payment associated with the exclusive global collaboration and license agreement with CSL Seqirus, for the research, development, manufacture, and commercialization of next generation mRNA vaccines. Arcturus is eligible to receive up to $4.3 billion in potential development and commercial milestones if all products are registered in the licensed fields, 40% profit sharing for COVID-19 vaccines and up to low double-digit royalties on influenza vaccine revenues.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Arcturus achieved development milestones in March 2023, including milestones associated with nominating next generation vaccine candidates, resulting in $90 million invoiced to CSL Seqirus.</w:t>
      </w:r>
    </w:p>
    <w:p>
      <w:pPr>
        <w:jc w:val="both"/>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December 2022, the Company announced an agreement with Meiji Pharma to conduct a Phase 3 comparative study to evaluate the safety and immunogenicity of ARCT-154, a self-amplifying mRNA vaccine, as a booster for COVID-19. The ARCT-154 Phase 3 non-inferiority study, now fully enrolled, is being conducted in Japan to compare the immunogenicity of ARCT-154 to Comirnaty® (Pfizer/BioNTech) in over 800 adult participants. Meiji Pharma and the Japanese government are funding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both"/>
        <w:ind w:left="660" w:hanging="328"/>
        <w:spacing w:after="0" w:line="26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ARCT-810, the Company’s mRNA therapeutic candidate for OTC deficiency, is being evaluated in a Phase 2 study, presently enrolling up to 24 adolescents and adults with OTC deficiency. The Phase 2 study is being conducted in the UK and Europe and 9 sites in 6 countries have been activated to date. Multiple patients have been enrolled. The study is designed to evaluate two dose levels and allow for six (6) bi-weekly administrations for each participant. The Company expects to share interim Phase 2 data on a subset of participants later in 2023.</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ARCT-032, the Company’s inhaled mRNA therapeutic for cystic fibrosis, has advanced to a Phase 1 study, presently enrolling up to 32 participants in New Zealand. The primary objective of this study is to assess safety and tolerability at four (4) dose levels. The first two cohorts have been dosed successfully with no significant adverse events reported to date. The Company expects to complete the full 32 subject study enrollment in Q2 2023.</w:t>
      </w:r>
    </w:p>
    <w:p>
      <w:pPr>
        <w:spacing w:after="0" w:line="1" w:lineRule="exact"/>
        <w:rPr>
          <w:rFonts w:ascii="Arial" w:cs="Arial" w:eastAsia="Arial" w:hAnsi="Arial"/>
          <w:sz w:val="18"/>
          <w:szCs w:val="18"/>
          <w:color w:val="auto"/>
        </w:rPr>
      </w:pPr>
    </w:p>
    <w:p>
      <w:pPr>
        <w:ind w:left="660" w:hanging="328"/>
        <w:spacing w:after="0" w:line="182"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Arcturus will present LUNAR-HBV pre-clinical gene editing mRNA platform data for Hepatitis B Virus on April 27, 2023, at the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annual Global Hepatitis Summit Conference in Paris, France.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Fourth Quarter and Year Ended December 31, 2022</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Revenues in conjunction with strategic alliances and collaborations</w:t>
      </w:r>
      <w:r>
        <w:rPr>
          <w:rFonts w:ascii="Arial" w:cs="Arial" w:eastAsia="Arial" w:hAnsi="Arial"/>
          <w:sz w:val="17"/>
          <w:szCs w:val="17"/>
          <w:color w:val="auto"/>
        </w:rPr>
        <w:t>: Arcturus’ primary sources of revenues were from license fees, consulting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technology transfer fees, reservation fees and collaborative payments received from research and development arrangements with pharmaceutical and biotechnology partners. For the three months ended December 31, 2022, the Company reported revenue of $160.3 million compared with $5.8 million for the three months ended December 31, 2021, and $13.4 million for the three months ended September 30, 2022. Total revenue for the year ended December 31, 2022, was $206.0 million compared with $12.4 million for the year ended December 31, 2021. The increase in fourth quarter and year-over-year revenues primarily relates to the $200 million upfront payment we received from the CSL transaction.</w:t>
      </w:r>
    </w:p>
    <w:p>
      <w:pPr>
        <w:spacing w:after="0" w:line="17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Operating expenses</w:t>
      </w:r>
      <w:r>
        <w:rPr>
          <w:rFonts w:ascii="Arial" w:cs="Arial" w:eastAsia="Arial" w:hAnsi="Arial"/>
          <w:sz w:val="16"/>
          <w:szCs w:val="16"/>
          <w:color w:val="auto"/>
        </w:rPr>
        <w:t>: Total operating expenses for the three months ended December 31, 2022, were $38.8 million compared with $43.4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December 31, 2021, and $50.2 million for the three months ended September 30, 2022. The decline in operating expenses when compared to the three months ended December 31, 2021, was primarily due to lower Covid-19 manufacturing and clinical related expenses. Total operating expenses for the year ended December 31, 2022, were $193.8 million compared with $215.2 million for the year ended December 31, 2021.</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Research and development expenses</w:t>
      </w:r>
      <w:r>
        <w:rPr>
          <w:rFonts w:ascii="Arial" w:cs="Arial" w:eastAsia="Arial" w:hAnsi="Arial"/>
          <w:sz w:val="18"/>
          <w:szCs w:val="18"/>
          <w:color w:val="auto"/>
        </w:rPr>
        <w:t>: Research and development expenses for the three months ended December 31, 2022, were $27.0 million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with $32.6 million for the three months ended December 31, 2021, and $37.7 million for the three months ended September 30, 2022. The decline in research and development expenses when compared to the three months ended December 31, 2021, was primarily due to lower Covid-19 manufacturing and clinical related expenses. Research and development expenses for the year ended December 31, 2022, were $147.8 million compared with $173.8 million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both"/>
        <w:spacing w:after="0" w:line="258" w:lineRule="auto"/>
        <w:rPr>
          <w:sz w:val="20"/>
          <w:szCs w:val="20"/>
          <w:color w:val="auto"/>
        </w:rPr>
      </w:pPr>
      <w:r>
        <w:rPr>
          <w:rFonts w:ascii="Arial" w:cs="Arial" w:eastAsia="Arial" w:hAnsi="Arial"/>
          <w:sz w:val="18"/>
          <w:szCs w:val="18"/>
          <w:b w:val="1"/>
          <w:bCs w:val="1"/>
          <w:color w:val="auto"/>
        </w:rPr>
        <w:t>Net Income</w:t>
      </w:r>
      <w:r>
        <w:rPr>
          <w:rFonts w:ascii="Arial" w:cs="Arial" w:eastAsia="Arial" w:hAnsi="Arial"/>
          <w:sz w:val="18"/>
          <w:szCs w:val="18"/>
          <w:color w:val="auto"/>
        </w:rPr>
        <w:t>: For the three months ended December 31, 2022, Arcturus reported net income of approximately $117.3 million or $4.33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with a net loss of $38.7 million, or $1.47 per diluted share in the three months ended December 31, 2021, and a net loss of $35.3 million, or $1.33 per diluted share in the three months ended September 30, 2022. For the year ended December 31, 2022, Arcturus reported a net income of approximately $9.3 million, or $0.35 per diluted share, compared with a net loss of $203.7 million, or $7.74 per diluted share in the year ended December 31, 2021.</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Cash Position and Balance Sheet</w:t>
      </w:r>
      <w:r>
        <w:rPr>
          <w:rFonts w:ascii="Arial" w:cs="Arial" w:eastAsia="Arial" w:hAnsi="Arial"/>
          <w:sz w:val="18"/>
          <w:szCs w:val="18"/>
          <w:color w:val="auto"/>
        </w:rPr>
        <w:t>: The Company’s cash balance totaled $391.9 million at December 31, 2022, compared to a cash balance of $370.5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at December 31, 2021. In March 2023, the Company repaid Singapore $17.1 million which triggered the elimination of $33.3 million in non-recourse debt pertaining to the ARCT-021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Thursday, March 28, 2023 @ 4:30 pm EST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Domestic: 1-877-407-0784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1-201-689-8560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13735876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Webcast: </w:t>
      </w:r>
      <w:r>
        <w:rPr>
          <w:rFonts w:ascii="Arial" w:cs="Arial" w:eastAsia="Arial" w:hAnsi="Arial"/>
          <w:sz w:val="18"/>
          <w:szCs w:val="18"/>
          <w:color w:val="0000FF"/>
        </w:rPr>
        <w:t>Link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333333"/>
        </w:rPr>
        <w:t xml:space="preserve">Founded in 2013 and based in San Diego, California, Arcturus Therapeutics Holdings Inc. (Nasdaq: ARCT) is a global late-stage clinical mRNA medicines and vaccines company with enabling technologies: (i) LUNAR® lipid-mediated delivery, (ii) STARR™ mRNA Technology (samRNA) and (iii) mRNA drug substance along with drug product manufacturing expertise. Arcturus’ pipeline includes RNA therapeutic candidates to potentially treat ornithine transcarbamylase (OTC) deficiency and cystic fibrosis, along with its partnered mRNA vaccine programs for SARS-CoV-2 (COVID-19) and influenza. Arcturus’ versatile RNA therapeutics platforms can be applied toward multiple types of nucleic acid medicines including messenger RNA, small interfering RNA, circular RNA, antisense RNA, self-amplifying RNA, DNA, and gene editing therapeutics. Arcturus’ technologies are covered by its extensive patent portfolio (patents and patent applications issued in the U.S., Europe, Japan, China, and other countries). For more information, visit </w:t>
      </w:r>
      <w:r>
        <w:rPr>
          <w:rFonts w:ascii="Arial" w:cs="Arial" w:eastAsia="Arial" w:hAnsi="Arial"/>
          <w:sz w:val="17"/>
          <w:szCs w:val="17"/>
          <w:color w:val="000000"/>
        </w:rPr>
        <w:t>www.ArcturusRx.com</w:t>
      </w:r>
      <w:r>
        <w:rPr>
          <w:rFonts w:ascii="Arial" w:cs="Arial" w:eastAsia="Arial" w:hAnsi="Arial"/>
          <w:sz w:val="17"/>
          <w:szCs w:val="17"/>
          <w:color w:val="333333"/>
        </w:rPr>
        <w:t xml:space="preserve">. In addition, please connect with us on </w:t>
      </w:r>
      <w:r>
        <w:rPr>
          <w:rFonts w:ascii="Arial" w:cs="Arial" w:eastAsia="Arial" w:hAnsi="Arial"/>
          <w:sz w:val="17"/>
          <w:szCs w:val="17"/>
          <w:color w:val="000000"/>
        </w:rPr>
        <w:t>Twitter</w:t>
      </w:r>
      <w:r>
        <w:rPr>
          <w:rFonts w:ascii="Arial" w:cs="Arial" w:eastAsia="Arial" w:hAnsi="Arial"/>
          <w:sz w:val="17"/>
          <w:szCs w:val="17"/>
          <w:color w:val="333333"/>
        </w:rPr>
        <w:t xml:space="preserve"> and </w:t>
      </w:r>
      <w:r>
        <w:rPr>
          <w:rFonts w:ascii="Arial" w:cs="Arial" w:eastAsia="Arial" w:hAnsi="Arial"/>
          <w:sz w:val="17"/>
          <w:szCs w:val="17"/>
          <w:color w:val="000000"/>
        </w:rPr>
        <w:t>LinkedIn</w:t>
      </w:r>
      <w:r>
        <w:rPr>
          <w:rFonts w:ascii="Arial" w:cs="Arial" w:eastAsia="Arial" w:hAnsi="Arial"/>
          <w:sz w:val="17"/>
          <w:szCs w:val="17"/>
          <w:color w:val="333333"/>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Forward Looking Statements</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likelihood of success of the Company’s pipeline (including ARCT-032 and ARCT-</w:t>
      </w:r>
    </w:p>
    <w:p>
      <w:pPr>
        <w:spacing w:after="0" w:line="2" w:lineRule="exact"/>
        <w:rPr>
          <w:sz w:val="20"/>
          <w:szCs w:val="20"/>
          <w:color w:val="auto"/>
        </w:rPr>
      </w:pPr>
    </w:p>
    <w:p>
      <w:pPr>
        <w:jc w:val="both"/>
        <w:ind w:firstLine="8"/>
        <w:spacing w:after="0" w:line="267" w:lineRule="auto"/>
        <w:tabs>
          <w:tab w:leader="none" w:pos="383" w:val="left"/>
        </w:tabs>
        <w:numPr>
          <w:ilvl w:val="0"/>
          <w:numId w:val="4"/>
        </w:numPr>
        <w:rPr>
          <w:rFonts w:ascii="Arial" w:cs="Arial" w:eastAsia="Arial" w:hAnsi="Arial"/>
          <w:sz w:val="17"/>
          <w:szCs w:val="17"/>
          <w:color w:val="auto"/>
        </w:rPr>
      </w:pPr>
      <w:r>
        <w:rPr>
          <w:rFonts w:ascii="Arial" w:cs="Arial" w:eastAsia="Arial" w:hAnsi="Arial"/>
          <w:sz w:val="17"/>
          <w:szCs w:val="17"/>
          <w:color w:val="auto"/>
        </w:rPr>
        <w:t>and partnered programs (including the COVID-19 and flu programs partnered with CSL Seqirus), the anticipated receipt of $90 million in milestone payments from CSL Seqirus, the period of the Company’s cash runway, the anticipated timing and filing of a J-NDA submission and opportunity for Japanese regulatory PMDA approval of ARCT-154, the sharing of interim Phase 2 data for ARCT-810, the anticipated timing and completion of study enrollment in the ARCT-032 Phase 1 study, the likelihood of success of the collaboration with CSL Seqirus or any collaborations including the achievement of any milestones or other payments, the likelihood that preclinical or clinical data will be predictive of future clinical results, the likelihood that results to date for ARCT-154 or any other clinical candidate will be predictive of future clinical results, the timing and nature of any study results, the likelihood that a patent will issue from any patent application, its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Trademark Acknowledgements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Head of IR/PR/Marketing</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333333"/>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 thousands, except par value information)</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391,883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237,676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370,492</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2,764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8,686</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6,960</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09"/>
        </w:trPr>
        <w:tc>
          <w:tcPr>
            <w:tcW w:w="61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403,333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246,680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378,961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12,415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5,643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Operating lease right-of-use asset,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32,545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33,519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Equity-method investment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Non-current restricted cash</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2,081</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450,387</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293,627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392,814</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7,449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17,962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10,058</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23,523</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60,655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27,702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22,474</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28,648</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4,656</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43,482</w:t>
            </w:r>
          </w:p>
        </w:tc>
        <w:tc>
          <w:tcPr>
            <w:tcW w:w="0" w:type="dxa"/>
            <w:vAlign w:val="bottom"/>
          </w:tcPr>
          <w:p>
            <w:pPr>
              <w:spacing w:after="0"/>
              <w:rPr>
                <w:sz w:val="1"/>
                <w:szCs w:val="1"/>
                <w:color w:val="auto"/>
              </w:rPr>
            </w:pPr>
          </w:p>
        </w:tc>
      </w:tr>
      <w:tr>
        <w:trPr>
          <w:trHeight w:val="209"/>
        </w:trPr>
        <w:tc>
          <w:tcPr>
            <w:tcW w:w="61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126,984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75,849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99,537</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20,071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19,931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32,038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40,633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30,216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31,218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29"/>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2,804</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3,676</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180,075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147,960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164,603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$0.001 par value; 60,000 shares authorized; issued and</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outstanding shares were 26,555 at December 31, 2022, 26,492 at September 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2022 and 26,372 at December 31, 2021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608,426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601,129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575,675</w:t>
            </w:r>
          </w:p>
        </w:tc>
        <w:tc>
          <w:tcPr>
            <w:tcW w:w="0" w:type="dxa"/>
            <w:vAlign w:val="bottom"/>
          </w:tcPr>
          <w:p>
            <w:pPr>
              <w:spacing w:after="0"/>
              <w:rPr>
                <w:sz w:val="1"/>
                <w:szCs w:val="1"/>
                <w:color w:val="auto"/>
              </w:rPr>
            </w:pPr>
          </w:p>
        </w:tc>
      </w:tr>
      <w:tr>
        <w:trPr>
          <w:trHeight w:val="230"/>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(338,141)</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(455,488)</w:t>
            </w:r>
          </w:p>
        </w:tc>
        <w:tc>
          <w:tcPr>
            <w:tcW w:w="2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(347,490)</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270,312</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145,667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228,211</w:t>
            </w:r>
          </w:p>
        </w:tc>
        <w:tc>
          <w:tcPr>
            <w:tcW w:w="0" w:type="dxa"/>
            <w:vAlign w:val="bottom"/>
          </w:tcPr>
          <w:p>
            <w:pPr>
              <w:spacing w:after="0"/>
              <w:rPr>
                <w:sz w:val="1"/>
                <w:szCs w:val="1"/>
                <w:color w:val="auto"/>
              </w:rPr>
            </w:pPr>
          </w:p>
        </w:tc>
      </w:tr>
      <w:tr>
        <w:trPr>
          <w:trHeight w:val="22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450,387</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293,627</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392,814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333333"/>
        </w:rPr>
        <w:t>ARCTURUS THERAPEUTICS HOLDINGS INC. AND ITS SUBSIDIARIES CONSOLIDATED STATEMENTS OF OPERATIONS AND COMPREHENSIVE INCOME (LOSS) (unaudited)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8"/>
              </w:rPr>
              <w:t>Three Months Ended</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 thousands, except per share data)</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Collaboration revenue</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160,049</w:t>
            </w:r>
          </w:p>
        </w:tc>
        <w:tc>
          <w:tcPr>
            <w:tcW w:w="7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5,794</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 revenue</w:t>
            </w: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5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160,293</w:t>
            </w:r>
          </w:p>
        </w:tc>
        <w:tc>
          <w:tcPr>
            <w:tcW w:w="24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Research and development, net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26,981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32,633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37,688</w:t>
            </w:r>
          </w:p>
        </w:tc>
        <w:tc>
          <w:tcPr>
            <w:tcW w:w="0" w:type="dxa"/>
            <w:vAlign w:val="bottom"/>
          </w:tcPr>
          <w:p>
            <w:pPr>
              <w:spacing w:after="0"/>
              <w:rPr>
                <w:sz w:val="1"/>
                <w:szCs w:val="1"/>
                <w:color w:val="auto"/>
              </w:rPr>
            </w:pPr>
          </w:p>
        </w:tc>
      </w:tr>
      <w:tr>
        <w:trPr>
          <w:trHeight w:val="229"/>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11,860</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12,488</w:t>
            </w:r>
          </w:p>
        </w:tc>
        <w:tc>
          <w:tcPr>
            <w:tcW w:w="0" w:type="dxa"/>
            <w:vAlign w:val="bottom"/>
          </w:tcPr>
          <w:p>
            <w:pPr>
              <w:spacing w:after="0"/>
              <w:rPr>
                <w:sz w:val="1"/>
                <w:szCs w:val="1"/>
                <w:color w:val="auto"/>
              </w:rPr>
            </w:pPr>
          </w:p>
        </w:tc>
      </w:tr>
      <w:tr>
        <w:trPr>
          <w:trHeight w:val="210"/>
        </w:trPr>
        <w:tc>
          <w:tcPr>
            <w:tcW w:w="5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38,841</w:t>
            </w:r>
          </w:p>
        </w:tc>
        <w:tc>
          <w:tcPr>
            <w:tcW w:w="2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43,439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50,176</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121,452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(Loss) gain from equity-method investment</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foreign currency</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 net</w:t>
            </w:r>
          </w:p>
        </w:tc>
        <w:tc>
          <w:tcPr>
            <w:tcW w:w="5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1,025</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118,642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(35,266)</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1,295</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117,347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(35,266)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70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Diluted</w:t>
            </w:r>
          </w:p>
        </w:tc>
        <w:tc>
          <w:tcPr>
            <w:tcW w:w="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4.33</w:t>
            </w:r>
          </w:p>
        </w:tc>
        <w:tc>
          <w:tcPr>
            <w:tcW w:w="7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Weighted-average shares used in calculation of earnings (loss) per share:</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Arial" w:cs="Arial" w:eastAsia="Arial" w:hAnsi="Arial"/>
                <w:sz w:val="18"/>
                <w:szCs w:val="18"/>
                <w:color w:val="auto"/>
              </w:rPr>
              <w:t>Basic</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26,508</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26,359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26,467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27,080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26,467</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117,347</w:t>
            </w:r>
          </w:p>
        </w:tc>
        <w:tc>
          <w:tcPr>
            <w:tcW w:w="70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(38,663)</w:t>
            </w:r>
          </w:p>
        </w:tc>
        <w:tc>
          <w:tcPr>
            <w:tcW w:w="2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(35,266)</w:t>
            </w:r>
          </w:p>
        </w:tc>
        <w:tc>
          <w:tcPr>
            <w:tcW w:w="0" w:type="dxa"/>
            <w:vAlign w:val="bottom"/>
          </w:tcPr>
          <w:p>
            <w:pPr>
              <w:spacing w:after="0"/>
              <w:rPr>
                <w:sz w:val="1"/>
                <w:szCs w:val="1"/>
                <w:color w:val="auto"/>
              </w:rPr>
            </w:pPr>
          </w:p>
        </w:tc>
      </w:tr>
      <w:tr>
        <w:trPr>
          <w:trHeight w:val="223"/>
        </w:trPr>
        <w:tc>
          <w:tcPr>
            <w:tcW w:w="584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117,347</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58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8"/>
          <w:szCs w:val="18"/>
          <w:b w:val="1"/>
          <w:bCs w:val="1"/>
          <w:color w:val="auto"/>
        </w:rPr>
        <w:t>ARCTURUS THERAPEUTICS HOLDINGS INC. AND ITS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5"/>
          </w:tcPr>
          <w:p>
            <w:pPr>
              <w:jc w:val="right"/>
              <w:ind w:right="47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 thousands, except per share data)</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Collaboration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205,755</w:t>
            </w:r>
          </w:p>
        </w:tc>
        <w:tc>
          <w:tcPr>
            <w:tcW w:w="220" w:type="dxa"/>
            <w:vAlign w:val="bottom"/>
          </w:tcPr>
          <w:p>
            <w:pPr>
              <w:spacing w:after="0"/>
              <w:rPr>
                <w:sz w:val="18"/>
                <w:szCs w:val="18"/>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 revenue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205,999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Research and development, net</w:t>
            </w: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147,751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173,760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46,071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41,451</w:t>
            </w:r>
          </w:p>
        </w:tc>
        <w:tc>
          <w:tcPr>
            <w:tcW w:w="0" w:type="dxa"/>
            <w:vAlign w:val="bottom"/>
          </w:tcPr>
          <w:p>
            <w:pPr>
              <w:spacing w:after="0"/>
              <w:rPr>
                <w:sz w:val="1"/>
                <w:szCs w:val="1"/>
                <w:color w:val="auto"/>
              </w:rPr>
            </w:pPr>
          </w:p>
        </w:tc>
      </w:tr>
      <w:tr>
        <w:trPr>
          <w:trHeight w:val="209"/>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193,822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215,211</w:t>
            </w:r>
          </w:p>
        </w:tc>
        <w:tc>
          <w:tcPr>
            <w:tcW w:w="0" w:type="dxa"/>
            <w:vAlign w:val="bottom"/>
          </w:tcPr>
          <w:p>
            <w:pPr>
              <w:spacing w:after="0"/>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12,177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(202,852)</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(Loss) gain from equity-method investment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(Loss) gain from foreign currency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(203,674)</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1,295</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9,349</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(203,674)</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18"/>
                <w:szCs w:val="18"/>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calculation of earnings (loss) per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26,445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26,317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26,317</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9,349</w:t>
            </w: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(203,674)</w:t>
            </w:r>
          </w:p>
        </w:tc>
        <w:tc>
          <w:tcPr>
            <w:tcW w:w="0" w:type="dxa"/>
            <w:vAlign w:val="bottom"/>
          </w:tcPr>
          <w:p>
            <w:pPr>
              <w:spacing w:after="0"/>
              <w:rPr>
                <w:sz w:val="1"/>
                <w:szCs w:val="1"/>
                <w:color w:val="auto"/>
              </w:rPr>
            </w:pPr>
          </w:p>
        </w:tc>
      </w:tr>
      <w:tr>
        <w:trPr>
          <w:trHeight w:val="223"/>
        </w:trPr>
        <w:tc>
          <w:tcPr>
            <w:tcW w:w="8100" w:type="dxa"/>
            <w:vAlign w:val="bottom"/>
          </w:tcPr>
          <w:p>
            <w:pPr>
              <w:ind w:left="18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9,349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(203,674)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10"/>
    </w:lvl>
  </w:abstractNum>
  <w:abstractNum w:abstractNumId="4">
    <w:nsid w:val="3D1B58BA"/>
    <w:multiLevelType w:val="hybridMultilevel"/>
    <w:lvl w:ilvl="0">
      <w:lvlJc w:val="left"/>
      <w:lvlText w:val="(%1)"/>
      <w:numFmt w:val="decimal"/>
      <w:start w:val="858"/>
    </w:lvl>
  </w:abstractNum>
  <w:abstractNum w:abstractNumId="5">
    <w:nsid w:val="507ED7AB"/>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2023-03-28T16:08:56Z</dcterms:created>
  <dcterms:modified xsi:type="dcterms:W3CDTF">2023-03-28T16:08:56Z</dcterms:modified>
</cp:coreProperties>
</file>