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April 2017 (Report No. 3)</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1300"/>
        <w:spacing w:after="0" w:line="207" w:lineRule="exact"/>
        <w:tabs>
          <w:tab w:leader="none" w:pos="2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jc w:val="both"/>
        <w:ind w:right="100"/>
        <w:spacing w:after="0" w:line="259" w:lineRule="auto"/>
        <w:rPr>
          <w:sz w:val="20"/>
          <w:szCs w:val="20"/>
          <w:color w:val="auto"/>
        </w:rPr>
      </w:pPr>
      <w:r>
        <w:rPr>
          <w:rFonts w:ascii="Arial" w:cs="Arial" w:eastAsia="Arial" w:hAnsi="Arial"/>
          <w:sz w:val="18"/>
          <w:szCs w:val="18"/>
          <w:color w:val="auto"/>
        </w:rPr>
        <w:t>On April 27, 2017, the Economic Division of the District Court of Tel Aviv issued a temporary injunction against Brosh Capital L.P., Exodus Capital L.P., Amir Efrati and Asaf Frumerman (collectively, the “Brosh Group”) enjoining the Brosh Group from sending and distributing any notices, proxy statements and/or proxy cards to the shareholders of Alcobra Ltd. (“Alcobra”) in connection with the extraordinary general meeting of shareholders (“EGM”) called by the Brosh Group that is currently scheduled to take place on May 23, 2017.</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application for the temporary injunction filed by Alcobra asserts, among other things, that the Brosh Group did not have the legal right to issue its notice, proxy statement and card for the EGM and that these included material and fundamental errors which could result in significant damages to Alcobra and its shareholders.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hearing on this matter has been scheduled for May 7, 2017. Alcobra intends to vigorously pursue its claims and to seek to obtain a permanent injunction to enjoin the meeting called for by the Brosh Group.</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Report on Form 6-K is incorporated by reference into the Registration Statements on Form F-3 (File No. 333-209960) and Forms S-8 (File No. 333-194875, File No. 333-202394 and 333-209947) of Alcobra, filed with the Securities and Exchange Commission,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Dr. Yaron Daniely</w:t>
            </w:r>
          </w:p>
        </w:tc>
      </w:tr>
      <w:tr>
        <w:trPr>
          <w:trHeight w:val="230"/>
        </w:trPr>
        <w:tc>
          <w:tcPr>
            <w:tcW w:w="8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2019-12-07T19:29:41Z</dcterms:created>
  <dcterms:modified xsi:type="dcterms:W3CDTF">2019-12-07T19:29:41Z</dcterms:modified>
</cp:coreProperties>
</file>