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Arcturus Therapeutics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03969T109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03969T109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2,183,985.00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2,183,985.00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2,183,985.00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03969T109</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2,183,985.00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2,183,985.00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2,183,985.00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03969T109</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2,183,985.00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2,183,985.00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2,183,985.00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03969T109</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2,183,985.00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2,183,985.00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2,183,985.00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03969T109</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2,183,985.00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2,183,985.00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2,183,985.00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Arcturus Therapeutics Holdings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10628 Science Center Drive, Suite 250 San Diego, California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jc w:val="left"/>
              <w:rPr/>
            </w:pPr>
            <w:r>
              <w:rPr/>
              <w:t xml:space="preserve">CUSIP No.: </w:t>
            </w:r>
          </w:p>
          <w:p>
            <w:pPr>
              <w:pStyle w:val="TableContents"/>
              <w:bidi w:val="0"/>
              <w:spacing w:before="0" w:after="0"/>
              <w:jc w:val="left"/>
              <w:rPr/>
            </w:pPr>
            <w:r>
              <w:rPr/>
              <w:t>03969T109</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the 2,183,985 shares of common stock, par value $0.001 per share ("Shares"), reported herein, BAM may be deemed to exercise voting and investment power over such Shares held by ADMF and thus may be deemed to beneficially own such Shares. By virtue of its position as the General Partner of BAM, BAM GP may be deemed to exercise voting and investment power over the Shares held directly by ADMF and thus may be deemed to beneficially own such Shares. By virtue of its position as the Sole Member of BAM GP, BAM Holdings may be deemed to exercise voting and investment power over the Shares held directly by ADMF and thus may be deemed to beneficially own such Shares. By virtue of its position as the General Partner of BAM Holdings, Dames may be deemed to exercise voting and investment power over the Shares held directly by ADMF and thus may be deemed to beneficially own such Shares. By virtue of his position as the Managing Member of Dames, Mr. Balyasny may be deemed to exercise voting and investment power over the Shares held directly by ADMF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8.04% of the Shares, based on 2,183,985 Shares outstanding as of August 8, 2025, as reported in the Issuer's Quarterly Report on Form 10-Q filed with the Securities and Exchange Commission on August 11, 2025.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2,183,985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vote or to direct the vote of 2,183,985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a Cayman Islands exempted company that is an investment management client of BAM,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11/10/2025</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11/10/2025</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11/10/2025</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11/10/2025</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11/10/2025</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1833</Words>
  <Characters>9324</Characters>
  <CharactersWithSpaces>11060</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