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May 8, 2020</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S-3</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line="230" w:lineRule="auto"/>
        <w:rPr>
          <w:sz w:val="20"/>
          <w:szCs w:val="20"/>
          <w:color w:val="auto"/>
        </w:rPr>
      </w:pPr>
      <w:r>
        <w:rPr>
          <w:rFonts w:ascii="Arial" w:cs="Arial" w:eastAsia="Arial" w:hAnsi="Arial"/>
          <w:sz w:val="22"/>
          <w:szCs w:val="22"/>
          <w:b w:val="1"/>
          <w:bCs w:val="1"/>
          <w:color w:val="auto"/>
        </w:rPr>
        <w:t>THE SECURITIES ACT OF 1933</w:t>
      </w:r>
    </w:p>
    <w:p>
      <w:pPr>
        <w:spacing w:after="0" w:line="1" w:lineRule="exact"/>
        <w:rPr>
          <w:sz w:val="24"/>
          <w:szCs w:val="24"/>
          <w:color w:val="auto"/>
        </w:rPr>
      </w:pPr>
    </w:p>
    <w:p>
      <w:pPr>
        <w:ind w:left="3420"/>
        <w:spacing w:after="0"/>
        <w:rPr>
          <w:sz w:val="20"/>
          <w:szCs w:val="20"/>
          <w:color w:val="auto"/>
        </w:rPr>
      </w:pPr>
      <w:r>
        <w:rPr>
          <w:rFonts w:ascii="Arial" w:cs="Arial" w:eastAsia="Arial" w:hAnsi="Arial"/>
          <w:sz w:val="22"/>
          <w:szCs w:val="22"/>
          <w:color w:val="auto"/>
        </w:rPr>
        <w:t>_________________________________________</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18"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4380" w:type="dxa"/>
            <w:vAlign w:val="bottom"/>
          </w:tcPr>
          <w:p>
            <w:pPr>
              <w:jc w:val="center"/>
              <w:ind w:right="2130"/>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center"/>
              <w:ind w:left="2130"/>
              <w:spacing w:after="0"/>
              <w:rPr>
                <w:sz w:val="20"/>
                <w:szCs w:val="20"/>
                <w:color w:val="auto"/>
              </w:rPr>
            </w:pPr>
            <w:r>
              <w:rPr>
                <w:rFonts w:ascii="Arial" w:cs="Arial" w:eastAsia="Arial" w:hAnsi="Arial"/>
                <w:sz w:val="18"/>
                <w:szCs w:val="18"/>
                <w:b w:val="1"/>
                <w:bCs w:val="1"/>
                <w:color w:val="auto"/>
                <w:w w:val="91"/>
              </w:rPr>
              <w:t>46-1981974</w:t>
            </w:r>
          </w:p>
        </w:tc>
      </w:tr>
      <w:tr>
        <w:trPr>
          <w:trHeight w:val="216"/>
        </w:trPr>
        <w:tc>
          <w:tcPr>
            <w:tcW w:w="4380" w:type="dxa"/>
            <w:vAlign w:val="bottom"/>
          </w:tcPr>
          <w:p>
            <w:pPr>
              <w:jc w:val="center"/>
              <w:ind w:right="2130"/>
              <w:spacing w:after="0"/>
              <w:rPr>
                <w:sz w:val="20"/>
                <w:szCs w:val="20"/>
                <w:color w:val="auto"/>
              </w:rPr>
            </w:pPr>
            <w:r>
              <w:rPr>
                <w:rFonts w:ascii="Arial" w:cs="Arial" w:eastAsia="Arial" w:hAnsi="Arial"/>
                <w:sz w:val="18"/>
                <w:szCs w:val="18"/>
                <w:color w:val="auto"/>
                <w:w w:val="92"/>
              </w:rPr>
              <w:t>(State or other jurisdiction of</w:t>
            </w:r>
          </w:p>
        </w:tc>
        <w:tc>
          <w:tcPr>
            <w:tcW w:w="3540" w:type="dxa"/>
            <w:vAlign w:val="bottom"/>
          </w:tcPr>
          <w:p>
            <w:pPr>
              <w:jc w:val="center"/>
              <w:ind w:left="2130"/>
              <w:spacing w:after="0"/>
              <w:rPr>
                <w:sz w:val="20"/>
                <w:szCs w:val="20"/>
                <w:color w:val="auto"/>
              </w:rPr>
            </w:pPr>
            <w:r>
              <w:rPr>
                <w:rFonts w:ascii="Arial" w:cs="Arial" w:eastAsia="Arial" w:hAnsi="Arial"/>
                <w:sz w:val="18"/>
                <w:szCs w:val="18"/>
                <w:color w:val="auto"/>
                <w:w w:val="93"/>
              </w:rPr>
              <w:t>(I.R.S. Employer</w:t>
            </w:r>
          </w:p>
        </w:tc>
      </w:tr>
      <w:tr>
        <w:trPr>
          <w:trHeight w:val="230"/>
        </w:trPr>
        <w:tc>
          <w:tcPr>
            <w:tcW w:w="4380" w:type="dxa"/>
            <w:vAlign w:val="bottom"/>
          </w:tcPr>
          <w:p>
            <w:pPr>
              <w:jc w:val="center"/>
              <w:ind w:right="2130"/>
              <w:spacing w:after="0"/>
              <w:rPr>
                <w:sz w:val="20"/>
                <w:szCs w:val="20"/>
                <w:color w:val="auto"/>
              </w:rPr>
            </w:pPr>
            <w:r>
              <w:rPr>
                <w:rFonts w:ascii="Arial" w:cs="Arial" w:eastAsia="Arial" w:hAnsi="Arial"/>
                <w:sz w:val="18"/>
                <w:szCs w:val="18"/>
                <w:color w:val="auto"/>
                <w:w w:val="92"/>
              </w:rPr>
              <w:t>incorporation or organization)</w:t>
            </w:r>
          </w:p>
        </w:tc>
        <w:tc>
          <w:tcPr>
            <w:tcW w:w="3540" w:type="dxa"/>
            <w:vAlign w:val="bottom"/>
          </w:tcPr>
          <w:p>
            <w:pPr>
              <w:jc w:val="center"/>
              <w:ind w:left="21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10628 Science Center Drive, Suite 250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San Diego, California 92121</w:t>
      </w:r>
    </w:p>
    <w:p>
      <w:pPr>
        <w:jc w:val="center"/>
        <w:spacing w:after="0" w:line="230" w:lineRule="auto"/>
        <w:rPr>
          <w:sz w:val="20"/>
          <w:szCs w:val="20"/>
          <w:color w:val="auto"/>
        </w:rPr>
      </w:pPr>
      <w:r>
        <w:rPr>
          <w:rFonts w:ascii="Arial" w:cs="Arial" w:eastAsia="Arial" w:hAnsi="Arial"/>
          <w:sz w:val="22"/>
          <w:szCs w:val="22"/>
          <w:b w:val="1"/>
          <w:bCs w:val="1"/>
          <w:color w:val="auto"/>
        </w:rPr>
        <w:t>(858) 900-2660</w:t>
      </w:r>
    </w:p>
    <w:p>
      <w:pPr>
        <w:jc w:val="center"/>
        <w:spacing w:after="0" w:line="231" w:lineRule="auto"/>
        <w:rPr>
          <w:sz w:val="20"/>
          <w:szCs w:val="20"/>
          <w:color w:val="auto"/>
        </w:rPr>
      </w:pPr>
      <w:r>
        <w:rPr>
          <w:rFonts w:ascii="Arial" w:cs="Arial" w:eastAsia="Arial" w:hAnsi="Arial"/>
          <w:sz w:val="22"/>
          <w:szCs w:val="22"/>
          <w:color w:val="auto"/>
        </w:rPr>
        <w:t>(Address, including zip code, and telephone number, including</w:t>
      </w:r>
    </w:p>
    <w:p>
      <w:pPr>
        <w:jc w:val="center"/>
        <w:spacing w:after="0" w:line="230" w:lineRule="auto"/>
        <w:rPr>
          <w:sz w:val="20"/>
          <w:szCs w:val="20"/>
          <w:color w:val="auto"/>
        </w:rPr>
      </w:pPr>
      <w:r>
        <w:rPr>
          <w:rFonts w:ascii="Arial" w:cs="Arial" w:eastAsia="Arial" w:hAnsi="Arial"/>
          <w:sz w:val="22"/>
          <w:szCs w:val="22"/>
          <w:color w:val="auto"/>
        </w:rPr>
        <w:t>area code of registrant’s principal executive offices)</w:t>
      </w:r>
    </w:p>
    <w:p>
      <w:pPr>
        <w:spacing w:after="0" w:line="1" w:lineRule="exact"/>
        <w:rPr>
          <w:sz w:val="24"/>
          <w:szCs w:val="24"/>
          <w:color w:val="auto"/>
        </w:rPr>
      </w:pPr>
    </w:p>
    <w:p>
      <w:pPr>
        <w:ind w:left="3080"/>
        <w:spacing w:after="0"/>
        <w:rPr>
          <w:sz w:val="20"/>
          <w:szCs w:val="20"/>
          <w:color w:val="auto"/>
        </w:rPr>
      </w:pPr>
      <w:r>
        <w:rPr>
          <w:rFonts w:ascii="Arial" w:cs="Arial" w:eastAsia="Arial" w:hAnsi="Arial"/>
          <w:sz w:val="22"/>
          <w:szCs w:val="22"/>
          <w:color w:val="auto"/>
        </w:rPr>
        <w:t>_______________________________________________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Joseph E. Payne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Arcturus Therapeutics Holdings Inc.</w:t>
      </w:r>
    </w:p>
    <w:p>
      <w:pPr>
        <w:jc w:val="center"/>
        <w:spacing w:after="0" w:line="230" w:lineRule="auto"/>
        <w:rPr>
          <w:sz w:val="20"/>
          <w:szCs w:val="20"/>
          <w:color w:val="auto"/>
        </w:rPr>
      </w:pPr>
      <w:r>
        <w:rPr>
          <w:rFonts w:ascii="Arial" w:cs="Arial" w:eastAsia="Arial" w:hAnsi="Arial"/>
          <w:sz w:val="22"/>
          <w:szCs w:val="22"/>
          <w:b w:val="1"/>
          <w:bCs w:val="1"/>
          <w:color w:val="auto"/>
        </w:rPr>
        <w:t>10628 Science Center Drive, Suite 250</w:t>
      </w:r>
    </w:p>
    <w:p>
      <w:pPr>
        <w:jc w:val="center"/>
        <w:spacing w:after="0" w:line="231" w:lineRule="auto"/>
        <w:rPr>
          <w:sz w:val="20"/>
          <w:szCs w:val="20"/>
          <w:color w:val="auto"/>
        </w:rPr>
      </w:pPr>
      <w:r>
        <w:rPr>
          <w:rFonts w:ascii="Arial" w:cs="Arial" w:eastAsia="Arial" w:hAnsi="Arial"/>
          <w:sz w:val="22"/>
          <w:szCs w:val="22"/>
          <w:b w:val="1"/>
          <w:bCs w:val="1"/>
          <w:color w:val="auto"/>
        </w:rPr>
        <w:t>San Diego, California 92121</w:t>
      </w:r>
    </w:p>
    <w:p>
      <w:pPr>
        <w:jc w:val="center"/>
        <w:spacing w:after="0" w:line="230" w:lineRule="auto"/>
        <w:rPr>
          <w:sz w:val="20"/>
          <w:szCs w:val="20"/>
          <w:color w:val="auto"/>
        </w:rPr>
      </w:pPr>
      <w:r>
        <w:rPr>
          <w:rFonts w:ascii="Arial" w:cs="Arial" w:eastAsia="Arial" w:hAnsi="Arial"/>
          <w:sz w:val="22"/>
          <w:szCs w:val="22"/>
          <w:b w:val="1"/>
          <w:bCs w:val="1"/>
          <w:color w:val="auto"/>
        </w:rPr>
        <w:t>(858) 900-2660</w:t>
      </w:r>
    </w:p>
    <w:p>
      <w:pPr>
        <w:jc w:val="center"/>
        <w:spacing w:after="0" w:line="231" w:lineRule="auto"/>
        <w:rPr>
          <w:sz w:val="20"/>
          <w:szCs w:val="20"/>
          <w:color w:val="auto"/>
        </w:rPr>
      </w:pPr>
      <w:r>
        <w:rPr>
          <w:rFonts w:ascii="Arial" w:cs="Arial" w:eastAsia="Arial" w:hAnsi="Arial"/>
          <w:sz w:val="22"/>
          <w:szCs w:val="22"/>
          <w:color w:val="auto"/>
        </w:rPr>
        <w:t>(Name, address, including zip code, and telephone number,</w:t>
      </w:r>
    </w:p>
    <w:p>
      <w:pPr>
        <w:jc w:val="center"/>
        <w:spacing w:after="0"/>
        <w:rPr>
          <w:sz w:val="20"/>
          <w:szCs w:val="20"/>
          <w:color w:val="auto"/>
        </w:rPr>
      </w:pPr>
      <w:r>
        <w:rPr>
          <w:rFonts w:ascii="Arial" w:cs="Arial" w:eastAsia="Arial" w:hAnsi="Arial"/>
          <w:sz w:val="22"/>
          <w:szCs w:val="22"/>
          <w:color w:val="auto"/>
        </w:rPr>
        <w:t>including area code of agent for service)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With a copy 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Jeffrey A. Baumel, Esq.</w:t>
      </w:r>
    </w:p>
    <w:p>
      <w:pPr>
        <w:jc w:val="center"/>
        <w:spacing w:after="0" w:line="230" w:lineRule="auto"/>
        <w:rPr>
          <w:sz w:val="20"/>
          <w:szCs w:val="20"/>
          <w:color w:val="auto"/>
        </w:rPr>
      </w:pPr>
      <w:r>
        <w:rPr>
          <w:rFonts w:ascii="Arial" w:cs="Arial" w:eastAsia="Arial" w:hAnsi="Arial"/>
          <w:sz w:val="22"/>
          <w:szCs w:val="22"/>
          <w:b w:val="1"/>
          <w:bCs w:val="1"/>
          <w:color w:val="auto"/>
        </w:rPr>
        <w:t>Ilan Katz, Esq.</w:t>
      </w:r>
    </w:p>
    <w:p>
      <w:pPr>
        <w:jc w:val="center"/>
        <w:spacing w:after="0" w:line="231" w:lineRule="auto"/>
        <w:rPr>
          <w:sz w:val="20"/>
          <w:szCs w:val="20"/>
          <w:color w:val="auto"/>
        </w:rPr>
      </w:pPr>
      <w:r>
        <w:rPr>
          <w:rFonts w:ascii="Arial" w:cs="Arial" w:eastAsia="Arial" w:hAnsi="Arial"/>
          <w:sz w:val="22"/>
          <w:szCs w:val="22"/>
          <w:b w:val="1"/>
          <w:bCs w:val="1"/>
          <w:color w:val="auto"/>
        </w:rPr>
        <w:t>Dentons US LLP</w:t>
      </w:r>
    </w:p>
    <w:p>
      <w:pPr>
        <w:ind w:left="4280"/>
        <w:spacing w:after="0" w:line="230" w:lineRule="auto"/>
        <w:rPr>
          <w:sz w:val="20"/>
          <w:szCs w:val="20"/>
          <w:color w:val="auto"/>
        </w:rPr>
      </w:pPr>
      <w:r>
        <w:rPr>
          <w:rFonts w:ascii="Arial" w:cs="Arial" w:eastAsia="Arial" w:hAnsi="Arial"/>
          <w:sz w:val="22"/>
          <w:szCs w:val="22"/>
          <w:b w:val="1"/>
          <w:bCs w:val="1"/>
          <w:color w:val="auto"/>
        </w:rPr>
        <w:t>1221 Avenue of the Americas</w:t>
      </w:r>
    </w:p>
    <w:p>
      <w:pPr>
        <w:ind w:left="4400"/>
        <w:spacing w:after="0" w:line="231" w:lineRule="auto"/>
        <w:rPr>
          <w:sz w:val="20"/>
          <w:szCs w:val="20"/>
          <w:color w:val="auto"/>
        </w:rPr>
      </w:pPr>
      <w:r>
        <w:rPr>
          <w:rFonts w:ascii="Arial" w:cs="Arial" w:eastAsia="Arial" w:hAnsi="Arial"/>
          <w:sz w:val="22"/>
          <w:szCs w:val="22"/>
          <w:b w:val="1"/>
          <w:bCs w:val="1"/>
          <w:color w:val="auto"/>
        </w:rPr>
        <w:t>New York, NY 10020-1089</w:t>
      </w:r>
    </w:p>
    <w:p>
      <w:pPr>
        <w:ind w:left="4420"/>
        <w:spacing w:after="0"/>
        <w:rPr>
          <w:sz w:val="20"/>
          <w:szCs w:val="20"/>
          <w:color w:val="auto"/>
        </w:rPr>
      </w:pPr>
      <w:r>
        <w:rPr>
          <w:rFonts w:ascii="Arial" w:cs="Arial" w:eastAsia="Arial" w:hAnsi="Arial"/>
          <w:sz w:val="22"/>
          <w:szCs w:val="22"/>
          <w:b w:val="1"/>
          <w:bCs w:val="1"/>
          <w:color w:val="auto"/>
        </w:rPr>
        <w:t>Telephone: (212) 768-6700</w:t>
      </w:r>
    </w:p>
    <w:p>
      <w:pPr>
        <w:spacing w:after="0" w:line="218" w:lineRule="exact"/>
        <w:rPr>
          <w:sz w:val="24"/>
          <w:szCs w:val="24"/>
          <w:color w:val="auto"/>
        </w:rPr>
      </w:pPr>
    </w:p>
    <w:p>
      <w:pPr>
        <w:ind w:right="280"/>
        <w:spacing w:after="0" w:line="282" w:lineRule="auto"/>
        <w:rPr>
          <w:sz w:val="20"/>
          <w:szCs w:val="20"/>
          <w:color w:val="auto"/>
        </w:rPr>
      </w:pPr>
      <w:r>
        <w:rPr>
          <w:rFonts w:ascii="Arial" w:cs="Arial" w:eastAsia="Arial" w:hAnsi="Arial"/>
          <w:sz w:val="18"/>
          <w:szCs w:val="18"/>
          <w:color w:val="auto"/>
        </w:rPr>
        <w:t xml:space="preserve">Approximate date of commencement of proposed sale to the public: </w:t>
      </w:r>
      <w:r>
        <w:rPr>
          <w:rFonts w:ascii="Arial" w:cs="Arial" w:eastAsia="Arial" w:hAnsi="Arial"/>
          <w:sz w:val="18"/>
          <w:szCs w:val="18"/>
          <w:b w:val="1"/>
          <w:bCs w:val="1"/>
          <w:color w:val="auto"/>
        </w:rPr>
        <w:t>From time to time after the effective date of this Registration Statement, as the</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registrant shall determine.</w:t>
      </w: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3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2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463"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4220" w:type="dxa"/>
            <w:vAlign w:val="bottom"/>
            <w:gridSpan w:val="2"/>
          </w:tcPr>
          <w:p>
            <w:pPr>
              <w:ind w:left="400"/>
              <w:spacing w:after="0"/>
              <w:rPr>
                <w:sz w:val="20"/>
                <w:szCs w:val="20"/>
                <w:color w:val="auto"/>
              </w:rPr>
            </w:pPr>
            <w:r>
              <w:rPr>
                <w:rFonts w:ascii="Arial" w:cs="Arial" w:eastAsia="Arial" w:hAnsi="Arial"/>
                <w:sz w:val="18"/>
                <w:szCs w:val="18"/>
                <w:b w:val="1"/>
                <w:bCs w:val="1"/>
                <w:color w:val="auto"/>
                <w:w w:val="97"/>
              </w:rPr>
              <w:t>_______________________________________</w:t>
            </w:r>
          </w:p>
        </w:tc>
        <w:tc>
          <w:tcPr>
            <w:tcW w:w="19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2440" w:type="dxa"/>
            <w:vAlign w:val="bottom"/>
          </w:tcPr>
          <w:p>
            <w:pPr>
              <w:spacing w:after="0"/>
              <w:rPr>
                <w:sz w:val="24"/>
                <w:szCs w:val="24"/>
                <w:color w:val="auto"/>
              </w:rPr>
            </w:pPr>
          </w:p>
        </w:tc>
        <w:tc>
          <w:tcPr>
            <w:tcW w:w="4220" w:type="dxa"/>
            <w:vAlign w:val="bottom"/>
            <w:gridSpan w:val="2"/>
          </w:tcPr>
          <w:p>
            <w:pPr>
              <w:ind w:left="440"/>
              <w:spacing w:after="0"/>
              <w:rPr>
                <w:sz w:val="20"/>
                <w:szCs w:val="20"/>
                <w:color w:val="auto"/>
              </w:rPr>
            </w:pPr>
            <w:r>
              <w:rPr>
                <w:rFonts w:ascii="Arial" w:cs="Arial" w:eastAsia="Arial" w:hAnsi="Arial"/>
                <w:sz w:val="18"/>
                <w:szCs w:val="18"/>
                <w:b w:val="1"/>
                <w:bCs w:val="1"/>
                <w:color w:val="auto"/>
              </w:rPr>
              <w:t>CALCULATION OF REGISTRATION FEE</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41"/>
        </w:trPr>
        <w:tc>
          <w:tcPr>
            <w:tcW w:w="24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280" w:type="dxa"/>
            <w:vAlign w:val="bottom"/>
          </w:tcPr>
          <w:p>
            <w:pPr>
              <w:spacing w:after="0"/>
              <w:rPr>
                <w:sz w:val="24"/>
                <w:szCs w:val="24"/>
                <w:color w:val="auto"/>
              </w:rPr>
            </w:pPr>
          </w:p>
        </w:tc>
      </w:tr>
      <w:tr>
        <w:trPr>
          <w:trHeight w:val="216"/>
        </w:trPr>
        <w:tc>
          <w:tcPr>
            <w:tcW w:w="2440" w:type="dxa"/>
            <w:vAlign w:val="bottom"/>
          </w:tcPr>
          <w:p>
            <w:pPr>
              <w:spacing w:after="0"/>
              <w:rPr>
                <w:sz w:val="18"/>
                <w:szCs w:val="18"/>
                <w:color w:val="auto"/>
              </w:rPr>
            </w:pPr>
          </w:p>
        </w:tc>
        <w:tc>
          <w:tcPr>
            <w:tcW w:w="2460" w:type="dxa"/>
            <w:vAlign w:val="bottom"/>
          </w:tcPr>
          <w:p>
            <w:pPr>
              <w:jc w:val="center"/>
              <w:ind w:left="610"/>
              <w:spacing w:after="0"/>
              <w:rPr>
                <w:sz w:val="20"/>
                <w:szCs w:val="20"/>
                <w:color w:val="auto"/>
              </w:rPr>
            </w:pPr>
            <w:r>
              <w:rPr>
                <w:rFonts w:ascii="Arial" w:cs="Arial" w:eastAsia="Arial" w:hAnsi="Arial"/>
                <w:sz w:val="18"/>
                <w:szCs w:val="18"/>
                <w:b w:val="1"/>
                <w:bCs w:val="1"/>
                <w:color w:val="auto"/>
                <w:w w:val="94"/>
              </w:rPr>
              <w:t>Amount</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28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44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Title of Each Class of</w:t>
            </w:r>
          </w:p>
        </w:tc>
        <w:tc>
          <w:tcPr>
            <w:tcW w:w="2460" w:type="dxa"/>
            <w:vAlign w:val="bottom"/>
          </w:tcPr>
          <w:p>
            <w:pPr>
              <w:jc w:val="center"/>
              <w:ind w:left="590"/>
              <w:spacing w:after="0"/>
              <w:rPr>
                <w:sz w:val="20"/>
                <w:szCs w:val="20"/>
                <w:color w:val="auto"/>
              </w:rPr>
            </w:pPr>
            <w:r>
              <w:rPr>
                <w:rFonts w:ascii="Arial" w:cs="Arial" w:eastAsia="Arial" w:hAnsi="Arial"/>
                <w:sz w:val="18"/>
                <w:szCs w:val="18"/>
                <w:b w:val="1"/>
                <w:bCs w:val="1"/>
                <w:color w:val="auto"/>
                <w:w w:val="88"/>
              </w:rPr>
              <w:t>to be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28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Registration</w:t>
            </w:r>
          </w:p>
        </w:tc>
      </w:tr>
      <w:tr>
        <w:trPr>
          <w:trHeight w:val="234"/>
        </w:trPr>
        <w:tc>
          <w:tcPr>
            <w:tcW w:w="2440" w:type="dxa"/>
            <w:vAlign w:val="bottom"/>
          </w:tcPr>
          <w:p>
            <w:pPr>
              <w:jc w:val="center"/>
              <w:ind w:right="310"/>
              <w:spacing w:after="0"/>
              <w:rPr>
                <w:sz w:val="20"/>
                <w:szCs w:val="20"/>
                <w:color w:val="auto"/>
              </w:rPr>
            </w:pPr>
            <w:r>
              <w:rPr>
                <w:rFonts w:ascii="Arial" w:cs="Arial" w:eastAsia="Arial" w:hAnsi="Arial"/>
                <w:sz w:val="18"/>
                <w:szCs w:val="18"/>
                <w:b w:val="1"/>
                <w:bCs w:val="1"/>
                <w:color w:val="auto"/>
                <w:w w:val="87"/>
              </w:rPr>
              <w:t>Securities to be Registered</w:t>
            </w:r>
          </w:p>
        </w:tc>
        <w:tc>
          <w:tcPr>
            <w:tcW w:w="2460" w:type="dxa"/>
            <w:vAlign w:val="bottom"/>
          </w:tcPr>
          <w:p>
            <w:pPr>
              <w:jc w:val="center"/>
              <w:ind w:left="590"/>
              <w:spacing w:after="0"/>
              <w:rPr>
                <w:sz w:val="20"/>
                <w:szCs w:val="20"/>
                <w:color w:val="auto"/>
              </w:rPr>
            </w:pPr>
            <w:r>
              <w:rPr>
                <w:rFonts w:ascii="Arial" w:cs="Arial" w:eastAsia="Arial" w:hAnsi="Arial"/>
                <w:sz w:val="18"/>
                <w:szCs w:val="18"/>
                <w:b w:val="1"/>
                <w:bCs w:val="1"/>
                <w:color w:val="auto"/>
                <w:w w:val="88"/>
              </w:rPr>
              <w:t>Registered(1)</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6"/>
              </w:rPr>
              <w:t>Per Unit(2)</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3"/>
              </w:rPr>
              <w:t>Offering Price(3)</w:t>
            </w:r>
          </w:p>
        </w:tc>
        <w:tc>
          <w:tcPr>
            <w:tcW w:w="128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Fee(4)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Preferred Stock(6)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 Securities(7)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Warrants(8)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Units(9)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40"/>
        <w:spacing w:after="0"/>
        <w:tabs>
          <w:tab w:leader="none" w:pos="4520" w:val="left"/>
          <w:tab w:leader="none" w:pos="6640" w:val="left"/>
          <w:tab w:leader="none" w:pos="8100" w:val="left"/>
          <w:tab w:leader="none" w:pos="10100" w:val="left"/>
        </w:tabs>
        <w:rPr>
          <w:sz w:val="20"/>
          <w:szCs w:val="20"/>
          <w:color w:val="auto"/>
        </w:rPr>
      </w:pPr>
      <w:r>
        <w:rPr>
          <w:rFonts w:ascii="Arial" w:cs="Arial" w:eastAsia="Arial" w:hAnsi="Arial"/>
          <w:sz w:val="18"/>
          <w:szCs w:val="18"/>
          <w:b w:val="1"/>
          <w:bCs w:val="1"/>
          <w:color w:val="auto"/>
        </w:rPr>
        <w:t>Total</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$200,000,000</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$200,000,000</w:t>
      </w:r>
      <w:r>
        <w:rPr>
          <w:sz w:val="20"/>
          <w:szCs w:val="20"/>
          <w:color w:val="auto"/>
        </w:rPr>
        <w:tab/>
      </w:r>
      <w:r>
        <w:rPr>
          <w:rFonts w:ascii="Arial" w:cs="Arial" w:eastAsia="Arial" w:hAnsi="Arial"/>
          <w:sz w:val="16"/>
          <w:szCs w:val="16"/>
          <w:color w:val="auto"/>
        </w:rPr>
        <w:t>$25,960</w:t>
      </w:r>
    </w:p>
    <w:p>
      <w:pPr>
        <w:spacing w:after="0" w:line="67" w:lineRule="exact"/>
        <w:rPr>
          <w:sz w:val="20"/>
          <w:szCs w:val="20"/>
          <w:color w:val="auto"/>
        </w:rPr>
      </w:pPr>
    </w:p>
    <w:p>
      <w:pPr>
        <w:ind w:left="500" w:right="120" w:hanging="465"/>
        <w:spacing w:after="0" w:line="295"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amount to be registered consists of up to 200,000,000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preferred stock, common stock, debt securities or units as may be issued upon exercise of warrants registered hereby, as the case may be. Any securities registered hereunder may be sold separately or as units with the other securities registered hereunder.</w:t>
      </w:r>
    </w:p>
    <w:p>
      <w:pPr>
        <w:spacing w:after="0" w:line="3" w:lineRule="exact"/>
        <w:rPr>
          <w:rFonts w:ascii="Arial" w:cs="Arial" w:eastAsia="Arial" w:hAnsi="Arial"/>
          <w:sz w:val="16"/>
          <w:szCs w:val="16"/>
          <w:color w:val="auto"/>
        </w:rPr>
      </w:pPr>
    </w:p>
    <w:p>
      <w:pPr>
        <w:ind w:left="500" w:right="80" w:hanging="465"/>
        <w:spacing w:after="0" w:line="263"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unit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21" w:lineRule="exact"/>
        <w:rPr>
          <w:rFonts w:ascii="Arial" w:cs="Arial" w:eastAsia="Arial" w:hAnsi="Arial"/>
          <w:sz w:val="18"/>
          <w:szCs w:val="18"/>
          <w:color w:val="auto"/>
        </w:rPr>
      </w:pPr>
    </w:p>
    <w:p>
      <w:pPr>
        <w:ind w:left="500" w:right="140" w:hanging="465"/>
        <w:spacing w:after="0" w:line="25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computing the registration fee. No separate consideration will be received for (i) common stock or other securities of the registrant that may be issued upon conversion of, or in exchange for, convertible or exchangeable debt securities and/or preferred stock registered hereby, or (ii) preferred stock, common stock, debt securities or units that may be issued upon exercise of warrants registered hereby, as the case may be.</w:t>
      </w:r>
    </w:p>
    <w:p>
      <w:pPr>
        <w:spacing w:after="0" w:line="24" w:lineRule="exact"/>
        <w:rPr>
          <w:rFonts w:ascii="Arial" w:cs="Arial" w:eastAsia="Arial" w:hAnsi="Arial"/>
          <w:sz w:val="18"/>
          <w:szCs w:val="18"/>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has been calculated in accordance with Rule 457(o) under the Securities Act.</w:t>
      </w:r>
    </w:p>
    <w:p>
      <w:pPr>
        <w:spacing w:after="0" w:line="63" w:lineRule="exact"/>
        <w:rPr>
          <w:rFonts w:ascii="Arial" w:cs="Arial" w:eastAsia="Arial" w:hAnsi="Arial"/>
          <w:sz w:val="18"/>
          <w:szCs w:val="18"/>
          <w:color w:val="auto"/>
        </w:rPr>
      </w:pPr>
    </w:p>
    <w:p>
      <w:pPr>
        <w:ind w:left="500" w:right="520" w:hanging="465"/>
        <w:spacing w:after="0" w:line="298" w:lineRule="auto"/>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ind w:left="500" w:right="480" w:hanging="465"/>
        <w:spacing w:after="0" w:line="298" w:lineRule="auto"/>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ind w:left="500" w:right="400" w:hanging="465"/>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such indeterminate principal amount of debt securities as may be issued from time to time at indeterminate prices or upon exercise of warrants registered hereby, as the case may be.</w:t>
      </w:r>
    </w:p>
    <w:p>
      <w:pPr>
        <w:spacing w:after="0" w:line="8" w:lineRule="exact"/>
        <w:rPr>
          <w:rFonts w:ascii="Arial" w:cs="Arial" w:eastAsia="Arial" w:hAnsi="Arial"/>
          <w:sz w:val="18"/>
          <w:szCs w:val="18"/>
          <w:color w:val="auto"/>
        </w:rPr>
      </w:pPr>
    </w:p>
    <w:p>
      <w:pPr>
        <w:ind w:left="500" w:right="20" w:hanging="465"/>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such indeterminate number of warrants or other rights, including without limitation share purchase or subscription rights, as may be issued from time to time at indeterminate prices.</w:t>
      </w:r>
    </w:p>
    <w:p>
      <w:pPr>
        <w:spacing w:after="0" w:line="8" w:lineRule="exact"/>
        <w:rPr>
          <w:rFonts w:ascii="Arial" w:cs="Arial" w:eastAsia="Arial" w:hAnsi="Arial"/>
          <w:sz w:val="18"/>
          <w:szCs w:val="18"/>
          <w:color w:val="auto"/>
        </w:rPr>
      </w:pPr>
    </w:p>
    <w:p>
      <w:pPr>
        <w:ind w:left="500" w:right="300" w:hanging="465"/>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will be issued under a unit agreement and will represent an interest in two or more securities, which may or may not be separable from one another.</w:t>
      </w:r>
    </w:p>
    <w:p>
      <w:pPr>
        <w:spacing w:after="0" w:line="220" w:lineRule="exact"/>
        <w:rPr>
          <w:sz w:val="20"/>
          <w:szCs w:val="20"/>
          <w:color w:val="auto"/>
        </w:rPr>
      </w:pPr>
    </w:p>
    <w:p>
      <w:pPr>
        <w:jc w:val="both"/>
        <w:ind w:left="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9" w:right="359" w:bottom="1440" w:gutter="0" w:footer="0" w:header="0"/>
        </w:sectPr>
      </w:pPr>
    </w:p>
    <w:bookmarkStart w:id="2" w:name="page3"/>
    <w:bookmarkEnd w:id="2"/>
    <w:p>
      <w:pPr>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SUBJECT TO COMPLETION, DATED MAY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2040255"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025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$200,000,000</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under the symbol “ARCT.”</w:t>
      </w:r>
    </w:p>
    <w:p>
      <w:pPr>
        <w:spacing w:after="0" w:line="2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referenced under the heading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on page 3 of this prospectus and contained in our filings made with the Securities and Exchange Commission and the applicable prospectus supplement.</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174"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920" w:type="dxa"/>
            <w:vAlign w:val="bottom"/>
            <w:gridSpan w:val="2"/>
          </w:tcPr>
          <w:p>
            <w:pPr>
              <w:ind w:left="25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PROSPECTUS SUMMARY</w:t>
            </w:r>
          </w:p>
        </w:tc>
        <w:tc>
          <w:tcPr>
            <w:tcW w:w="29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DESCRIPTION OF CAPITAL STOCK WE MAY OFFER</w:t>
            </w:r>
          </w:p>
        </w:tc>
        <w:tc>
          <w:tcPr>
            <w:tcW w:w="29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 WE MAY OFFER</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DESCRIPTION OF WARRANTS WE MAY OFFER</w:t>
            </w:r>
          </w:p>
        </w:tc>
        <w:tc>
          <w:tcPr>
            <w:tcW w:w="29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UNITS WE MAY OFFER</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PLAN OF DISTRIBUTION</w:t>
            </w:r>
          </w:p>
        </w:tc>
        <w:tc>
          <w:tcPr>
            <w:tcW w:w="29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EXPERTS</w:t>
            </w:r>
          </w:p>
        </w:tc>
        <w:tc>
          <w:tcPr>
            <w:tcW w:w="29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9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8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or the SEC, using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6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229" w:lineRule="exact"/>
        <w:rPr>
          <w:sz w:val="20"/>
          <w:szCs w:val="20"/>
          <w:color w:val="auto"/>
        </w:rPr>
      </w:pPr>
    </w:p>
    <w:p>
      <w:pPr>
        <w:jc w:val="both"/>
        <w:ind w:right="520"/>
        <w:spacing w:after="0" w:line="311" w:lineRule="auto"/>
        <w:rPr>
          <w:sz w:val="20"/>
          <w:szCs w:val="20"/>
          <w:color w:val="auto"/>
        </w:rPr>
      </w:pPr>
      <w:r>
        <w:rPr>
          <w:rFonts w:ascii="Arial" w:cs="Arial" w:eastAsia="Arial" w:hAnsi="Arial"/>
          <w:sz w:val="16"/>
          <w:szCs w:val="16"/>
          <w:color w:val="auto"/>
        </w:rPr>
        <w:t>We are a messenger RNA medicines company focused on significant opportunities within liver and respiratory rare diseases, and the development of infectious disease vaccines utilizing our Self-Transcribing and Replicating RNA (“STARR”) technology. In addition to our internal messenger RNA (“mRNA”) platform, our proprietary lipid nanoparticle delivery system, LUNAR, has the potential to enable multiple nucleic acid medicines.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87" w:lineRule="exact"/>
        <w:rPr>
          <w:sz w:val="20"/>
          <w:szCs w:val="20"/>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deep expertise in the discovery and development of RNA medicines, including key experience in the production of RNA drug substance and nanoparticle-formulated drug product.</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pipeline of seven drug candidates in late-stage discovery and early-stage development, two of which are wholly-owned and five of which involve partnered programs.</w:t>
      </w:r>
    </w:p>
    <w:p>
      <w:pPr>
        <w:spacing w:after="0" w:line="170"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developed and continue to develop LUNAR, a novel lipid-mediated delivery technology platform, which draws from a growing library of over 200 lipids that were designed at Arcturus and many of which are claimed in issued patents. Other lipids in this growing library are undergoing extensive research to test for desirable properties, and we continue to seek patent protection for newly designed lipids. Our lipid library is intended to enable safer and more efficient delivery than lipids commonly used in the industry.</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developed the STARR technology platform which combines self-replicating RNA with LUNAR into a single solution for partners.</w:t>
      </w:r>
    </w:p>
    <w:p>
      <w:pPr>
        <w:spacing w:after="0" w:line="236" w:lineRule="exact"/>
        <w:rPr>
          <w:rFonts w:ascii="Arial" w:cs="Arial" w:eastAsia="Arial" w:hAnsi="Arial"/>
          <w:sz w:val="17"/>
          <w:szCs w:val="17"/>
          <w:color w:val="auto"/>
        </w:rPr>
      </w:pPr>
    </w:p>
    <w:p>
      <w:pPr>
        <w:ind w:left="660" w:right="2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wholly-owned, LUNAR and nucleic acid technologies are covered by a patent portfolio of 182 patents and patent applications, issued in the United States, China, Europe, Japan and other countries.</w:t>
      </w:r>
    </w:p>
    <w:p>
      <w:pPr>
        <w:spacing w:after="0" w:line="170"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 - knockdown of genes overexpressed in disease; and (3) CRISPR, TALEN, zinc finger proteins, megaTALs and meganucleases - gene editing of errant genes.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and commenced trading on Nasdaq under the symbol “ARCT.” On June 17, 2019, we redomiciled to the United States and changed our name to Arcturus Therapeutics Holdings Inc.</w:t>
      </w:r>
    </w:p>
    <w:p>
      <w:pPr>
        <w:spacing w:after="0" w:line="18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principal executive offices are located at 10628 Science Center Drive, Suite 250, San Diego, California 92121, and our telephone number is (858) 900-2660. Our website is located at https://arcturusrx.com. We do not incorporate by reference into this prospectus the information on, or accessible through, our website, and you should not consider it as part of this prospectus. Our common stock trades on The Nasdaq Global Market under the symbol “ARCT”.</w:t>
      </w: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2019, filed with the SEC on March 16, 2020,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225" w:lineRule="exact"/>
        <w:rPr>
          <w:sz w:val="20"/>
          <w:szCs w:val="20"/>
          <w:color w:val="auto"/>
        </w:rPr>
      </w:pPr>
    </w:p>
    <w:p>
      <w:pPr>
        <w:ind w:left="660" w:right="5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future revenues, capital requirements and need for additional financing.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 WE MAY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authorized capital stock consists of 30,000,000 shares of common stock, par value $0.001 per share, and 10,000,000 shares of preferred stock, par value $0.001 per share.</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As of May 8, 2020, there were 19,892,287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under the symbol “ARCT” on the 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are authorized to issue a total of 10,000,000 shares of preferred stock. As of May 8, 2020, there were no shares of preferred stock issued and outstanding.</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12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the shares of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number of shares of preferred stock offered, the liquidation preference per share and the offering price of the shares of preferred stock;</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thereof applicable to the shares of preferred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shares of preferred stock are cumulative or not and, if cumulative, the date from which dividends on the shares of preferred stock shall accumulate;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shares of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provision for a sinking fund, if any, for the shares of preferred stock;</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provision for redemption or repurchase, if applicable, and any restrictions on our ability to exercise those redemption and repurchase rights of the shares of preferred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listing of the shares of preferred stock on any securities exchange;</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shares of preferred stock will be convertible into common shares, including the conversion price (or manner of calculation thereof);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discussion of federal income tax considerations applicable to the shares of preferred stock;</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relative ranking and preferences of the shares of preferred stock as to dividend rights and rights upon liquidation, dissolution or winding up of our affairs;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shares of preferred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voting rights of such preferred stock.</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Delaware Law and our Charter Documents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Size of Board and Vacancies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Liability</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 WE MAY OFFER</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7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right="100"/>
        <w:spacing w:after="0" w:line="25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17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spacing w:after="0" w:line="17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relating to modification of the terms of the security or the rights of the security 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indenture will restrict our ability or the ability of our subsidiaries to: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whether the indenture will require us to maintain any interest coverage, fixed charge, cash flow-based, asset-based or other financial ratios;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currency of payment of debt securities if other than U.S. dollars and the manner of determining the equivalent amount in U.S. dollars; and</w:t>
      </w:r>
    </w:p>
    <w:p>
      <w:pPr>
        <w:spacing w:after="0" w:line="248" w:lineRule="exact"/>
        <w:rPr>
          <w:rFonts w:ascii="Arial" w:cs="Arial" w:eastAsia="Arial" w:hAnsi="Arial"/>
          <w:sz w:val="16"/>
          <w:szCs w:val="16"/>
          <w:color w:val="auto"/>
        </w:rPr>
      </w:pPr>
    </w:p>
    <w:p>
      <w:pPr>
        <w:ind w:left="660" w:right="4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fail to pay the principal, premium or sinking fund payment, if any, when due and payable and the time for payment has not been extended;</w:t>
      </w:r>
    </w:p>
    <w:p>
      <w:pPr>
        <w:spacing w:after="0" w:line="248" w:lineRule="exact"/>
        <w:rPr>
          <w:rFonts w:ascii="Arial" w:cs="Arial" w:eastAsia="Arial" w:hAnsi="Arial"/>
          <w:sz w:val="16"/>
          <w:szCs w:val="16"/>
          <w:color w:val="auto"/>
        </w:rPr>
      </w:pPr>
    </w:p>
    <w:p>
      <w:pPr>
        <w:jc w:val="both"/>
        <w:ind w:left="660" w:right="80" w:hanging="328"/>
        <w:spacing w:after="0" w:line="31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9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9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direction so given by the holders is not in conflict with any law or the applicable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indentures or to appoint a receiver or trustee, or to seek other remedies only if:</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25"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ind w:right="4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“-Consolidation, Merger or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such indenture;</w:t>
      </w:r>
    </w:p>
    <w:p>
      <w:pPr>
        <w:spacing w:after="0" w:line="17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 and to make all appropriate changes for such purpose;</w:t>
      </w:r>
    </w:p>
    <w:p>
      <w:pPr>
        <w:spacing w:after="0" w:line="170"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83" w:lineRule="exact"/>
        <w:rPr>
          <w:rFonts w:ascii="Arial" w:cs="Arial" w:eastAsia="Arial" w:hAnsi="Arial"/>
          <w:sz w:val="18"/>
          <w:szCs w:val="18"/>
          <w:color w:val="auto"/>
        </w:rPr>
      </w:pPr>
    </w:p>
    <w:p>
      <w:pPr>
        <w:ind w:left="660" w:right="220" w:hanging="328"/>
        <w:spacing w:after="0" w:line="27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any of our obligations to pay additional amounts;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reducing the amount of principal of an original issue discount security or any other note payable upon acceleration of the maturity thereof;</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the currency in which any note or any premium or interest is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impairing the right to enforce any payment on or with respect to any note;</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adversely changing the right to convert or exchange, including decreasing the conversion rate or increasing the conversion price of, such note, if applicable;</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the subordinated indenture, modifying the subordination provisions in a manner adverse to the holders of the subordinated debt securities;</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debt securities are secured, changing the terms and conditions pursuant to which the debt securities are secured in a manner adverse to the holders of the secured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the requirements contained in the applicable indenture for quorum or voting;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any of our obligations to maintain an office or agency in the places and for the purposes required by the indentures;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modifying any of the above provisions set forth in this paragraph.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 w:name="page17"/>
    <w:bookmarkEnd w:id="16"/>
    <w:p>
      <w:pPr>
        <w:ind w:right="80"/>
        <w:spacing w:after="0" w:line="275"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7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Debt Securities</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 w:name="page18"/>
    <w:bookmarkEnd w:id="17"/>
    <w:p>
      <w:pPr>
        <w:ind w:right="120"/>
        <w:spacing w:after="0" w:line="308" w:lineRule="auto"/>
        <w:rPr>
          <w:sz w:val="20"/>
          <w:szCs w:val="20"/>
          <w:color w:val="auto"/>
        </w:rPr>
      </w:pPr>
      <w:r>
        <w:rPr>
          <w:rFonts w:ascii="Arial" w:cs="Arial" w:eastAsia="Arial" w:hAnsi="Arial"/>
          <w:sz w:val="17"/>
          <w:szCs w:val="17"/>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 WE MAY OFFER</w:t>
      </w:r>
    </w:p>
    <w:p>
      <w:pPr>
        <w:spacing w:after="0" w:line="229" w:lineRule="exact"/>
        <w:rPr>
          <w:sz w:val="20"/>
          <w:szCs w:val="20"/>
          <w:color w:val="auto"/>
        </w:rPr>
      </w:pPr>
    </w:p>
    <w:p>
      <w:pPr>
        <w:jc w:val="both"/>
        <w:ind w:right="640"/>
        <w:spacing w:after="0" w:line="342" w:lineRule="auto"/>
        <w:rPr>
          <w:sz w:val="20"/>
          <w:szCs w:val="20"/>
          <w:color w:val="auto"/>
        </w:rPr>
      </w:pPr>
      <w:r>
        <w:rPr>
          <w:rFonts w:ascii="Arial" w:cs="Arial" w:eastAsia="Arial" w:hAnsi="Arial"/>
          <w:sz w:val="16"/>
          <w:szCs w:val="16"/>
          <w:color w:val="auto"/>
        </w:rPr>
        <w:t>As of May 8, 2020, we had no warrants to purchase shares of our common stock outstanding. We typically issue warrants to purchase shares of our common stock to investors as part of a financing transaction, or in connection with services rendered by placement agents and outside consultants.</w:t>
      </w:r>
    </w:p>
    <w:p>
      <w:pPr>
        <w:spacing w:after="0" w:line="12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 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 Equity Warrants</w:t>
      </w:r>
    </w:p>
    <w:p>
      <w:pPr>
        <w:spacing w:after="0" w:line="16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18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securities for which the warrants are exercisable;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number of warrants issued with each share of preferred stock or share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applicable, the date on and after which the warrants and the related preferred stock or common stock will be separately transferable;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maximum or minimum number of warrants which may be exercised at any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exercise of the warrants;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22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14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or prices at which the debt warrants will be issued;</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aggregate principal amount and terms of the debt securities purchasable upon exercise of the debt warrants, and the procedures and conditions relating to the exercise of the debt warrants;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and terms of any related debt securities with which the debt warrants are issued, and the number of the debt warrants issued with each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the principal amount of the debt securities may be purchased upon exercise;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maximum or minimum number of the debt warrants that may be exercised at any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or adjustments in the exercise price of the debt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the exercise of the debt warrants;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terms of the debt warrants and terms, procedures and limitations relating to the exercise of the debt warrants.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right="40"/>
        <w:spacing w:after="0" w:line="255" w:lineRule="auto"/>
        <w:rPr>
          <w:sz w:val="20"/>
          <w:szCs w:val="20"/>
          <w:color w:val="auto"/>
        </w:rPr>
      </w:pPr>
      <w:r>
        <w:rPr>
          <w:rFonts w:ascii="Arial" w:cs="Arial" w:eastAsia="Arial" w:hAnsi="Arial"/>
          <w:sz w:val="18"/>
          <w:szCs w:val="18"/>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 WE MAY OFFER</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w:t>
      </w:r>
    </w:p>
    <w:p>
      <w:pPr>
        <w:spacing w:after="0" w:line="225" w:lineRule="exact"/>
        <w:rPr>
          <w:sz w:val="20"/>
          <w:szCs w:val="20"/>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8"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offered securities from time to time.</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or through broker-dealers (acting as agent or principal);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or otherwise;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will describe the terms of the offering of the securities, including:</w:t>
      </w:r>
    </w:p>
    <w:p>
      <w:pPr>
        <w:spacing w:after="0" w:line="170" w:lineRule="exact"/>
        <w:rPr>
          <w:sz w:val="20"/>
          <w:szCs w:val="20"/>
          <w:color w:val="auto"/>
        </w:rPr>
      </w:pPr>
    </w:p>
    <w:p>
      <w:pPr>
        <w:ind w:left="660" w:right="1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 and the amount of shares underwritten or purchased by each of them;</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purchase price or other consideration to be paid in connection with the sale of the securities being offered and the proceeds we will receive from the sale;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fixed price or prices, which may be changed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1" w:name="page22"/>
    <w:bookmarkEnd w:id="21"/>
    <w:p>
      <w:pPr>
        <w:ind w:right="12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9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19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6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underwriters, dealers and agents may engage in other transactions with us, or perform other services for us, in the ordinary course of their business. We will describe such relationships in the prospectus supplement naming the underwriter and the nature of any such relationship.</w:t>
      </w: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14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2019, as filed with the SEC on March 16,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2020, as filed with the SEC on May 8, 2020;</w:t>
      </w:r>
    </w:p>
    <w:p>
      <w:pPr>
        <w:spacing w:after="0" w:line="225"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Current Reports on Form 8-K, as filed with the SEC on January 10, 2020, March 4, 2020, March 11, 2020, March 27, 2020, April 17, 2020, April 21, 2020, and May 7, 2020, (in each case, except for information contained therein which is furnished rather than filed);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description of our common stock set forth in the Form 8-K12B filed on June 18, 2019.</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right="100"/>
        <w:spacing w:after="0" w:line="301"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5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4" w:name="page25"/>
    <w:bookmarkEnd w:id="24"/>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226060</wp:posOffset>
            </wp:positionV>
            <wp:extent cx="2040255" cy="685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040255" cy="6858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$200,000,000</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8, 2020</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the sale of the common stock being registered hereunder. All of the amounts shown shall be paid by us and are estimates except for the SEC registration fee, which was previously paid.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Printing and Related Expenses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Transfer Agent and Trustee Fees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The amount of securities and number of offerings are indeterminable and the expenses cannot be estimated at this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incorporated under the laws of the state of Delaware. Section 145(a) of the Delaware General Corporation Law, or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was serving at the request of the corporation as a director, officer, employee or agent of another corporation, joint venture, trust or other enterprise,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indemnity for such expenses which the court shall deem proper.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Further subsections of DGCL Section 145 provide that:</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(1)to the extent a present or former director or officer of a corporation has been successful on the merits or otherwise in the defense of any action, suit or proceeding referred to in subsections (a) and (b) of Section 145 or in the defense of any claim, issue or matter therein, such person shall be indemnified against expenses, including attorneys’ fees, actually and reasonably incurred by such person in connection therewith;</w:t>
      </w: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6" w:name="page27"/>
    <w:bookmarkEnd w:id="26"/>
    <w:p>
      <w:pPr>
        <w:ind w:firstLine="8"/>
        <w:spacing w:after="0" w:line="263"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w:t>
      </w:r>
    </w:p>
    <w:p>
      <w:pPr>
        <w:spacing w:after="0" w:line="183" w:lineRule="exact"/>
        <w:rPr>
          <w:rFonts w:ascii="Arial" w:cs="Arial" w:eastAsia="Arial" w:hAnsi="Arial"/>
          <w:sz w:val="18"/>
          <w:szCs w:val="18"/>
          <w:color w:val="auto"/>
        </w:rPr>
      </w:pPr>
    </w:p>
    <w:p>
      <w:pPr>
        <w:ind w:right="80" w:firstLine="8"/>
        <w:spacing w:after="0" w:line="301"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5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Section 145 of the DGCL makes provision for the indemnification of officers and directors in terms sufficiently broad to indemnify our officers and directors under certain circumstances from liabilities (including reimbursement for expenses incurred) arising under the Securities Act of 1933. Our bylaws provide, in effect, that, to the fullest extent and under the circumstances permitted by Section 145 of the DGCL, we will indemnify any person (and the estate of any person) who was or is a party or is threatened to be made a party to any threatened, pending or completed action, suit or proceeding, whether civil, criminal, administrative or investigative, by reason of the fact that he or she is or was a director or officer of our company or is or was serving at our request as a director or officer of another corporation or enterprise. We may, in our discretion, similarly indemnify its employees and agents.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indemnification agreements with our officers and directors.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certificate of incorporation relieves our directors from monetary damages to us or our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w:t>
      </w:r>
    </w:p>
    <w:p>
      <w:pPr>
        <w:spacing w:after="0" w:line="2" w:lineRule="exact"/>
        <w:rPr>
          <w:sz w:val="20"/>
          <w:szCs w:val="20"/>
          <w:color w:val="auto"/>
        </w:rPr>
      </w:pPr>
    </w:p>
    <w:p>
      <w:pPr>
        <w:ind w:right="40" w:firstLine="8"/>
        <w:spacing w:after="0" w:line="255"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for willful or negligent violations of certain provisions in the DGCL imposing certain requirements with respect to stock repurchases, redemptions and dividends, or (iv) for any transactions from which the director derived an improper personal benefit.</w:t>
      </w:r>
    </w:p>
    <w:p>
      <w:pPr>
        <w:spacing w:after="0" w:line="1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currently maintain an insurance policy which, within the limits and subject to the terms and conditions thereof, covers certain expenses and liabilities that may be incurred by directors and officers in connection with proceedings that may be brought against them as a result of an act or omission committed or suffered while acting as a director or officer of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attached to this registration statement and incorporated herein by this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right="20" w:firstLine="980"/>
        <w:spacing w:after="0" w:line="293" w:lineRule="auto"/>
        <w:tabs>
          <w:tab w:leader="none" w:pos="1237" w:val="left"/>
        </w:tabs>
        <w:numPr>
          <w:ilvl w:val="2"/>
          <w:numId w:val="2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ind w:right="160" w:firstLine="980"/>
        <w:spacing w:after="0" w:line="277" w:lineRule="auto"/>
        <w:tabs>
          <w:tab w:leader="none" w:pos="12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7" w:lineRule="exact"/>
        <w:rPr>
          <w:sz w:val="20"/>
          <w:szCs w:val="20"/>
          <w:color w:val="auto"/>
        </w:rPr>
      </w:pPr>
    </w:p>
    <w:p>
      <w:pPr>
        <w:ind w:right="40" w:firstLine="656"/>
        <w:spacing w:after="0" w:line="263" w:lineRule="auto"/>
        <w:tabs>
          <w:tab w:leader="none" w:pos="9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right="600" w:firstLine="656"/>
        <w:spacing w:after="0" w:line="277" w:lineRule="auto"/>
        <w:tabs>
          <w:tab w:leader="none" w:pos="9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firstLine="980"/>
        <w:spacing w:after="0" w:line="277" w:lineRule="auto"/>
        <w:tabs>
          <w:tab w:leader="none" w:pos="11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right="80" w:firstLine="980"/>
        <w:spacing w:after="0" w:line="269" w:lineRule="auto"/>
        <w:tabs>
          <w:tab w:leader="none" w:pos="1237" w:val="left"/>
        </w:tabs>
        <w:numPr>
          <w:ilvl w:val="1"/>
          <w:numId w:val="27"/>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1" w:lineRule="exact"/>
        <w:rPr>
          <w:rFonts w:ascii="Arial" w:cs="Arial" w:eastAsia="Arial" w:hAnsi="Arial"/>
          <w:sz w:val="17"/>
          <w:szCs w:val="17"/>
          <w:color w:val="auto"/>
        </w:rPr>
      </w:pPr>
    </w:p>
    <w:p>
      <w:pPr>
        <w:ind w:firstLine="656"/>
        <w:spacing w:after="0" w:line="279" w:lineRule="auto"/>
        <w:tabs>
          <w:tab w:leader="none" w:pos="90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1" w:lineRule="exact"/>
        <w:rPr>
          <w:rFonts w:ascii="Arial" w:cs="Arial" w:eastAsia="Arial" w:hAnsi="Arial"/>
          <w:sz w:val="17"/>
          <w:szCs w:val="17"/>
          <w:color w:val="auto"/>
        </w:rPr>
      </w:pPr>
    </w:p>
    <w:p>
      <w:pPr>
        <w:ind w:left="1200" w:hanging="220"/>
        <w:spacing w:after="0"/>
        <w:tabs>
          <w:tab w:leader="none" w:pos="12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right="280" w:firstLine="980"/>
        <w:spacing w:after="0" w:line="277" w:lineRule="auto"/>
        <w:tabs>
          <w:tab w:leader="none" w:pos="1237"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60" w:firstLine="980"/>
        <w:spacing w:after="0" w:line="277" w:lineRule="auto"/>
        <w:tabs>
          <w:tab w:leader="none" w:pos="12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280" w:hanging="300"/>
        <w:spacing w:after="0"/>
        <w:tabs>
          <w:tab w:leader="none" w:pos="1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8" w:name="page29"/>
    <w:bookmarkEnd w:id="28"/>
    <w:p>
      <w:pPr>
        <w:ind w:right="20" w:firstLine="332"/>
        <w:spacing w:after="0" w:line="257" w:lineRule="auto"/>
        <w:tabs>
          <w:tab w:leader="none" w:pos="5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firstLine="332"/>
        <w:spacing w:after="0" w:line="271" w:lineRule="auto"/>
        <w:tabs>
          <w:tab w:leader="none" w:pos="5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described in Item 15,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any registrant in the successful defense of any action, suit or proceeding) is asserted by such director, officer or controlling person in connection with the securities being registered, each appropriate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right="60" w:firstLine="332"/>
        <w:spacing w:after="0" w:line="263" w:lineRule="auto"/>
        <w:tabs>
          <w:tab w:leader="none" w:pos="5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registrants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8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160" w:type="dxa"/>
            <w:vAlign w:val="bottom"/>
            <w:tcBorders>
              <w:bottom w:val="single" w:sz="8" w:color="auto"/>
            </w:tcBorders>
          </w:tcPr>
          <w:p>
            <w:pPr>
              <w:spacing w:after="0"/>
              <w:rPr>
                <w:sz w:val="18"/>
                <w:szCs w:val="18"/>
                <w:color w:val="auto"/>
              </w:rPr>
            </w:pPr>
          </w:p>
        </w:tc>
        <w:tc>
          <w:tcPr>
            <w:tcW w:w="10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Exhibit</w:t>
            </w:r>
          </w:p>
        </w:tc>
        <w:tc>
          <w:tcPr>
            <w:tcW w:w="10080" w:type="dxa"/>
            <w:vAlign w:val="bottom"/>
            <w:vMerge w:val="restart"/>
          </w:tcPr>
          <w:p>
            <w:pPr>
              <w:ind w:left="20"/>
              <w:spacing w:after="0"/>
              <w:rPr>
                <w:sz w:val="20"/>
                <w:szCs w:val="20"/>
                <w:color w:val="auto"/>
              </w:rPr>
            </w:pPr>
            <w:r>
              <w:rPr>
                <w:rFonts w:ascii="Arial" w:cs="Arial" w:eastAsia="Arial" w:hAnsi="Arial"/>
                <w:sz w:val="18"/>
                <w:szCs w:val="18"/>
                <w:color w:val="auto"/>
              </w:rPr>
              <w:t>Exhibit</w:t>
            </w: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Number</w:t>
            </w: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vMerge w:val="continue"/>
          </w:tcPr>
          <w:p>
            <w:pPr>
              <w:spacing w:after="0"/>
              <w:rPr>
                <w:sz w:val="9"/>
                <w:szCs w:val="9"/>
                <w:color w:val="auto"/>
              </w:rPr>
            </w:pPr>
          </w:p>
        </w:tc>
        <w:tc>
          <w:tcPr>
            <w:tcW w:w="10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10080" w:type="dxa"/>
            <w:vAlign w:val="bottom"/>
          </w:tcPr>
          <w:p>
            <w:pPr>
              <w:ind w:left="2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0080" w:type="dxa"/>
            <w:vAlign w:val="bottom"/>
          </w:tcPr>
          <w:p>
            <w:pPr>
              <w:ind w:lef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Certificate of Incorporation of Arcturus Therapeutics Holdings Inc.</w:t>
              </w:r>
            </w:hyperlink>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3.2+</w:t>
            </w:r>
          </w:p>
        </w:tc>
        <w:tc>
          <w:tcPr>
            <w:tcW w:w="10080" w:type="dxa"/>
            <w:vAlign w:val="bottom"/>
          </w:tcPr>
          <w:p>
            <w:pPr>
              <w:ind w:left="20"/>
              <w:spacing w:after="0"/>
              <w:rPr>
                <w:rFonts w:ascii="Arial" w:cs="Arial" w:eastAsia="Arial" w:hAnsi="Arial"/>
                <w:sz w:val="18"/>
                <w:szCs w:val="18"/>
                <w:color w:val="0000EE"/>
              </w:rPr>
            </w:pPr>
            <w:hyperlink w:anchor="page36">
              <w:r>
                <w:rPr>
                  <w:rFonts w:ascii="Arial" w:cs="Arial" w:eastAsia="Arial" w:hAnsi="Arial"/>
                  <w:sz w:val="18"/>
                  <w:szCs w:val="18"/>
                  <w:u w:val="single" w:color="auto"/>
                  <w:color w:val="0000EE"/>
                </w:rPr>
                <w:t>Bylaws of Arcturus Therapeutics Holdings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4.4*</w:t>
            </w:r>
          </w:p>
        </w:tc>
        <w:tc>
          <w:tcPr>
            <w:tcW w:w="10080" w:type="dxa"/>
            <w:vAlign w:val="bottom"/>
          </w:tcPr>
          <w:p>
            <w:pPr>
              <w:ind w:left="20"/>
              <w:spacing w:after="0"/>
              <w:rPr>
                <w:sz w:val="20"/>
                <w:szCs w:val="20"/>
                <w:color w:val="auto"/>
              </w:rPr>
            </w:pPr>
            <w:r>
              <w:rPr>
                <w:rFonts w:ascii="Arial" w:cs="Arial" w:eastAsia="Arial" w:hAnsi="Arial"/>
                <w:sz w:val="18"/>
                <w:szCs w:val="18"/>
                <w:color w:val="auto"/>
              </w:rPr>
              <w:t>Form of Subordinated Debt Securities Indenture</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4.5*</w:t>
            </w:r>
          </w:p>
        </w:tc>
        <w:tc>
          <w:tcPr>
            <w:tcW w:w="10080" w:type="dxa"/>
            <w:vAlign w:val="bottom"/>
          </w:tcPr>
          <w:p>
            <w:pPr>
              <w:ind w:left="20"/>
              <w:spacing w:after="0"/>
              <w:rPr>
                <w:sz w:val="20"/>
                <w:szCs w:val="20"/>
                <w:color w:val="auto"/>
              </w:rPr>
            </w:pPr>
            <w:r>
              <w:rPr>
                <w:rFonts w:ascii="Arial" w:cs="Arial" w:eastAsia="Arial" w:hAnsi="Arial"/>
                <w:sz w:val="18"/>
                <w:szCs w:val="18"/>
                <w:color w:val="auto"/>
              </w:rPr>
              <w:t>Form of Senior Debt Securities Indenture</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4.6*</w:t>
            </w:r>
          </w:p>
        </w:tc>
        <w:tc>
          <w:tcPr>
            <w:tcW w:w="10080" w:type="dxa"/>
            <w:vAlign w:val="bottom"/>
          </w:tcPr>
          <w:p>
            <w:pPr>
              <w:ind w:left="20"/>
              <w:spacing w:after="0"/>
              <w:rPr>
                <w:sz w:val="20"/>
                <w:szCs w:val="20"/>
                <w:color w:val="auto"/>
              </w:rPr>
            </w:pPr>
            <w:r>
              <w:rPr>
                <w:rFonts w:ascii="Arial" w:cs="Arial" w:eastAsia="Arial" w:hAnsi="Arial"/>
                <w:sz w:val="18"/>
                <w:szCs w:val="18"/>
                <w:color w:val="auto"/>
              </w:rPr>
              <w:t>Form of Warrant Certificate</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4.7*</w:t>
            </w:r>
          </w:p>
        </w:tc>
        <w:tc>
          <w:tcPr>
            <w:tcW w:w="10080" w:type="dxa"/>
            <w:vAlign w:val="bottom"/>
          </w:tcPr>
          <w:p>
            <w:pPr>
              <w:ind w:left="20"/>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4.8*</w:t>
            </w:r>
          </w:p>
        </w:tc>
        <w:tc>
          <w:tcPr>
            <w:tcW w:w="10080" w:type="dxa"/>
            <w:vAlign w:val="bottom"/>
          </w:tcPr>
          <w:p>
            <w:pPr>
              <w:ind w:left="20"/>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4.9+</w:t>
            </w:r>
          </w:p>
        </w:tc>
        <w:tc>
          <w:tcPr>
            <w:tcW w:w="10080" w:type="dxa"/>
            <w:vAlign w:val="bottom"/>
          </w:tcPr>
          <w:p>
            <w:pPr>
              <w:ind w:left="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Form of Indenture</w:t>
              </w:r>
            </w:hyperlink>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5.1+</w:t>
            </w:r>
          </w:p>
        </w:tc>
        <w:tc>
          <w:tcPr>
            <w:tcW w:w="10080" w:type="dxa"/>
            <w:vAlign w:val="bottom"/>
          </w:tcPr>
          <w:p>
            <w:pPr>
              <w:ind w:left="2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Opinion of Dentons US LLP</w:t>
              </w:r>
            </w:hyperlink>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23.1+</w:t>
            </w:r>
          </w:p>
        </w:tc>
        <w:tc>
          <w:tcPr>
            <w:tcW w:w="10080" w:type="dxa"/>
            <w:vAlign w:val="bottom"/>
          </w:tcPr>
          <w:p>
            <w:pPr>
              <w:ind w:left="2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Consent of Independent Registered Public Accounting Firm (E&amp;Y)</w:t>
              </w:r>
            </w:hyperlink>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23.2+</w:t>
            </w:r>
          </w:p>
        </w:tc>
        <w:tc>
          <w:tcPr>
            <w:tcW w:w="10080" w:type="dxa"/>
            <w:vAlign w:val="bottom"/>
          </w:tcPr>
          <w:p>
            <w:pPr>
              <w:ind w:left="2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Consent of Dentons US LLP (contained in Exhibit 5.1.)</w:t>
              </w:r>
            </w:hyperlink>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24.1+</w:t>
            </w:r>
          </w:p>
        </w:tc>
        <w:tc>
          <w:tcPr>
            <w:tcW w:w="10080" w:type="dxa"/>
            <w:vAlign w:val="bottom"/>
          </w:tcPr>
          <w:p>
            <w:pPr>
              <w:ind w:left="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Power of Attorney.</w:t>
              </w:r>
            </w:hyperlink>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25.l†</w:t>
            </w:r>
          </w:p>
        </w:tc>
        <w:tc>
          <w:tcPr>
            <w:tcW w:w="10080" w:type="dxa"/>
            <w:vAlign w:val="bottom"/>
          </w:tcPr>
          <w:p>
            <w:pPr>
              <w:ind w:left="20"/>
              <w:spacing w:after="0"/>
              <w:rPr>
                <w:sz w:val="20"/>
                <w:szCs w:val="20"/>
                <w:color w:val="auto"/>
              </w:rPr>
            </w:pPr>
            <w:r>
              <w:rPr>
                <w:rFonts w:ascii="Arial" w:cs="Arial" w:eastAsia="Arial" w:hAnsi="Arial"/>
                <w:sz w:val="18"/>
                <w:szCs w:val="18"/>
                <w:color w:val="auto"/>
              </w:rPr>
              <w:t>Form T-l Statement of Eligibility and Qualification of the Trustee under the Indenture with respect to the debt securities.</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right w:val="single" w:sz="8" w:color="auto"/>
            </w:tcBorders>
          </w:tcPr>
          <w:p>
            <w:pPr>
              <w:spacing w:after="0"/>
              <w:rPr>
                <w:sz w:val="2"/>
                <w:szCs w:val="2"/>
                <w:color w:val="auto"/>
              </w:rPr>
            </w:pPr>
          </w:p>
        </w:tc>
        <w:tc>
          <w:tcPr>
            <w:tcW w:w="10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-2845435</wp:posOffset>
            </wp:positionV>
            <wp:extent cx="7132320" cy="33858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3858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ind w:left="180" w:hanging="13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be filed by amendment hereto or pursuant to a Current Report on Form 8-K to be incorporated herein by reference.</w:t>
      </w:r>
    </w:p>
    <w:p>
      <w:pPr>
        <w:spacing w:after="0" w:line="76"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To be filed by amendment or pursuant to Trust Indenture Act Section 305(b)(2), if applicable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May 8, 2020.</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ARCTURUS THERAPEUTICS HOLDINGS,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Joseph E. Payne and Dr.</w:t>
      </w:r>
      <w:r>
        <w:rPr>
          <w:rFonts w:ascii="Arial" w:cs="Arial" w:eastAsia="Arial" w:hAnsi="Arial"/>
          <w:sz w:val="18"/>
          <w:szCs w:val="18"/>
          <w:b w:val="1"/>
          <w:bCs w:val="1"/>
          <w:color w:val="auto"/>
        </w:rPr>
        <w:t xml:space="preserve"> </w:t>
      </w:r>
      <w:r>
        <w:rPr>
          <w:rFonts w:ascii="Arial" w:cs="Arial" w:eastAsia="Arial" w:hAnsi="Arial"/>
          <w:sz w:val="18"/>
          <w:szCs w:val="18"/>
          <w:color w:val="auto"/>
        </w:rPr>
        <w:t>Padmanabh Chivukula, and each of them acting individually, as his or her true and lawful attorneys- in-fact and agent, with full power of each to act alone, with full powers of substitution and resubstitution, for him or her and in his or her name, place and stead, in any and all capacities, to sign any and all amendments to this registration statement (including post-effective amendments and any registration statement for the same offering that is to be effective under Rule 462(b) of the Securities Act), and to file the same with all exhibits thereto, and other documents in connection therewith, with the Securities and Exchange Commission, granting unto said attorneys-in-fact and agents, and full power and authority to do and perform each and every act and thing requisite and necessary to be done in connection therewith, as fully for all intents and purposes as he or she might or could do in person, hereby ratifying and confirming that all said attorneys-in-fact and agents, or any of them or their substitute or resubstitute, may lawfully do or cause to be done by virtue hereof.</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3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1"/>
              </w:rPr>
              <w:t>Title</w:t>
            </w:r>
          </w:p>
        </w:tc>
        <w:tc>
          <w:tcPr>
            <w:tcW w:w="21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E. Payne</w:t>
            </w:r>
          </w:p>
        </w:tc>
        <w:tc>
          <w:tcPr>
            <w:tcW w:w="5320" w:type="dxa"/>
            <w:vAlign w:val="bottom"/>
          </w:tcPr>
          <w:p>
            <w:pPr>
              <w:jc w:val="center"/>
              <w:ind w:left="130"/>
              <w:spacing w:after="0"/>
              <w:rPr>
                <w:sz w:val="20"/>
                <w:szCs w:val="20"/>
                <w:color w:val="auto"/>
              </w:rPr>
            </w:pPr>
            <w:r>
              <w:rPr>
                <w:rFonts w:ascii="Arial" w:cs="Arial" w:eastAsia="Arial" w:hAnsi="Arial"/>
                <w:sz w:val="18"/>
                <w:szCs w:val="18"/>
                <w:color w:val="auto"/>
                <w:w w:val="91"/>
              </w:rPr>
              <w:t>President, Chief Executive Officer and Director</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0"/>
              </w:rPr>
              <w:t>May 8, 2020</w:t>
            </w:r>
          </w:p>
        </w:tc>
      </w:tr>
      <w:tr>
        <w:trPr>
          <w:trHeight w:val="224"/>
        </w:trPr>
        <w:tc>
          <w:tcPr>
            <w:tcW w:w="3800" w:type="dxa"/>
            <w:vAlign w:val="bottom"/>
          </w:tcPr>
          <w:p>
            <w:pPr>
              <w:jc w:val="center"/>
              <w:spacing w:after="0"/>
              <w:rPr>
                <w:sz w:val="20"/>
                <w:szCs w:val="20"/>
                <w:color w:val="auto"/>
              </w:rPr>
            </w:pPr>
            <w:r>
              <w:rPr>
                <w:rFonts w:ascii="Arial" w:cs="Arial" w:eastAsia="Arial" w:hAnsi="Arial"/>
                <w:sz w:val="18"/>
                <w:szCs w:val="18"/>
                <w:color w:val="auto"/>
                <w:w w:val="86"/>
              </w:rPr>
              <w:t>Joseph E. Payne</w:t>
            </w:r>
          </w:p>
        </w:tc>
        <w:tc>
          <w:tcPr>
            <w:tcW w:w="5320" w:type="dxa"/>
            <w:vAlign w:val="bottom"/>
          </w:tcPr>
          <w:p>
            <w:pPr>
              <w:jc w:val="center"/>
              <w:ind w:left="13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12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Dr. Padmanabh Chivukula</w:t>
            </w:r>
          </w:p>
        </w:tc>
        <w:tc>
          <w:tcPr>
            <w:tcW w:w="5320" w:type="dxa"/>
            <w:vAlign w:val="bottom"/>
          </w:tcPr>
          <w:p>
            <w:pPr>
              <w:jc w:val="center"/>
              <w:ind w:left="130"/>
              <w:spacing w:after="0"/>
              <w:rPr>
                <w:sz w:val="20"/>
                <w:szCs w:val="20"/>
                <w:color w:val="auto"/>
              </w:rPr>
            </w:pPr>
            <w:r>
              <w:rPr>
                <w:rFonts w:ascii="Arial" w:cs="Arial" w:eastAsia="Arial" w:hAnsi="Arial"/>
                <w:sz w:val="18"/>
                <w:szCs w:val="18"/>
                <w:color w:val="auto"/>
                <w:w w:val="95"/>
              </w:rPr>
              <w:t>Chief Scientific Officer,</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0"/>
              </w:rPr>
              <w:t>May 8, 2020</w:t>
            </w:r>
          </w:p>
        </w:tc>
      </w:tr>
      <w:tr>
        <w:trPr>
          <w:trHeight w:val="224"/>
        </w:trPr>
        <w:tc>
          <w:tcPr>
            <w:tcW w:w="3800" w:type="dxa"/>
            <w:vAlign w:val="bottom"/>
          </w:tcPr>
          <w:p>
            <w:pPr>
              <w:jc w:val="center"/>
              <w:spacing w:after="0"/>
              <w:rPr>
                <w:sz w:val="20"/>
                <w:szCs w:val="20"/>
                <w:color w:val="auto"/>
              </w:rPr>
            </w:pPr>
            <w:r>
              <w:rPr>
                <w:rFonts w:ascii="Arial" w:cs="Arial" w:eastAsia="Arial" w:hAnsi="Arial"/>
                <w:sz w:val="18"/>
                <w:szCs w:val="18"/>
                <w:color w:val="auto"/>
                <w:w w:val="90"/>
              </w:rPr>
              <w:t>Dr. Padmanabh Chivukula</w:t>
            </w:r>
          </w:p>
        </w:tc>
        <w:tc>
          <w:tcPr>
            <w:tcW w:w="5320" w:type="dxa"/>
            <w:vAlign w:val="bottom"/>
          </w:tcPr>
          <w:p>
            <w:pPr>
              <w:jc w:val="center"/>
              <w:ind w:left="130"/>
              <w:spacing w:after="0"/>
              <w:rPr>
                <w:sz w:val="20"/>
                <w:szCs w:val="20"/>
                <w:color w:val="auto"/>
              </w:rPr>
            </w:pPr>
            <w:r>
              <w:rPr>
                <w:rFonts w:ascii="Arial" w:cs="Arial" w:eastAsia="Arial" w:hAnsi="Arial"/>
                <w:sz w:val="18"/>
                <w:szCs w:val="18"/>
                <w:color w:val="auto"/>
                <w:w w:val="90"/>
              </w:rPr>
              <w:t>Chief Operating Officer and Secretary</w:t>
            </w:r>
          </w:p>
        </w:tc>
        <w:tc>
          <w:tcPr>
            <w:tcW w:w="212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Dr. Peter Farrell</w:t>
            </w:r>
          </w:p>
        </w:tc>
        <w:tc>
          <w:tcPr>
            <w:tcW w:w="5320" w:type="dxa"/>
            <w:vAlign w:val="bottom"/>
          </w:tcPr>
          <w:p>
            <w:pPr>
              <w:jc w:val="center"/>
              <w:ind w:left="130"/>
              <w:spacing w:after="0"/>
              <w:rPr>
                <w:sz w:val="20"/>
                <w:szCs w:val="20"/>
                <w:color w:val="auto"/>
              </w:rPr>
            </w:pPr>
            <w:r>
              <w:rPr>
                <w:rFonts w:ascii="Arial" w:cs="Arial" w:eastAsia="Arial" w:hAnsi="Arial"/>
                <w:sz w:val="18"/>
                <w:szCs w:val="18"/>
                <w:color w:val="auto"/>
                <w:w w:val="91"/>
              </w:rPr>
              <w:t>Chairman of the Board</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0"/>
              </w:rPr>
              <w:t>May 8, 2020</w:t>
            </w:r>
          </w:p>
        </w:tc>
      </w:tr>
      <w:tr>
        <w:trPr>
          <w:trHeight w:val="224"/>
        </w:trPr>
        <w:tc>
          <w:tcPr>
            <w:tcW w:w="3800" w:type="dxa"/>
            <w:vAlign w:val="bottom"/>
          </w:tcPr>
          <w:p>
            <w:pPr>
              <w:jc w:val="center"/>
              <w:spacing w:after="0"/>
              <w:rPr>
                <w:sz w:val="20"/>
                <w:szCs w:val="20"/>
                <w:color w:val="auto"/>
              </w:rPr>
            </w:pPr>
            <w:r>
              <w:rPr>
                <w:rFonts w:ascii="Arial" w:cs="Arial" w:eastAsia="Arial" w:hAnsi="Arial"/>
                <w:sz w:val="18"/>
                <w:szCs w:val="18"/>
                <w:color w:val="auto"/>
                <w:w w:val="90"/>
              </w:rPr>
              <w:t>Dr. Peter Farrell</w:t>
            </w:r>
          </w:p>
        </w:tc>
        <w:tc>
          <w:tcPr>
            <w:tcW w:w="53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Sassine</w:t>
            </w:r>
          </w:p>
        </w:tc>
        <w:tc>
          <w:tcPr>
            <w:tcW w:w="5320" w:type="dxa"/>
            <w:vAlign w:val="bottom"/>
          </w:tcPr>
          <w:p>
            <w:pPr>
              <w:jc w:val="center"/>
              <w:ind w:left="130"/>
              <w:spacing w:after="0"/>
              <w:rPr>
                <w:sz w:val="20"/>
                <w:szCs w:val="20"/>
                <w:color w:val="auto"/>
              </w:rPr>
            </w:pPr>
            <w:r>
              <w:rPr>
                <w:rFonts w:ascii="Arial" w:cs="Arial" w:eastAsia="Arial" w:hAnsi="Arial"/>
                <w:sz w:val="18"/>
                <w:szCs w:val="18"/>
                <w:color w:val="auto"/>
                <w:w w:val="93"/>
              </w:rPr>
              <w:t>Chief Financial Officer and Director</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0"/>
              </w:rPr>
              <w:t>May 8, 2020</w:t>
            </w:r>
          </w:p>
        </w:tc>
      </w:tr>
      <w:tr>
        <w:trPr>
          <w:trHeight w:val="224"/>
        </w:trPr>
        <w:tc>
          <w:tcPr>
            <w:tcW w:w="3800" w:type="dxa"/>
            <w:vAlign w:val="bottom"/>
          </w:tcPr>
          <w:p>
            <w:pPr>
              <w:jc w:val="center"/>
              <w:spacing w:after="0"/>
              <w:rPr>
                <w:sz w:val="20"/>
                <w:szCs w:val="20"/>
                <w:color w:val="auto"/>
              </w:rPr>
            </w:pPr>
            <w:r>
              <w:rPr>
                <w:rFonts w:ascii="Arial" w:cs="Arial" w:eastAsia="Arial" w:hAnsi="Arial"/>
                <w:sz w:val="18"/>
                <w:szCs w:val="18"/>
                <w:color w:val="auto"/>
                <w:w w:val="89"/>
              </w:rPr>
              <w:t>Andrew Sassine</w:t>
            </w:r>
          </w:p>
        </w:tc>
        <w:tc>
          <w:tcPr>
            <w:tcW w:w="5320" w:type="dxa"/>
            <w:vAlign w:val="bottom"/>
          </w:tcPr>
          <w:p>
            <w:pPr>
              <w:jc w:val="center"/>
              <w:ind w:left="13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212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Dr. Magda Marquet</w:t>
            </w:r>
          </w:p>
        </w:tc>
        <w:tc>
          <w:tcPr>
            <w:tcW w:w="532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0"/>
              </w:rPr>
              <w:t>May 8, 2020</w:t>
            </w:r>
          </w:p>
        </w:tc>
      </w:tr>
      <w:tr>
        <w:trPr>
          <w:trHeight w:val="224"/>
        </w:trPr>
        <w:tc>
          <w:tcPr>
            <w:tcW w:w="3800" w:type="dxa"/>
            <w:vAlign w:val="bottom"/>
          </w:tcPr>
          <w:p>
            <w:pPr>
              <w:jc w:val="center"/>
              <w:spacing w:after="0"/>
              <w:rPr>
                <w:sz w:val="20"/>
                <w:szCs w:val="20"/>
                <w:color w:val="auto"/>
              </w:rPr>
            </w:pPr>
            <w:r>
              <w:rPr>
                <w:rFonts w:ascii="Arial" w:cs="Arial" w:eastAsia="Arial" w:hAnsi="Arial"/>
                <w:sz w:val="18"/>
                <w:szCs w:val="18"/>
                <w:color w:val="auto"/>
                <w:w w:val="91"/>
              </w:rPr>
              <w:t>Dr. Magda Marquet</w:t>
            </w:r>
          </w:p>
        </w:tc>
        <w:tc>
          <w:tcPr>
            <w:tcW w:w="53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Barlow</w:t>
            </w:r>
          </w:p>
        </w:tc>
        <w:tc>
          <w:tcPr>
            <w:tcW w:w="532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0"/>
              </w:rPr>
              <w:t>May 8, 2020</w:t>
            </w:r>
          </w:p>
        </w:tc>
      </w:tr>
      <w:tr>
        <w:trPr>
          <w:trHeight w:val="224"/>
        </w:trPr>
        <w:tc>
          <w:tcPr>
            <w:tcW w:w="3800" w:type="dxa"/>
            <w:vAlign w:val="bottom"/>
          </w:tcPr>
          <w:p>
            <w:pPr>
              <w:jc w:val="center"/>
              <w:spacing w:after="0"/>
              <w:rPr>
                <w:sz w:val="20"/>
                <w:szCs w:val="20"/>
                <w:color w:val="auto"/>
              </w:rPr>
            </w:pPr>
            <w:r>
              <w:rPr>
                <w:rFonts w:ascii="Arial" w:cs="Arial" w:eastAsia="Arial" w:hAnsi="Arial"/>
                <w:sz w:val="18"/>
                <w:szCs w:val="18"/>
                <w:color w:val="auto"/>
                <w:w w:val="90"/>
              </w:rPr>
              <w:t>James Barlow</w:t>
            </w:r>
          </w:p>
        </w:tc>
        <w:tc>
          <w:tcPr>
            <w:tcW w:w="53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Karah Parschauer</w:t>
            </w:r>
          </w:p>
        </w:tc>
        <w:tc>
          <w:tcPr>
            <w:tcW w:w="532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0"/>
              </w:rPr>
              <w:t>May 8, 2020</w:t>
            </w:r>
          </w:p>
        </w:tc>
      </w:tr>
      <w:tr>
        <w:trPr>
          <w:trHeight w:val="224"/>
        </w:trPr>
        <w:tc>
          <w:tcPr>
            <w:tcW w:w="3800" w:type="dxa"/>
            <w:vAlign w:val="bottom"/>
          </w:tcPr>
          <w:p>
            <w:pPr>
              <w:jc w:val="center"/>
              <w:spacing w:after="0"/>
              <w:rPr>
                <w:sz w:val="20"/>
                <w:szCs w:val="20"/>
                <w:color w:val="auto"/>
              </w:rPr>
            </w:pPr>
            <w:r>
              <w:rPr>
                <w:rFonts w:ascii="Arial" w:cs="Arial" w:eastAsia="Arial" w:hAnsi="Arial"/>
                <w:sz w:val="18"/>
                <w:szCs w:val="18"/>
                <w:color w:val="auto"/>
                <w:w w:val="88"/>
              </w:rPr>
              <w:t>Karah Parschauer</w:t>
            </w:r>
          </w:p>
        </w:tc>
        <w:tc>
          <w:tcPr>
            <w:tcW w:w="53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Dr. Edward W. Holmes</w:t>
            </w:r>
          </w:p>
        </w:tc>
        <w:tc>
          <w:tcPr>
            <w:tcW w:w="532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0"/>
              </w:rPr>
              <w:t>May 8, 2020</w:t>
            </w:r>
          </w:p>
        </w:tc>
      </w:tr>
      <w:tr>
        <w:trPr>
          <w:trHeight w:val="224"/>
        </w:trPr>
        <w:tc>
          <w:tcPr>
            <w:tcW w:w="3800" w:type="dxa"/>
            <w:vAlign w:val="bottom"/>
          </w:tcPr>
          <w:p>
            <w:pPr>
              <w:jc w:val="center"/>
              <w:spacing w:after="0"/>
              <w:rPr>
                <w:sz w:val="20"/>
                <w:szCs w:val="20"/>
                <w:color w:val="auto"/>
              </w:rPr>
            </w:pPr>
            <w:r>
              <w:rPr>
                <w:rFonts w:ascii="Arial" w:cs="Arial" w:eastAsia="Arial" w:hAnsi="Arial"/>
                <w:sz w:val="18"/>
                <w:szCs w:val="18"/>
                <w:color w:val="auto"/>
                <w:w w:val="91"/>
              </w:rPr>
              <w:t>Dr. Edward W. Holmes</w:t>
            </w:r>
          </w:p>
        </w:tc>
        <w:tc>
          <w:tcPr>
            <w:tcW w:w="53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Keith C. Kummerfeld</w:t>
            </w:r>
          </w:p>
        </w:tc>
        <w:tc>
          <w:tcPr>
            <w:tcW w:w="5320" w:type="dxa"/>
            <w:vAlign w:val="bottom"/>
          </w:tcPr>
          <w:p>
            <w:pPr>
              <w:jc w:val="center"/>
              <w:ind w:left="130"/>
              <w:spacing w:after="0"/>
              <w:rPr>
                <w:sz w:val="20"/>
                <w:szCs w:val="20"/>
                <w:color w:val="auto"/>
              </w:rPr>
            </w:pPr>
            <w:r>
              <w:rPr>
                <w:rFonts w:ascii="Arial" w:cs="Arial" w:eastAsia="Arial" w:hAnsi="Arial"/>
                <w:sz w:val="18"/>
                <w:szCs w:val="18"/>
                <w:color w:val="auto"/>
                <w:w w:val="90"/>
              </w:rPr>
              <w:t>Vice President of Finance and Corporate Controller</w:t>
            </w:r>
          </w:p>
        </w:tc>
        <w:tc>
          <w:tcPr>
            <w:tcW w:w="2120" w:type="dxa"/>
            <w:vAlign w:val="bottom"/>
          </w:tcPr>
          <w:p>
            <w:pPr>
              <w:jc w:val="center"/>
              <w:ind w:left="130"/>
              <w:spacing w:after="0"/>
              <w:rPr>
                <w:sz w:val="20"/>
                <w:szCs w:val="20"/>
                <w:color w:val="auto"/>
              </w:rPr>
            </w:pPr>
            <w:r>
              <w:rPr>
                <w:rFonts w:ascii="Arial" w:cs="Arial" w:eastAsia="Arial" w:hAnsi="Arial"/>
                <w:sz w:val="18"/>
                <w:szCs w:val="18"/>
                <w:color w:val="auto"/>
                <w:w w:val="90"/>
              </w:rPr>
              <w:t>May 8, 2020</w:t>
            </w:r>
          </w:p>
        </w:tc>
      </w:tr>
      <w:tr>
        <w:trPr>
          <w:trHeight w:val="224"/>
        </w:trPr>
        <w:tc>
          <w:tcPr>
            <w:tcW w:w="3800" w:type="dxa"/>
            <w:vAlign w:val="bottom"/>
          </w:tcPr>
          <w:p>
            <w:pPr>
              <w:jc w:val="center"/>
              <w:spacing w:after="0"/>
              <w:rPr>
                <w:sz w:val="20"/>
                <w:szCs w:val="20"/>
                <w:color w:val="auto"/>
              </w:rPr>
            </w:pPr>
            <w:r>
              <w:rPr>
                <w:rFonts w:ascii="Arial" w:cs="Arial" w:eastAsia="Arial" w:hAnsi="Arial"/>
                <w:sz w:val="18"/>
                <w:szCs w:val="18"/>
                <w:color w:val="auto"/>
                <w:w w:val="95"/>
              </w:rPr>
              <w:t>Keith C. Kummerfeld</w:t>
            </w:r>
          </w:p>
        </w:tc>
        <w:tc>
          <w:tcPr>
            <w:tcW w:w="5320" w:type="dxa"/>
            <w:vAlign w:val="bottom"/>
          </w:tcPr>
          <w:p>
            <w:pPr>
              <w:jc w:val="center"/>
              <w:ind w:left="130"/>
              <w:spacing w:after="0"/>
              <w:rPr>
                <w:sz w:val="20"/>
                <w:szCs w:val="20"/>
                <w:color w:val="auto"/>
              </w:rPr>
            </w:pPr>
            <w:r>
              <w:rPr>
                <w:rFonts w:ascii="Arial" w:cs="Arial" w:eastAsia="Arial" w:hAnsi="Arial"/>
                <w:sz w:val="18"/>
                <w:szCs w:val="18"/>
                <w:i w:val="1"/>
                <w:iCs w:val="1"/>
                <w:color w:val="auto"/>
                <w:w w:val="95"/>
              </w:rPr>
              <w:t>(principal accounting officer)</w:t>
            </w:r>
          </w:p>
        </w:tc>
        <w:tc>
          <w:tcPr>
            <w:tcW w:w="2120" w:type="dxa"/>
            <w:vAlign w:val="bottom"/>
          </w:tcPr>
          <w:p>
            <w:pPr>
              <w:spacing w:after="0"/>
              <w:rPr>
                <w:sz w:val="19"/>
                <w:szCs w:val="19"/>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name of the Corporation is “ARCTURUS THERAPEUTICS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REGISTERED OFFICE AND AGENT</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address of the registered office of the Corporation in the State of Delaware is 251 Little Falls Drive, New Castle County, Delaware 19808.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name of its registered agent at such address is Corporation Service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Corporation is authorized to issue two classes of capital stock to be designated, respectively,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total number of shares of capital stock which the Corporation is authorized to issue is Forty Million (40,000,000) shares. Thirty Million (30,000,000) shares shall be Common Stock, each having a par value of one-tenth of one cent ($0.001). Ten Million (10,000,000) shares shall be Preferred Stock, each having a par value of one-tenth of one cent ($0.001).</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Preferred Stock may be issued from time to time in one or more series. The Board of Directors of the Corporation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is hereby expressly authorized to provide for the issue of all or any of the shares of the Preferred Stock in one or more series, and to fix the number of shares and to determine or alter for each such series, such voting powers, if any,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voting power of the capital stock of the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ind w:left="6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jc w:val="both"/>
        <w:ind w:left="-20" w:firstLine="1304"/>
        <w:spacing w:after="0" w:line="293" w:lineRule="auto"/>
        <w:tabs>
          <w:tab w:leader="none" w:pos="145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Each outstanding share of Common Stock shall entitle the holder thereof to one vote on each matter properly submitted to the stockholders of the Corporation for their vote; provided, however, that, except as otherwise required by law,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 There shall be no cumulative voting.</w:t>
      </w:r>
    </w:p>
    <w:p>
      <w:pPr>
        <w:spacing w:after="0" w:line="164" w:lineRule="exact"/>
        <w:rPr>
          <w:rFonts w:ascii="Arial" w:cs="Arial" w:eastAsia="Arial" w:hAnsi="Arial"/>
          <w:sz w:val="16"/>
          <w:szCs w:val="16"/>
          <w:color w:val="auto"/>
        </w:rPr>
      </w:pPr>
    </w:p>
    <w:p>
      <w:pPr>
        <w:ind w:left="-20" w:firstLine="1304"/>
        <w:spacing w:after="0" w:line="277" w:lineRule="auto"/>
        <w:tabs>
          <w:tab w:leader="none" w:pos="146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preferential rights of the Preferred Stock, the holders of the Common Stock are entitled to receive, to the extent permitted by law, such dividends as may be declared from time to time by the Board of Directors.</w:t>
      </w:r>
    </w:p>
    <w:p>
      <w:pPr>
        <w:spacing w:after="0" w:line="170" w:lineRule="exact"/>
        <w:rPr>
          <w:rFonts w:ascii="Arial" w:cs="Arial" w:eastAsia="Arial" w:hAnsi="Arial"/>
          <w:sz w:val="18"/>
          <w:szCs w:val="18"/>
          <w:color w:val="auto"/>
        </w:rPr>
      </w:pPr>
    </w:p>
    <w:p>
      <w:pPr>
        <w:ind w:left="-20" w:firstLine="1304"/>
        <w:spacing w:after="0" w:line="277" w:lineRule="auto"/>
        <w:tabs>
          <w:tab w:leader="none" w:pos="146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Preemptive Rights</w:t>
      </w:r>
      <w:r>
        <w:rPr>
          <w:rFonts w:ascii="Arial" w:cs="Arial" w:eastAsia="Arial" w:hAnsi="Arial"/>
          <w:sz w:val="18"/>
          <w:szCs w:val="18"/>
          <w:color w:val="auto"/>
        </w:rPr>
        <w:t>. The holders of Common Stock shall have no preemptive rights to subscribe for any shares of any class of capital stock of the Corporation whether now or hereafter authorized.</w:t>
      </w:r>
    </w:p>
    <w:p>
      <w:pPr>
        <w:spacing w:after="0" w:line="170" w:lineRule="exact"/>
        <w:rPr>
          <w:rFonts w:ascii="Arial" w:cs="Arial" w:eastAsia="Arial" w:hAnsi="Arial"/>
          <w:sz w:val="18"/>
          <w:szCs w:val="18"/>
          <w:color w:val="auto"/>
        </w:rPr>
      </w:pPr>
    </w:p>
    <w:p>
      <w:pPr>
        <w:ind w:left="-20" w:firstLine="1304"/>
        <w:spacing w:after="0" w:line="277" w:lineRule="auto"/>
        <w:tabs>
          <w:tab w:leader="none" w:pos="145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Conversion Rights</w:t>
      </w:r>
      <w:r>
        <w:rPr>
          <w:rFonts w:ascii="Arial" w:cs="Arial" w:eastAsia="Arial" w:hAnsi="Arial"/>
          <w:sz w:val="18"/>
          <w:szCs w:val="18"/>
          <w:color w:val="auto"/>
        </w:rPr>
        <w:t>. Common Stock shall not be convertible into, or exchangeable for, shares of any other class or classes or of any other series of the same class of the Corporation’s capital stock.</w:t>
      </w:r>
    </w:p>
    <w:p>
      <w:pPr>
        <w:spacing w:after="0" w:line="170" w:lineRule="exact"/>
        <w:rPr>
          <w:rFonts w:ascii="Arial" w:cs="Arial" w:eastAsia="Arial" w:hAnsi="Arial"/>
          <w:sz w:val="18"/>
          <w:szCs w:val="18"/>
          <w:color w:val="auto"/>
        </w:rPr>
      </w:pPr>
    </w:p>
    <w:p>
      <w:pPr>
        <w:jc w:val="both"/>
        <w:ind w:left="-20" w:firstLine="1304"/>
        <w:spacing w:after="0" w:line="253" w:lineRule="auto"/>
        <w:tabs>
          <w:tab w:leader="none" w:pos="146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In the event of the voluntary or involuntary liquidation, dissolution, distribution of assets or winding up of the Corporation, after distribution in full of the preferential amounts, if any, to be distributed to the holders of shares of Preferred Stock, holders of Common Stock shall be entitled to receive all of the remaining assets of the Corporation of whatever kind available for distribution to stockholders ratably in proportion to the number of shares of Common Stock held by them respectively. The Board of Directors may distribute in kind to the holders of Common Stock such remaining assets of the Corporation or may sell, transfer or otherwise dispose of all or any part of such remaining assets to any other corporation, trust or other entity and receive payment therefor in cash, stock or obligations of such other corporation, trust or other entity, or any combination thereof, and may sell all or any part of the consideration so received and distribute any balance thereof in kind to holders of Common Stock. The merger or consolidation of the Corporation into or with any other corporation, or the merger of any other corporation into it, or any purchase or redemption of shares of capital stock of the Corporation of any class, shall not be deemed to be a dissolution, liquidation or winding up of the Corporation for the purposes of this paragraph.</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General Powers</w:t>
      </w:r>
      <w:r>
        <w:rPr>
          <w:rFonts w:ascii="Arial" w:cs="Arial" w:eastAsia="Arial" w:hAnsi="Arial"/>
          <w:sz w:val="16"/>
          <w:szCs w:val="16"/>
          <w:color w:val="auto"/>
        </w:rPr>
        <w:t>. The management of the business and the conduct of the affairs of the Corporation shall be vested in its Board of Directors.</w:t>
      </w:r>
    </w:p>
    <w:p>
      <w:pPr>
        <w:spacing w:after="0" w:line="24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Number of Directors; Vacancies and Newly Created Directorships</w:t>
      </w:r>
      <w:r>
        <w:rPr>
          <w:rFonts w:ascii="Arial" w:cs="Arial" w:eastAsia="Arial" w:hAnsi="Arial"/>
          <w:sz w:val="16"/>
          <w:szCs w:val="16"/>
          <w:color w:val="auto"/>
        </w:rPr>
        <w:t>. The number of directors constituting the board of directors shall be not fewer than one and not more than nine. The number of directors initially shall be one. Subject to the previous sentence and to the special rights of the holders of any class or series of stock to elect directors, the precise number of directors shall be fixed exclusively pursuant to a resolution adopted by the board of directors. Vacancies and newly-created directorships shall be filled exclusively pursuant to a resolution adopted by the board of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OF CERTIFICATE OF INCORPORATION AND BYLAWS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Amendments to the Certificate of Incorporation</w:t>
      </w:r>
      <w:r>
        <w:rPr>
          <w:rFonts w:ascii="Arial" w:cs="Arial" w:eastAsia="Arial" w:hAnsi="Arial"/>
          <w:sz w:val="17"/>
          <w:szCs w:val="17"/>
          <w:color w:val="auto"/>
        </w:rPr>
        <w:t>. Notwithstanding any other provisions of this Certificate of Incorporation, and notwithstanding that a lesser percentage may be permitted from time to time by applicable law, no provision of Articles VI or VIII may he altered, amended or repealed in any respect (including by merger, consolidation or otherwise), nor may any provision inconsistent therewith be adopted, unless such alteration, amendment, repeal or adoption is approved by the affirmative vote of the holders of at least sixty-six and two-thirds percent (66 ⅔%) of the capital stock of the corporation entitled to vote generally in an election of directors, voting together as a single class.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Adoption, Amendment and Repeal of the Bylaws</w:t>
      </w:r>
      <w:r>
        <w:rPr>
          <w:rFonts w:ascii="Arial" w:cs="Arial" w:eastAsia="Arial" w:hAnsi="Arial"/>
          <w:sz w:val="16"/>
          <w:szCs w:val="16"/>
          <w:color w:val="auto"/>
        </w:rPr>
        <w:t>. In furtherance, and not in limitation of the powers conferred by law, the board of directors is expressly authorized to make, alter, amend and repeal the bylaws of the corporation subject to the power of the stockholders of the corporation to alter, amend or repeal the bylaws; provided, however, that with respect to the powers of stockholders to make, alter, amend or repeal the bylaws, the affirmative vote of the holders of at least sixty-six and two-thirds percent (66 ⅔%) of the capital stock of the corporation entitled to vote generally in an election of directors, voting together as a single class, shall be required to make, alter amend or repeal the bylaws of the corporation.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 ACTIONS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No Stockholder Action without Meeting</w:t>
      </w:r>
      <w:r>
        <w:rPr>
          <w:rFonts w:ascii="Arial" w:cs="Arial" w:eastAsia="Arial" w:hAnsi="Arial"/>
          <w:sz w:val="18"/>
          <w:szCs w:val="18"/>
          <w:color w:val="auto"/>
        </w:rPr>
        <w:t>. No action shall be taken by the stockholders of the Corporation except at an annual or special meeting of stockholders called in accordance with the Bylaws of the Corporation, and no action shall be taken by the stockholders by written consent or electronic transmission.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Stockholder Nominations and Introduction of Business, Etc.</w:t>
      </w:r>
      <w:r>
        <w:rPr>
          <w:rFonts w:ascii="Arial" w:cs="Arial" w:eastAsia="Arial" w:hAnsi="Arial"/>
          <w:sz w:val="18"/>
          <w:szCs w:val="18"/>
          <w:color w:val="auto"/>
        </w:rPr>
        <w:t xml:space="preserve"> Advance notice of stockholder nominations for the election of directors and of other business to be brought by stockholders before any meeting of the stockholders of the Corporation shall be given in the manner provided in the Bylaws of the Corporation. Only those matters set forth in the notice of the special meeting may be considered or acted upon at a special meeting of stockholders of the Corporation.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statute and subject to the rights, if any, of the holders of any series of Preferred Stock, special meetings of the stockholders of the Corporation may be called only by the Board of Directors acting pursuant to a resolution approved by the affirmative vote of a majority of the directors then in office, the Chief Executive Officer (of if there is no Chief Executive Officer, the President) or the Chairperson of the Board of Directors, and may not be called by any other person or persons.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LIMITATION ON DIRECTOR LIABILITY; INDEMNIFICATION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The liability of the directors for monetary damages shall be eliminated to the fullest extent under applicable law. If the DGCL is amended to authorize corporate action further eliminating or limiting the personal liability of directors, then the liability of a director of the Corporation shall be eliminated to the fullest extent permitted by the DGCL, as so amended.</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 In furtherance and not in limitation of the rights, powers, privileges, and discretionary authority granted or conferred by Title 8 of the DGCL or other statutes or laws of the State of Delaware, the Board of Directors is expressly authorized to provide indemnification of (and advancement of expenses to) directors, officers, employees, and agents of the Corporation (and any other persons to which applicable law permits the Corporation to provide indemnification) to the fullest extent permitted by law through bylaw provisions, agreements with indemnitees, vote of stockholders or disinterested directors or otherwise.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 Any repeal, amendment or modification of this Article VIII shall be prospective and shall not affect the rights under this Article VIII in effect at the time of the alleged occurrence of any act or omission to act giving rise to liability or indemnification.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INCORPORATOR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The name and mailing address of the incorporator is Ilan Katz, Esq., c/o Dentons US LLP, 1221 Avenue of the Americas, New York, NY 10020.</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This Certificate of Incorporation has been executed as of January 28, 2019 by the undersigned who affirms that the statements made herein are true and correct.</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Ilan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Ilan Katz, Incorporator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b w:val="1"/>
          <w:bCs w:val="1"/>
          <w:color w:val="auto"/>
        </w:rPr>
        <w:t>Annual Meeting</w:t>
      </w:r>
      <w:r>
        <w:rPr>
          <w:rFonts w:ascii="Arial" w:cs="Arial" w:eastAsia="Arial" w:hAnsi="Arial"/>
          <w:sz w:val="17"/>
          <w:szCs w:val="17"/>
          <w:color w:val="auto"/>
        </w:rPr>
        <w:t>. An annual meeting of the stockholders for the election of directors to succeed those whose terms expire and for the transaction of such other business as may properly come before the meeting shall be held at the place, if any, on the date, and at the time as the Board of Directors shall each year fix, which date shall be within thirteen (13) months of the last annual meeting of stockholders.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b w:val="1"/>
          <w:bCs w:val="1"/>
          <w:color w:val="auto"/>
        </w:rPr>
        <w:t>Advance Notice of Nominations and Proposals of Business.</w:t>
      </w:r>
    </w:p>
    <w:p>
      <w:pPr>
        <w:spacing w:after="0" w:line="229" w:lineRule="exact"/>
        <w:rPr>
          <w:sz w:val="20"/>
          <w:szCs w:val="20"/>
          <w:color w:val="auto"/>
        </w:rPr>
      </w:pPr>
    </w:p>
    <w:p>
      <w:pPr>
        <w:jc w:val="both"/>
        <w:ind w:firstLine="1304"/>
        <w:spacing w:after="0" w:line="271" w:lineRule="auto"/>
        <w:tabs>
          <w:tab w:leader="none" w:pos="2548" w:val="left"/>
        </w:tabs>
        <w:numPr>
          <w:ilvl w:val="1"/>
          <w:numId w:val="31"/>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the proposal of business to be transacted by the stockholders may be made at an annual meeting of stockholders (i) pursuant to the Corporation’s proxy materials with respect to such meeting, (ii) by or at the direction of the Board of Directors, or (iii) by any stockholder (or stockholders acting jointly) of record of the Corporation (the “</w:t>
      </w:r>
      <w:r>
        <w:rPr>
          <w:rFonts w:ascii="Arial" w:cs="Arial" w:eastAsia="Arial" w:hAnsi="Arial"/>
          <w:sz w:val="17"/>
          <w:szCs w:val="17"/>
          <w:i w:val="1"/>
          <w:iCs w:val="1"/>
          <w:color w:val="auto"/>
        </w:rPr>
        <w:t>Record Stockholder</w:t>
      </w:r>
      <w:r>
        <w:rPr>
          <w:rFonts w:ascii="Arial" w:cs="Arial" w:eastAsia="Arial" w:hAnsi="Arial"/>
          <w:sz w:val="17"/>
          <w:szCs w:val="17"/>
          <w:color w:val="auto"/>
        </w:rPr>
        <w:t>”) at the time of the giving of the notice required in the following paragraph, who is entitled to vote at the meeting, who has complied with the notice procedures set forth in this section, and who owns more than 5% of the outstanding common stock of the Corporation.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7"/>
          <w:szCs w:val="17"/>
          <w:i w:val="1"/>
          <w:iCs w:val="1"/>
          <w:color w:val="auto"/>
        </w:rPr>
        <w:t>Exchange Act</w:t>
      </w:r>
      <w:r>
        <w:rPr>
          <w:rFonts w:ascii="Arial" w:cs="Arial" w:eastAsia="Arial" w:hAnsi="Arial"/>
          <w:sz w:val="17"/>
          <w:szCs w:val="17"/>
          <w:color w:val="auto"/>
        </w:rPr>
        <w:t>”)) at an annual meeting of stockholders.</w:t>
      </w:r>
    </w:p>
    <w:p>
      <w:pPr>
        <w:spacing w:after="0" w:line="178" w:lineRule="exact"/>
        <w:rPr>
          <w:rFonts w:ascii="Arial" w:cs="Arial" w:eastAsia="Arial" w:hAnsi="Arial"/>
          <w:sz w:val="17"/>
          <w:szCs w:val="17"/>
          <w:color w:val="auto"/>
        </w:rPr>
      </w:pPr>
    </w:p>
    <w:p>
      <w:pPr>
        <w:jc w:val="both"/>
        <w:ind w:firstLine="1304"/>
        <w:spacing w:after="0" w:line="284" w:lineRule="auto"/>
        <w:tabs>
          <w:tab w:leader="none" w:pos="21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For nominations or business to be properly brought before an annual meeting by a Record Stockholder pursuant to clause (iii) of the foregoing paragraph, (i) the Record Stockholder must have given timely notice thereof in writing to the Secretary of the Corporation, and (ii) any such business must be a proper matter for stockholder action under Delaware law. To be timely, a Record Stockholder’s notice shall be received by the Secretary at the principal executive offices of the Corporation not less than forty-five (45) or more than seventy-five (75) days prior to the one-year anniversary of the date on which the Corporation first mailed its proxy materials for the preceding year’s annual meeting of stockholders; provided, however, that, subject to the last sentence of this paragraph (b), if the meeting is convened more than thirty (30) days prior to or delayed by more than thirty</w:t>
      </w:r>
    </w:p>
    <w:p>
      <w:pPr>
        <w:spacing w:after="0" w:line="4" w:lineRule="exact"/>
        <w:rPr>
          <w:rFonts w:ascii="Arial" w:cs="Arial" w:eastAsia="Arial" w:hAnsi="Arial"/>
          <w:sz w:val="16"/>
          <w:szCs w:val="16"/>
          <w:color w:val="auto"/>
        </w:rPr>
      </w:pPr>
    </w:p>
    <w:p>
      <w:pPr>
        <w:ind w:left="380" w:hanging="372"/>
        <w:spacing w:after="0"/>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days after the anniversary of the preceding year’s annual meeting, or if no annual meeting was held in the preceding year, notice by the Record</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Stockholder to be timely must be so received not later than the close of business on the later of (i) the ninetieth (90</w:t>
      </w:r>
      <w:r>
        <w:rPr>
          <w:rFonts w:ascii="Arial" w:cs="Arial" w:eastAsia="Arial" w:hAnsi="Arial"/>
          <w:sz w:val="26"/>
          <w:szCs w:val="26"/>
          <w:color w:val="auto"/>
          <w:vertAlign w:val="superscript"/>
        </w:rPr>
        <w:t>th</w:t>
      </w:r>
      <w:r>
        <w:rPr>
          <w:rFonts w:ascii="Arial" w:cs="Arial" w:eastAsia="Arial" w:hAnsi="Arial"/>
          <w:sz w:val="16"/>
          <w:szCs w:val="16"/>
          <w:color w:val="auto"/>
        </w:rPr>
        <w:t>) day before such annual meeting or (ii)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day on which public announcement of the date of such meeting is first made. Notwithstanding anything in the preceding sentence to the contrary, in the event that the number of directors to be elected to the Board of Directors is increased and there has been no public announcement naming all of the nominees for director or indicating the increase in the size of the Board of Directors made by the Corporation at least ten</w:t>
      </w:r>
    </w:p>
    <w:p>
      <w:pPr>
        <w:spacing w:after="0" w:line="3" w:lineRule="exact"/>
        <w:rPr>
          <w:sz w:val="20"/>
          <w:szCs w:val="20"/>
          <w:color w:val="auto"/>
        </w:rPr>
      </w:pPr>
    </w:p>
    <w:p>
      <w:pPr>
        <w:jc w:val="both"/>
        <w:ind w:firstLine="8"/>
        <w:spacing w:after="0" w:line="281" w:lineRule="auto"/>
        <w:tabs>
          <w:tab w:leader="none" w:pos="351" w:val="left"/>
        </w:tabs>
        <w:numPr>
          <w:ilvl w:val="0"/>
          <w:numId w:val="33"/>
        </w:numPr>
        <w:rPr>
          <w:rFonts w:ascii="Arial" w:cs="Arial" w:eastAsia="Arial" w:hAnsi="Arial"/>
          <w:sz w:val="16"/>
          <w:szCs w:val="16"/>
          <w:color w:val="auto"/>
        </w:rPr>
      </w:pPr>
      <w:r>
        <w:rPr>
          <w:rFonts w:ascii="Arial" w:cs="Arial" w:eastAsia="Arial" w:hAnsi="Arial"/>
          <w:sz w:val="16"/>
          <w:szCs w:val="16"/>
          <w:color w:val="auto"/>
        </w:rPr>
        <w:t>days before the last day a Record Stockholder may deliver a notice of nomination in accordance with the preceding sentence, a Record Stockholder’s notice required by this bylaw shall also be considered timely, but only with respect to nominees for any new positions created by such increase, if it shall be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received by the Secretary at the principal executive offices of the Corporation not later than the close of business on the tenth (10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day on which such public announcement is first made by the Corporation. In no event shall an adjournment, or postponement of an annual meeting for which notice has been given, commence a new time period for the giving of a Record Stockholder’s notice.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ind w:left="2180" w:hanging="876"/>
        <w:spacing w:after="0"/>
        <w:tabs>
          <w:tab w:leader="none" w:pos="2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Record Stockholder’s notice shall set forth:</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946"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such notice pertains to the nomination of directors, as to each person whom the Record Stockholder proposes to nominate for election or reelection as a director all information relating to such person as would be required to be disclosed in solicitations of proxies for the election of such nominees as directors pursuant to Regulation 14A under the Exchange Act, and such person’s written consent to serve as a director if elected;</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296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as to any business that the Record Stockholder proposes to bring before the meeting, a brief description of such business, the reasons for conducting such business at the meeting and any material interest in such business of such Record Stockholder and the beneficial owner, if any, on whose behalf the proposal is made;</w:t>
      </w:r>
    </w:p>
    <w:p>
      <w:pPr>
        <w:spacing w:after="0" w:line="183" w:lineRule="exact"/>
        <w:rPr>
          <w:rFonts w:ascii="Arial" w:cs="Arial" w:eastAsia="Arial" w:hAnsi="Arial"/>
          <w:sz w:val="18"/>
          <w:szCs w:val="18"/>
          <w:color w:val="auto"/>
        </w:rPr>
      </w:pPr>
    </w:p>
    <w:p>
      <w:pPr>
        <w:jc w:val="both"/>
        <w:ind w:firstLine="1952"/>
        <w:spacing w:after="0" w:line="285" w:lineRule="auto"/>
        <w:tabs>
          <w:tab w:leader="none" w:pos="3051" w:val="left"/>
        </w:tabs>
        <w:numPr>
          <w:ilvl w:val="1"/>
          <w:numId w:val="34"/>
        </w:numPr>
        <w:rPr>
          <w:rFonts w:ascii="Arial" w:cs="Arial" w:eastAsia="Arial" w:hAnsi="Arial"/>
          <w:sz w:val="16"/>
          <w:szCs w:val="16"/>
          <w:color w:val="auto"/>
        </w:rPr>
      </w:pPr>
      <w:r>
        <w:rPr>
          <w:rFonts w:ascii="Arial" w:cs="Arial" w:eastAsia="Arial" w:hAnsi="Arial"/>
          <w:sz w:val="16"/>
          <w:szCs w:val="16"/>
          <w:color w:val="auto"/>
        </w:rPr>
        <w:t>as to (1) the Record Stockholder giving the notice and (2) the beneficial owner, if any, on whose behalf the nomination or proposal is made each, (a “</w:t>
      </w:r>
      <w:r>
        <w:rPr>
          <w:rFonts w:ascii="Arial" w:cs="Arial" w:eastAsia="Arial" w:hAnsi="Arial"/>
          <w:sz w:val="16"/>
          <w:szCs w:val="16"/>
          <w:i w:val="1"/>
          <w:iCs w:val="1"/>
          <w:color w:val="auto"/>
        </w:rPr>
        <w:t>party</w:t>
      </w:r>
      <w:r>
        <w:rPr>
          <w:rFonts w:ascii="Arial" w:cs="Arial" w:eastAsia="Arial" w:hAnsi="Arial"/>
          <w:sz w:val="16"/>
          <w:szCs w:val="16"/>
          <w:color w:val="auto"/>
        </w:rPr>
        <w:t>”): (A) the name and address of each such party; (B) the class, series, and number of shares of the Corporation that are owned, directly or indirectly, beneficially and of record by each such party, (C)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w:t>
      </w:r>
      <w:r>
        <w:rPr>
          <w:rFonts w:ascii="Arial" w:cs="Arial" w:eastAsia="Arial" w:hAnsi="Arial"/>
          <w:sz w:val="16"/>
          <w:szCs w:val="16"/>
          <w:color w:val="auto"/>
        </w:rPr>
        <w:t>”) directly or indirectly owned beneficially by each such party, and any other direct or indirect opportunity to profit or share in any profit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any increase or decrease in the value of shares of the Corporation, (D) any proxy, contract, arrangement, understanding, or relationship pursuant to which either party has a right to vote, directly or indirectly, any shares of any security of the Corporation, (E) any short interest in any security of the Corporation held by each such party (for purposes of this </w:t>
      </w:r>
      <w:r>
        <w:rPr>
          <w:rFonts w:ascii="Arial" w:cs="Arial" w:eastAsia="Arial" w:hAnsi="Arial"/>
          <w:sz w:val="16"/>
          <w:szCs w:val="16"/>
          <w:u w:val="single" w:color="auto"/>
          <w:color w:val="auto"/>
        </w:rPr>
        <w:t>Section 1.2(c)</w:t>
      </w:r>
      <w:r>
        <w:rPr>
          <w:rFonts w:ascii="Arial" w:cs="Arial" w:eastAsia="Arial" w:hAnsi="Arial"/>
          <w:sz w:val="16"/>
          <w:szCs w:val="16"/>
          <w:color w:val="auto"/>
        </w:rPr>
        <w:t>,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(F) any rights to dividends on the shares of the Corporation owned beneficially directly or indirectly by each such party that are separated or separable from the underlying shares of the Corporation, (G) any proportionate interest in shares of the Corporation or Derivative Instruments held, directly or indirectly, by a general or limited partnership in which either party is a general partner or, directly or indirectly, beneficially owns an interest in a general partner and (H) any performance-related fees (other than an asset-based fee) that each such party is directly or indirectly entitled to, based on any increase or decrease in the value of shares of the Corporation or Derivative Instruments, if any, as of the date of such notice, including without limitation any such interests held by members of each such party’s immediate family sharing the same household (which information set forth in this paragraph shall be supplemented by such stockholder or such beneficial owner, as the case may be, not later than ten (10) days after the record date for the meeting to disclose such ownership as of the record date); and</w:t>
      </w:r>
    </w:p>
    <w:p>
      <w:pPr>
        <w:spacing w:after="0" w:line="168" w:lineRule="exact"/>
        <w:rPr>
          <w:rFonts w:ascii="Arial" w:cs="Arial" w:eastAsia="Arial" w:hAnsi="Arial"/>
          <w:sz w:val="16"/>
          <w:szCs w:val="16"/>
          <w:color w:val="auto"/>
        </w:rPr>
      </w:pPr>
    </w:p>
    <w:p>
      <w:pPr>
        <w:jc w:val="both"/>
        <w:ind w:firstLine="1952"/>
        <w:spacing w:after="0" w:line="263" w:lineRule="auto"/>
        <w:tabs>
          <w:tab w:leader="none" w:pos="27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other information relating to each such party that would be required to be disclosed in a proxy statement or other filings required to be made in connection with solicitations of proxies for, as applicable, the proposal and/or for the election of directors in a contested election pursuant to Section 14 of the Exchange Act.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ind w:firstLine="1304"/>
        <w:spacing w:after="0" w:line="254" w:lineRule="auto"/>
        <w:tabs>
          <w:tab w:leader="none" w:pos="22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 person shall not be eligible for election or re-election as a director at an annual meeting unless (i) the person is nominated by a Record Stockholder in accordance with clause (iii) of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or (ii) the person is nominated by or at the direction of the Board of Directors. Only such business shall be conducted at an annual meeting of stockholders as shall have been brought before the meeting in accordance with the procedures set forth in this section. The chair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spacing w:after="0" w:line="194" w:lineRule="exact"/>
        <w:rPr>
          <w:rFonts w:ascii="Arial" w:cs="Arial" w:eastAsia="Arial" w:hAnsi="Arial"/>
          <w:sz w:val="18"/>
          <w:szCs w:val="18"/>
          <w:color w:val="auto"/>
        </w:rPr>
      </w:pPr>
    </w:p>
    <w:p>
      <w:pPr>
        <w:jc w:val="both"/>
        <w:ind w:firstLine="1304"/>
        <w:spacing w:after="0" w:line="284" w:lineRule="auto"/>
        <w:tabs>
          <w:tab w:leader="none" w:pos="2211"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Only such business shall be conducted at a special meeting of stockholders as shall have been brought before the meeting by or at the direction of the Board of Directors. The notice of such special meeting shall include the purpose for which the meeting is called. Nominations of persons for election to the Board of Directors may be made at a special meeting of stockholders at which directors are to be elected (i) by or at the direction of the Board of Directors or (ii) by any stockholder of record at the time of giving of notice provided for in this paragraph, who shall be entitled to vote at the meeting and who delivers a written notice to the Secretary setting forth the information set forth in </w:t>
      </w:r>
      <w:r>
        <w:rPr>
          <w:rFonts w:ascii="Arial" w:cs="Arial" w:eastAsia="Arial" w:hAnsi="Arial"/>
          <w:sz w:val="16"/>
          <w:szCs w:val="16"/>
          <w:u w:val="single" w:color="auto"/>
          <w:color w:val="auto"/>
        </w:rPr>
        <w:t>Section 1.2(c)(i)</w:t>
      </w:r>
      <w:r>
        <w:rPr>
          <w:rFonts w:ascii="Arial" w:cs="Arial" w:eastAsia="Arial" w:hAnsi="Arial"/>
          <w:sz w:val="16"/>
          <w:szCs w:val="16"/>
          <w:color w:val="auto"/>
        </w:rPr>
        <w:t xml:space="preserve"> and (iii) of this </w:t>
      </w:r>
      <w:r>
        <w:rPr>
          <w:rFonts w:ascii="Arial" w:cs="Arial" w:eastAsia="Arial" w:hAnsi="Arial"/>
          <w:sz w:val="16"/>
          <w:szCs w:val="16"/>
          <w:u w:val="single" w:color="auto"/>
          <w:color w:val="auto"/>
        </w:rPr>
        <w:t>Article 1</w:t>
      </w:r>
      <w:r>
        <w:rPr>
          <w:rFonts w:ascii="Arial" w:cs="Arial" w:eastAsia="Arial" w:hAnsi="Arial"/>
          <w:sz w:val="16"/>
          <w:szCs w:val="16"/>
          <w:color w:val="auto"/>
        </w:rPr>
        <w:t>. Nominations by stockholders of persons for election to the Board of Directors may be made at such a special meeting of stockholders only if such stockholder of record’s notice required by the preceding sentence shall be received by the Secretary at the principal executive offices of the Corporation not</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later than the close of business on the later of the ninetieth (90th) day prior to such special meeting or the tenth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is first made of the date of the special meeting and of the nominees proposed by the Board of Directors to be elected at such meeting. In no event shall an adjournment, or postponement of a special meeting for which notice has been given, commence a new time period for the giving of a stockholder of record’s notice. A person shall not be eligible for election or reelection as a director at a special meeting unless the person is nominated (x) by or at the direction of the Board of Directors or (y) by a stockholder of record in accordance with the notice procedures set forth in this </w:t>
      </w:r>
      <w:r>
        <w:rPr>
          <w:rFonts w:ascii="Arial" w:cs="Arial" w:eastAsia="Arial" w:hAnsi="Arial"/>
          <w:sz w:val="16"/>
          <w:szCs w:val="16"/>
          <w:u w:val="single" w:color="auto"/>
          <w:color w:val="auto"/>
        </w:rPr>
        <w:t>Article 1</w:t>
      </w:r>
      <w:r>
        <w:rPr>
          <w:rFonts w:ascii="Arial" w:cs="Arial" w:eastAsia="Arial" w:hAnsi="Arial"/>
          <w:sz w:val="16"/>
          <w:szCs w:val="16"/>
          <w:color w:val="auto"/>
        </w:rPr>
        <w:t>.</w:t>
      </w:r>
    </w:p>
    <w:p>
      <w:pPr>
        <w:spacing w:after="0" w:line="184" w:lineRule="exact"/>
        <w:rPr>
          <w:sz w:val="20"/>
          <w:szCs w:val="20"/>
          <w:color w:val="auto"/>
        </w:rPr>
      </w:pPr>
    </w:p>
    <w:p>
      <w:pPr>
        <w:jc w:val="both"/>
        <w:ind w:firstLine="1304"/>
        <w:spacing w:after="0" w:line="263" w:lineRule="auto"/>
        <w:tabs>
          <w:tab w:leader="none" w:pos="23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6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 stockholder shall also comply with all applicable requirements of the Exchange Act and the rules and regulations thereunder with respect to matters set forth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be deemed to affect any rights of stockholders to request inclusion of proposals in the Corporation’s proxy statement pursuant to Rule 14a-8 under the Exchange Act.</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b w:val="1"/>
          <w:bCs w:val="1"/>
          <w:color w:val="auto"/>
        </w:rPr>
        <w:t>Special Meetings; Notice</w:t>
      </w:r>
      <w:r>
        <w:rPr>
          <w:rFonts w:ascii="Arial" w:cs="Arial" w:eastAsia="Arial" w:hAnsi="Arial"/>
          <w:sz w:val="17"/>
          <w:szCs w:val="17"/>
          <w:color w:val="auto"/>
        </w:rPr>
        <w:t xml:space="preserve">. Special meetings of stockholders shall be called as provided in the Certificate of Incorporation. Upon request in writing sent by registered or certified mail to the Chairman of the Board, the President, or Chief Executive Officer by any stockholder or stockholders entitled to call a special meeting of stockholders, the Board of Directors shall determine a place and time for such meeting, which time shall be not less than ninety (90) nor more than one hundred (100) days after the receipt and determination of the validity of such request, and a record date for the determination of stockholders entitled to vote at such meeting in the manner set forth in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hereof. Following such receipt and determination, it shall be the duty of the Secretary to cause notice to be given to the stockholders entitled to vote at such meeting, in the manner set forth in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hereof, that a meeting will be held at the time and place so determined. Notice of every special meeting shall state the purpose of the meeting and the business conducted at a special meeting of stockholders shall be limited to the business set forth in the notice of meeting. The Board of Directors may postpone or reschedule any previously called special meeting.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left="660"/>
        <w:spacing w:after="0"/>
        <w:tabs>
          <w:tab w:leader="none" w:pos="19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b w:val="1"/>
          <w:bCs w:val="1"/>
          <w:color w:val="auto"/>
        </w:rPr>
        <w:t>Notice of Meetings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96" w:lineRule="auto"/>
        <w:tabs>
          <w:tab w:leader="none" w:pos="23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Notice of the place, if any, date and time of all meetings of the stockholders, and the means of remote communications, if any, by which stockholders and proxyholders may be deemed present in person and vote at such meeting, and, in the case of all special meetings of stockholders, the purpose of the meeting, shall be given, not less than ten (10) nor more than sixty (60) days before the date on which the meeting is to be held, to each stockholder entitled to vote at the meeting, except as otherwise provided in these bylaws or required by law (meaning in these bylaws, as required from time to time by the Delaware General Corporation Law (the “</w:t>
      </w:r>
      <w:r>
        <w:rPr>
          <w:rFonts w:ascii="Arial" w:cs="Arial" w:eastAsia="Arial" w:hAnsi="Arial"/>
          <w:sz w:val="16"/>
          <w:szCs w:val="16"/>
          <w:i w:val="1"/>
          <w:iCs w:val="1"/>
          <w:color w:val="auto"/>
        </w:rPr>
        <w:t>DGCL</w:t>
      </w:r>
      <w:r>
        <w:rPr>
          <w:rFonts w:ascii="Arial" w:cs="Arial" w:eastAsia="Arial" w:hAnsi="Arial"/>
          <w:sz w:val="16"/>
          <w:szCs w:val="16"/>
          <w:color w:val="auto"/>
        </w:rPr>
        <w:t>”) or the Corporation’s Certificate of Incorporation).</w:t>
      </w:r>
    </w:p>
    <w:p>
      <w:pPr>
        <w:spacing w:after="0" w:line="161" w:lineRule="exact"/>
        <w:rPr>
          <w:rFonts w:ascii="Arial" w:cs="Arial" w:eastAsia="Arial" w:hAnsi="Arial"/>
          <w:sz w:val="16"/>
          <w:szCs w:val="16"/>
          <w:color w:val="auto"/>
        </w:rPr>
      </w:pPr>
    </w:p>
    <w:p>
      <w:pPr>
        <w:jc w:val="both"/>
        <w:ind w:firstLine="1304"/>
        <w:spacing w:after="0" w:line="272" w:lineRule="auto"/>
        <w:tabs>
          <w:tab w:leader="none" w:pos="2342"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When a meeting is adjourned to another time or place, notice need not be given of the adjourned meeting if the time and place, if any, thereof and the means of remote communication, if any, by which stockholder and proxyholders may be deemed to be present in person of such adjourned meeting are announced at the meeting at which the adjournment is taken;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date of any adjourned meeting is more than thirty (30) days after the date for which the meeting was originally noticed, or if a new record date is fixed for the adjourned meeting, notice of the place, if any, date and time of the adjourned meeting and the means of remote communications, if any, by which stockholders and proxyholders may be deemed to be present in person and vote at such adjourned meeting, shall be given in conformity herewith. At any adjourned meeting, any business may be transacted that might have been transacted at the original meeting.</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b w:val="1"/>
          <w:bCs w:val="1"/>
          <w:color w:val="auto"/>
        </w:rPr>
        <w:t>Quorum</w:t>
      </w:r>
      <w:r>
        <w:rPr>
          <w:rFonts w:ascii="Arial" w:cs="Arial" w:eastAsia="Arial" w:hAnsi="Arial"/>
          <w:sz w:val="16"/>
          <w:szCs w:val="16"/>
          <w:color w:val="auto"/>
        </w:rPr>
        <w:t>.</w:t>
      </w:r>
    </w:p>
    <w:p>
      <w:pPr>
        <w:spacing w:after="0" w:line="196" w:lineRule="exact"/>
        <w:rPr>
          <w:sz w:val="20"/>
          <w:szCs w:val="20"/>
          <w:color w:val="auto"/>
        </w:rPr>
      </w:pPr>
    </w:p>
    <w:p>
      <w:pPr>
        <w:jc w:val="both"/>
        <w:ind w:firstLine="1304"/>
        <w:spacing w:after="0" w:line="263" w:lineRule="auto"/>
        <w:tabs>
          <w:tab w:leader="none" w:pos="2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any meeting of the stockholders, the holders of shares of stock of the Corporation entitled to cast at least 33⅓ percent (33.33%) of the total votes entitled to be cast by the holders of all outstanding capital stock of the Corporation, present in person or by proxy, shall constitute a quorum for all purposes, unless or except to the extent that the presence of a larger number is required by law. Where a separate vote by one or more classes or series is required, the holder of shares entitled to cast 33⅓ percent (33.33%) of the total votes entitled to be cast by the holders of the shares of the class or classes or series, present in person or represented by proxy, shall constitute a quorum entitled to take action with respect to that vote on that matter.</w:t>
      </w:r>
    </w:p>
    <w:p>
      <w:pPr>
        <w:spacing w:after="0" w:line="183" w:lineRule="exact"/>
        <w:rPr>
          <w:rFonts w:ascii="Arial" w:cs="Arial" w:eastAsia="Arial" w:hAnsi="Arial"/>
          <w:sz w:val="18"/>
          <w:szCs w:val="18"/>
          <w:color w:val="auto"/>
        </w:rPr>
      </w:pPr>
    </w:p>
    <w:p>
      <w:pPr>
        <w:ind w:left="2260" w:hanging="956"/>
        <w:spacing w:after="0"/>
        <w:tabs>
          <w:tab w:leader="none" w:pos="2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 quorum shall fail to attend any meeting, the chair of the meeting may adjourn the meeting to another place, if any,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time.</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b w:val="1"/>
          <w:bCs w:val="1"/>
          <w:color w:val="auto"/>
        </w:rPr>
        <w:t>Organization</w:t>
      </w:r>
      <w:r>
        <w:rPr>
          <w:rFonts w:ascii="Arial" w:cs="Arial" w:eastAsia="Arial" w:hAnsi="Arial"/>
          <w:sz w:val="18"/>
          <w:szCs w:val="18"/>
          <w:color w:val="auto"/>
        </w:rPr>
        <w:t>. The Chairman of the Board or, in his or her absence, the person whom the Board of Directors designates or, in the absence of that person or the failure of the Board of Directors to designate a person, the Chief Executive Officer of the Corporation or, in his or her absence, the person chosen by the holders of a majority of the shares entitled to vote who are present, in person or by proxy, shall call to order any meeting of the stockholders and act as chair of the meeting. In the absence of the Secretary of the Corporation, the secretary of the meeting shall be the person the chair appoints.</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b w:val="1"/>
          <w:bCs w:val="1"/>
          <w:color w:val="auto"/>
        </w:rPr>
        <w:t>Conduct of Business</w:t>
      </w:r>
      <w:r>
        <w:rPr>
          <w:rFonts w:ascii="Arial" w:cs="Arial" w:eastAsia="Arial" w:hAnsi="Arial"/>
          <w:sz w:val="18"/>
          <w:szCs w:val="18"/>
          <w:color w:val="auto"/>
        </w:rPr>
        <w:t>. The chair of any meeting of stockholders shall determine the order of business and the rules of procedure for the conduct of the meeting, including the manner of voting and the conduct of discussion as the chair determines to be in order. The chair shall have the power to adjourn the meeting to another place, if any, date and time. The date and time of the opening and closing of the polls for each matter upon which the stockholders will vote at the meeting shall be announced at the meeting.</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left="660"/>
        <w:spacing w:after="0"/>
        <w:tabs>
          <w:tab w:leader="none" w:pos="194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5"/>
          <w:szCs w:val="15"/>
          <w:b w:val="1"/>
          <w:bCs w:val="1"/>
          <w:color w:val="auto"/>
        </w:rPr>
        <w:t>Proxies; Inspectors.</w:t>
      </w:r>
    </w:p>
    <w:p>
      <w:pPr>
        <w:spacing w:after="0" w:line="229" w:lineRule="exact"/>
        <w:rPr>
          <w:sz w:val="20"/>
          <w:szCs w:val="20"/>
          <w:color w:val="auto"/>
        </w:rPr>
      </w:pPr>
    </w:p>
    <w:p>
      <w:pPr>
        <w:jc w:val="both"/>
        <w:ind w:firstLine="1304"/>
        <w:spacing w:after="0" w:line="257" w:lineRule="auto"/>
        <w:tabs>
          <w:tab w:leader="none" w:pos="23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may be substituted or used in lieu of the original writing or transmission that could be used, provided that the copy, facsimile telecommunication or other reproduction shall be a complete reproduction of the entire original writing or transmission.</w:t>
      </w:r>
    </w:p>
    <w:p>
      <w:pPr>
        <w:spacing w:after="0" w:line="187" w:lineRule="exact"/>
        <w:rPr>
          <w:rFonts w:ascii="Arial" w:cs="Arial" w:eastAsia="Arial" w:hAnsi="Arial"/>
          <w:sz w:val="18"/>
          <w:szCs w:val="18"/>
          <w:color w:val="auto"/>
        </w:rPr>
      </w:pPr>
    </w:p>
    <w:p>
      <w:pPr>
        <w:jc w:val="both"/>
        <w:ind w:firstLine="1304"/>
        <w:spacing w:after="0" w:line="273" w:lineRule="auto"/>
        <w:tabs>
          <w:tab w:leader="none" w:pos="219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Board of Directors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duties, shall take and sign an oath faithfully to execute the duties of inspector with strict impartiality and according to the best of his or her ability. The inspectors may appoint or retain other persons or entities to assist the inspectors in the performance of the duties of inspectors.</w:t>
      </w:r>
    </w:p>
    <w:p>
      <w:pPr>
        <w:spacing w:after="0" w:line="17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b w:val="1"/>
          <w:bCs w:val="1"/>
          <w:color w:val="auto"/>
        </w:rPr>
        <w:t>Voting</w:t>
      </w:r>
      <w:r>
        <w:rPr>
          <w:rFonts w:ascii="Arial" w:cs="Arial" w:eastAsia="Arial" w:hAnsi="Arial"/>
          <w:sz w:val="18"/>
          <w:szCs w:val="18"/>
          <w:color w:val="auto"/>
        </w:rPr>
        <w:t>. All elections of directors shall be determined by a plurality of the votes cast, and except as otherwise required by law or these bylaws, all other matters shall be determined by a majority of the votes cast on the matter affirmatively or negatively.</w:t>
      </w:r>
    </w:p>
    <w:p>
      <w:pPr>
        <w:spacing w:after="0" w:line="16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b w:val="1"/>
          <w:bCs w:val="1"/>
          <w:color w:val="auto"/>
        </w:rPr>
        <w:t>Stock List</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59" w:lineRule="auto"/>
        <w:tabs>
          <w:tab w:leader="none" w:pos="22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any purpose germane to the meeting, during ordinary business hours for a period of at least ten (10) days prior to the meeting as required by law.</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stock list shall also be open to the examination of any such stockholder during the whole time of the meeting as provided by law. The Corporation may look to this list as the sole evidence of the identity of the stockholders entitled to vote at the meeting and the number of shares held by each of them.</w:t>
      </w:r>
    </w:p>
    <w:p>
      <w:pPr>
        <w:spacing w:after="0" w:line="180"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b w:val="1"/>
          <w:bCs w:val="1"/>
          <w:color w:val="auto"/>
        </w:rPr>
        <w:t>Action without Meeting</w:t>
      </w:r>
      <w:r>
        <w:rPr>
          <w:rFonts w:ascii="Arial" w:cs="Arial" w:eastAsia="Arial" w:hAnsi="Arial"/>
          <w:sz w:val="17"/>
          <w:szCs w:val="17"/>
          <w:color w:val="auto"/>
        </w:rPr>
        <w:t>. No action shall be taken by the stockholders except at an annual or special meeting of stockholders called in accordance with these Bylaws, and no action shall be taken by the stockholders by written consent or by electronic transmission.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b w:val="1"/>
          <w:bCs w:val="1"/>
          <w:color w:val="auto"/>
        </w:rPr>
        <w:t>Number, Election, Term and Qualifications of Directors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63" w:lineRule="auto"/>
        <w:tabs>
          <w:tab w:leader="none" w:pos="2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the special right of the holders of any class or series of stock to elect directors, the number of directors shall be fixed from time to time exclusively by the Board of Directors pursuant to a resolution adopted by a majority of the total number of directors which the Corporation would have if there were no vacancies.</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Directors need not be stockholders to be qualified for election or service as a director of the Corporation.</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color w:val="auto"/>
        </w:rPr>
        <w:t>Removal; Resignation</w:t>
      </w:r>
      <w:r>
        <w:rPr>
          <w:rFonts w:ascii="Arial" w:cs="Arial" w:eastAsia="Arial" w:hAnsi="Arial"/>
          <w:sz w:val="18"/>
          <w:szCs w:val="18"/>
          <w:color w:val="auto"/>
        </w:rPr>
        <w:t>. Any director or the entire Board of Directors may be removed, with or without cause, by the holders of a majority of the shares then entitled to vote at an election of directors. Any director may resign at any time upon notice given in writing to the Corporation. A resignation is effective when the resignation is delivered unless the resignation specifies a later effective date or an effective date determined upon the happening of an event or events. A resignation that is conditioned upon the director failing to receive a specified vote for reelection as a director may provide that it is irrevocable.</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b w:val="1"/>
          <w:bCs w:val="1"/>
          <w:color w:val="auto"/>
        </w:rPr>
        <w:t>Newly Created Directorships and Vacancies</w:t>
      </w:r>
      <w:r>
        <w:rPr>
          <w:rFonts w:ascii="Arial" w:cs="Arial" w:eastAsia="Arial" w:hAnsi="Arial"/>
          <w:sz w:val="17"/>
          <w:szCs w:val="17"/>
          <w:color w:val="auto"/>
        </w:rPr>
        <w:t>. Except as otherwise required by law and subject to the rights of the holders of any series of preferred stock with respect to such series of preferred stock, newly created directorships resulting from any increase in the authorized number of directors or any vacancies on the Board of Directors resulting from death, resignation, retirement, disqualification, removal from office or other cause may be filled by a majority vote of the directors then in office, though less than a quorum, or by a sole remaining director, or by the stockholders. Directors so chosen shall hold office for a term expiring at the annual meeting of stockholders at which the term of office of the class to which they have been elected expires and until the director’s successor shall have been duly elected and qualified. No decrease in the number of authorized directors constituting the entire Board of Directors shall shorten the term of any incumbent director.</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b w:val="1"/>
          <w:bCs w:val="1"/>
          <w:color w:val="auto"/>
        </w:rPr>
        <w:t>Regular Meetings</w:t>
      </w:r>
      <w:r>
        <w:rPr>
          <w:rFonts w:ascii="Arial" w:cs="Arial" w:eastAsia="Arial" w:hAnsi="Arial"/>
          <w:sz w:val="18"/>
          <w:szCs w:val="18"/>
          <w:color w:val="auto"/>
        </w:rPr>
        <w:t>. Regular meetings of the Board of Directors shall be held at the place, on the date and at the time as shall have been established by the Board of Directors and publicized among all directors. A notice of a regular meeting the date of which has been so publicized shall not be required.</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b w:val="1"/>
          <w:bCs w:val="1"/>
          <w:color w:val="auto"/>
        </w:rPr>
        <w:t>Special Meetings</w:t>
      </w:r>
      <w:r>
        <w:rPr>
          <w:rFonts w:ascii="Arial" w:cs="Arial" w:eastAsia="Arial" w:hAnsi="Arial"/>
          <w:sz w:val="17"/>
          <w:szCs w:val="17"/>
          <w:color w:val="auto"/>
        </w:rPr>
        <w:t>. Special meetings of the Board of Directors may be called by the Chairman, the Chief Executive Officer, the President, or by two or more directors then in office and shall be held at the place, on the date, and at the time as they or he or she shall fix. Notice of the place, date, and time of each special meeting shall be given each director either (a) by mailing written notice not less than five (5) days before the meeting, or (b) by telephone or by telegraphing or telexing or by facsimile or electronic transmission of the same not less than 24 hours before the meeting. Unless otherwise stated in the notice thereof, any and all business may be transacted at a special meeting.</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b w:val="1"/>
          <w:bCs w:val="1"/>
          <w:color w:val="auto"/>
        </w:rPr>
        <w:t>Quorum</w:t>
      </w:r>
      <w:r>
        <w:rPr>
          <w:rFonts w:ascii="Arial" w:cs="Arial" w:eastAsia="Arial" w:hAnsi="Arial"/>
          <w:sz w:val="18"/>
          <w:szCs w:val="18"/>
          <w:color w:val="auto"/>
        </w:rPr>
        <w:t>. At any meeting of the Board of Directors, a majority of the total number of the whole Board of Directors shall constitute a quorum for all purposes. If a quorum shall fail to attend any meeting, a majority of those present may adjourn the meeting to another place, date or time, without further notice or waiver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b w:val="1"/>
          <w:bCs w:val="1"/>
          <w:color w:val="auto"/>
        </w:rPr>
        <w:t>Participation in Meetings by Conference Telephone or Other Communications Equipment</w:t>
      </w:r>
      <w:r>
        <w:rPr>
          <w:rFonts w:ascii="Arial" w:cs="Arial" w:eastAsia="Arial" w:hAnsi="Arial"/>
          <w:sz w:val="18"/>
          <w:szCs w:val="18"/>
          <w:color w:val="auto"/>
        </w:rPr>
        <w:t>. Members of the Board of Directors, or of any committee thereof, may participate in a meeting of the Board or committee by means of conference telephone or other communications equipment by means of which all persons participating in the meeting can hear each other and such participation shall constitute presence in person at the meeting.</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firstLine="648"/>
        <w:spacing w:after="0" w:line="255"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b w:val="1"/>
          <w:bCs w:val="1"/>
          <w:color w:val="auto"/>
        </w:rPr>
        <w:t>Conduct of Business</w:t>
      </w:r>
      <w:r>
        <w:rPr>
          <w:rFonts w:ascii="Arial" w:cs="Arial" w:eastAsia="Arial" w:hAnsi="Arial"/>
          <w:sz w:val="18"/>
          <w:szCs w:val="18"/>
          <w:color w:val="auto"/>
        </w:rPr>
        <w:t>. At any meeting of the Board of Directors, business shall be transacted in the order and manner as the Board may from time to time determine, and all matters shall be determined by the vote of a majority of the directors present, except as otherwise provided in these bylaws or required by law. If the Corporation has an even number of directors in office, all of whom are in attendance at the meeting, who are equally divided, the Chairman of the Board shall have the deciding vote. The Board of Directors may take action without a meeting if all members thereof consent thereto in writing or by electronic transmission, and the writing or writings or transmission or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b w:val="1"/>
          <w:bCs w:val="1"/>
          <w:color w:val="auto"/>
        </w:rPr>
        <w:t>Compensation of Directors</w:t>
      </w:r>
      <w:r>
        <w:rPr>
          <w:rFonts w:ascii="Arial" w:cs="Arial" w:eastAsia="Arial" w:hAnsi="Arial"/>
          <w:sz w:val="17"/>
          <w:szCs w:val="17"/>
          <w:color w:val="auto"/>
        </w:rPr>
        <w:t>. Unless otherwise restricted by the Certificate of Incorporation, the Board of Directors shall have the authority to fix the compensation of the directors. The directors may be paid their expenses, if any, of attendance at each meeting of the Board of Directors and may be paid a fixed sum for attendance at each meeting of the Board of Directors or paid a stated salary or paid other compensation as directors. No such payment shall preclude any director from serving the Corporation in any other capacity and receiving compensation therefor. Members of standing or special committees may be allowed compensation for attending committee meetings.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color w:val="auto"/>
        </w:rPr>
        <w:t>Committees of the Board of Directors</w:t>
      </w:r>
      <w:r>
        <w:rPr>
          <w:rFonts w:ascii="Arial" w:cs="Arial" w:eastAsia="Arial" w:hAnsi="Arial"/>
          <w:sz w:val="18"/>
          <w:szCs w:val="18"/>
          <w:color w:val="auto"/>
        </w:rPr>
        <w:t>. The Board of Directors may from time to time designate standing and special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 The responsibilities of each standing committee shall be stated in the committee’s charter, as approved by the Board of Directors. Each special committee shall perform such duties and exercise such powers as may be delegated to it expressly by the Board of Directors.</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color w:val="auto"/>
        </w:rPr>
        <w:t>Conduct of Business</w:t>
      </w:r>
      <w:r>
        <w:rPr>
          <w:rFonts w:ascii="Arial" w:cs="Arial" w:eastAsia="Arial" w:hAnsi="Arial"/>
          <w:sz w:val="18"/>
          <w:szCs w:val="18"/>
          <w:color w:val="auto"/>
        </w:rPr>
        <w:t>. Each committee may determine the procedural rules for meeting and conducting its business and shall act in accordance therewith, except as otherwise provided herein or required by law.</w:t>
      </w:r>
    </w:p>
    <w:p>
      <w:pPr>
        <w:spacing w:after="0" w:line="16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b w:val="1"/>
          <w:bCs w:val="1"/>
          <w:color w:val="auto"/>
        </w:rPr>
        <w:t>Generally</w:t>
      </w:r>
      <w:r>
        <w:rPr>
          <w:rFonts w:ascii="Arial" w:cs="Arial" w:eastAsia="Arial" w:hAnsi="Arial"/>
          <w:sz w:val="16"/>
          <w:szCs w:val="16"/>
          <w:color w:val="auto"/>
        </w:rPr>
        <w:t>. The officers of the Corporation shall consist of a Chairman of the Board, a Chief Executive Officer or a President, a Secretary, and a Treasurer. The officers of the Corporation may consist of a Chief Financial Officer, one or more Vice Presidents, a Principal Accounting Officer, and the other officers as may from time to time be appointed by the Board of Directors. Officers shall be elected by the Board of Directors,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 The salaries of officers elected by the Board of Directors shall be fixed from time to time by the Board of Directors or by the officers as may be designated by resolution of the Board.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left="660"/>
        <w:spacing w:after="0"/>
        <w:tabs>
          <w:tab w:leader="none" w:pos="200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b w:val="1"/>
          <w:bCs w:val="1"/>
          <w:color w:val="auto"/>
        </w:rPr>
        <w:t>Chairman of the Board</w:t>
      </w:r>
      <w:r>
        <w:rPr>
          <w:rFonts w:ascii="Arial" w:cs="Arial" w:eastAsia="Arial" w:hAnsi="Arial"/>
          <w:sz w:val="16"/>
          <w:szCs w:val="16"/>
          <w:color w:val="auto"/>
        </w:rPr>
        <w:t>. The Chairman of the Board shall preside at all meetings of stockholders and the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Chairman shall have the other powers and duties as may be delegated from time to time by the Board of Directors.</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b w:val="1"/>
          <w:bCs w:val="1"/>
          <w:color w:val="auto"/>
        </w:rPr>
        <w:t>Chief Executive Officer</w:t>
      </w:r>
      <w:r>
        <w:rPr>
          <w:rFonts w:ascii="Arial" w:cs="Arial" w:eastAsia="Arial" w:hAnsi="Arial"/>
          <w:sz w:val="18"/>
          <w:szCs w:val="18"/>
          <w:color w:val="auto"/>
        </w:rPr>
        <w:t>. The Chief Executive Officer shall, subject to the oversight of the Board of Directors, have general supervision, direction and control of the business and the officers, employees and agents of the Corporation. In the absence of the Chairman of the Board of Directors, the Chief Executive Officer, if such officer is a director, shall preside at all meetings of the Board of Directors, unless the Board of Directors determines otherwise. The Chief Executive Officer shall perform such other duties and have such other powers as the Board of Directors shall designate from time to time.</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b w:val="1"/>
          <w:bCs w:val="1"/>
          <w:color w:val="auto"/>
        </w:rPr>
        <w:t>President</w:t>
      </w:r>
      <w:r>
        <w:rPr>
          <w:rFonts w:ascii="Arial" w:cs="Arial" w:eastAsia="Arial" w:hAnsi="Arial"/>
          <w:sz w:val="17"/>
          <w:szCs w:val="17"/>
          <w:color w:val="auto"/>
        </w:rPr>
        <w:t>. Subject to the oversight of the Board of Directors and the supervision, control and authority of the Chief Executive Officer, the President shall have general supervision, direction and control of the business and the officers, employees and agents of the Corporation. In the absence of a Chief Executive Officer appointed by the Board, the President shall be the chief executive officer of the Corporation. The President shall perform such other duties and have such other powers as the Board of Directors shall designate from time to time.</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b w:val="1"/>
          <w:bCs w:val="1"/>
          <w:color w:val="auto"/>
        </w:rPr>
        <w:t>Vice President</w:t>
      </w:r>
      <w:r>
        <w:rPr>
          <w:rFonts w:ascii="Arial" w:cs="Arial" w:eastAsia="Arial" w:hAnsi="Arial"/>
          <w:sz w:val="18"/>
          <w:szCs w:val="18"/>
          <w:color w:val="auto"/>
        </w:rPr>
        <w:t>. Each Vice President shall have the powers and duties as may be delegated to him or her by the Board of Directors. One (1) Vice President may be designated by the Board to perform the duties and exercise the powers of the chief executive officer in the event of that officer’s absence or disability.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b w:val="1"/>
          <w:bCs w:val="1"/>
          <w:color w:val="auto"/>
        </w:rPr>
        <w:t>Chief Financial Officer and Treasurer</w:t>
      </w:r>
      <w:r>
        <w:rPr>
          <w:rFonts w:ascii="Arial" w:cs="Arial" w:eastAsia="Arial" w:hAnsi="Arial"/>
          <w:sz w:val="17"/>
          <w:szCs w:val="17"/>
          <w:color w:val="auto"/>
        </w:rPr>
        <w:t>. Each of the Chief Financial Officer and the Treasurer shall control, monitor and arrange the financial affairs of the corporation and shall maintain the financial records of the Corporation, consistent with the responsibilities delegated to each of them by the Corporation’s Chief Executive Officer or President. The Chief Financial Officer or Treasurer, as the case may be, shall receive and deposit all monies belonging to the Corporation and shall pay out the same only in such manner as the Board of Directors may from time to time determine, and shall have such other powers and perform such other duties as the Board of Directors may require.</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b w:val="1"/>
          <w:bCs w:val="1"/>
          <w:color w:val="auto"/>
        </w:rPr>
        <w:t>Secretary</w:t>
      </w:r>
      <w:r>
        <w:rPr>
          <w:rFonts w:ascii="Arial" w:cs="Arial" w:eastAsia="Arial" w:hAnsi="Arial"/>
          <w:sz w:val="18"/>
          <w:szCs w:val="18"/>
          <w:color w:val="auto"/>
        </w:rPr>
        <w:t>. The Secretary shall issue all authorized notices for, and shall keep minutes of, all meetings of the stockholders and the Board of Directors. He or she shall have charge of the corporate books and shall perform the other duties as the Board of Directors may from time to time prescribe.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b w:val="1"/>
          <w:bCs w:val="1"/>
          <w:color w:val="auto"/>
        </w:rPr>
        <w:t>Principal Accounting Officer</w:t>
      </w:r>
      <w:r>
        <w:rPr>
          <w:rFonts w:ascii="Arial" w:cs="Arial" w:eastAsia="Arial" w:hAnsi="Arial"/>
          <w:sz w:val="18"/>
          <w:szCs w:val="18"/>
          <w:color w:val="auto"/>
        </w:rPr>
        <w:t>. The Principal Accounting Officer shall have charge of the accounting affairs of the Corporation and shall have such other powers and perform such other duties as the Board of Directors shall designate. The Principal Accounting Officer shall report to the Chief Financial Officer.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b w:val="1"/>
          <w:bCs w:val="1"/>
          <w:color w:val="auto"/>
        </w:rPr>
        <w:t>Delegation of Authority</w:t>
      </w:r>
      <w:r>
        <w:rPr>
          <w:rFonts w:ascii="Arial" w:cs="Arial" w:eastAsia="Arial" w:hAnsi="Arial"/>
          <w:sz w:val="18"/>
          <w:szCs w:val="18"/>
          <w:color w:val="auto"/>
        </w:rPr>
        <w:t>. The Board of Directors may from time to time delegate the powers or duties of any officer to any other officers or agents, notwithstanding any provision hereof.</w:t>
      </w:r>
    </w:p>
    <w:p>
      <w:pPr>
        <w:spacing w:after="0" w:line="16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b w:val="1"/>
          <w:bCs w:val="1"/>
          <w:color w:val="auto"/>
        </w:rPr>
        <w:t>Removal</w:t>
      </w:r>
      <w:r>
        <w:rPr>
          <w:rFonts w:ascii="Arial" w:cs="Arial" w:eastAsia="Arial" w:hAnsi="Arial"/>
          <w:sz w:val="16"/>
          <w:szCs w:val="16"/>
          <w:color w:val="auto"/>
        </w:rPr>
        <w:t>. The Board of Directors may remove any officer of the Corporation at any time, with or without cause.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648"/>
        <w:spacing w:after="0" w:line="258"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b w:val="1"/>
          <w:bCs w:val="1"/>
          <w:color w:val="auto"/>
        </w:rPr>
        <w:t>Action with Respect to Securities of Other Corporations</w:t>
      </w:r>
      <w:r>
        <w:rPr>
          <w:rFonts w:ascii="Arial" w:cs="Arial" w:eastAsia="Arial" w:hAnsi="Arial"/>
          <w:sz w:val="18"/>
          <w:szCs w:val="18"/>
          <w:color w:val="auto"/>
        </w:rPr>
        <w:t>. Unless otherwise directed by the Board of Directors, the Chief Executive Officer or any officer of the Corporation authorized by the Chief Executive Officer shall have power to vote and otherwise act on behalf of the Corporation, in person or by proxy, at any meeting of stockholders or equity holders of any other corporation or entity or in which this Corporation may hold securities and otherwise to exercise any and all rights and powers which this Corporation may possess by reason of its ownership of securities in the other corporation or entity.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b w:val="1"/>
          <w:bCs w:val="1"/>
          <w:color w:val="auto"/>
        </w:rPr>
        <w:t>Certificates of Stock</w:t>
      </w:r>
      <w:r>
        <w:rPr>
          <w:rFonts w:ascii="Arial" w:cs="Arial" w:eastAsia="Arial" w:hAnsi="Arial"/>
          <w:sz w:val="18"/>
          <w:szCs w:val="18"/>
          <w:color w:val="auto"/>
        </w:rPr>
        <w:t>. Each stockholder shall be entitled to a certificate signed by, or in the name of the Corporation by, the Chairman of the Board, the Vice Chairman of the Board, the Chief Executive Officer, President or Vice President, and by the Secretary or an Assistant Secretary, or the Treasurer or an Assistant Treasurer, certifying the number of shares owned by him or her unless the Board of Directors provides by resolution that some or all of any or all classes or series of stock shall be uncertificated shares. Any or all of the signatures on the certificate may be by facsimile.</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b w:val="1"/>
          <w:bCs w:val="1"/>
          <w:color w:val="auto"/>
        </w:rPr>
        <w:t>Transfers of Stock</w:t>
      </w:r>
      <w:r>
        <w:rPr>
          <w:rFonts w:ascii="Arial" w:cs="Arial" w:eastAsia="Arial" w:hAnsi="Arial"/>
          <w:sz w:val="18"/>
          <w:szCs w:val="18"/>
          <w:color w:val="auto"/>
        </w:rPr>
        <w:t xml:space="preserve">. Transfers of stock shall be made only upon the transfer books of the Corporation kept at an office of the Corporation or by transfer agents designated to transfer shares of the stock of the Corporation. Except where a certificate is issued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these bylaws, an outstanding certificate for the number of shares involved shall be surrendered for cancellation before a new certificate is issued therefore.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color w:val="auto"/>
        </w:rPr>
        <w:t>Lost, Stolen or Destroyed Certificates</w:t>
      </w:r>
      <w:r>
        <w:rPr>
          <w:rFonts w:ascii="Arial" w:cs="Arial" w:eastAsia="Arial" w:hAnsi="Arial"/>
          <w:sz w:val="18"/>
          <w:szCs w:val="18"/>
          <w:color w:val="auto"/>
        </w:rPr>
        <w:t>. In the event of the loss, theft, or destruction of any certificate of stock, another may be issued in its place pursuant to the regulations that the Board of Directors may establish concerning proof of the loss, theft, or destruction and concerning the giving of a satisfactory bond or bonds of indemnity.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b w:val="1"/>
          <w:bCs w:val="1"/>
          <w:color w:val="auto"/>
        </w:rPr>
        <w:t>Regulations</w:t>
      </w:r>
      <w:r>
        <w:rPr>
          <w:rFonts w:ascii="Arial" w:cs="Arial" w:eastAsia="Arial" w:hAnsi="Arial"/>
          <w:sz w:val="18"/>
          <w:szCs w:val="18"/>
          <w:color w:val="auto"/>
        </w:rPr>
        <w:t>. The issue, transfer, conversion and registration of certificates of stock shall be governed by the other regulations as the Board of Directors may establish.</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b w:val="1"/>
          <w:bCs w:val="1"/>
          <w:color w:val="auto"/>
        </w:rPr>
        <w:t>Record Date.</w:t>
      </w:r>
    </w:p>
    <w:p>
      <w:pPr>
        <w:spacing w:after="0" w:line="229" w:lineRule="exact"/>
        <w:rPr>
          <w:sz w:val="20"/>
          <w:szCs w:val="20"/>
          <w:color w:val="auto"/>
        </w:rPr>
      </w:pPr>
    </w:p>
    <w:p>
      <w:pPr>
        <w:jc w:val="both"/>
        <w:ind w:firstLine="1304"/>
        <w:spacing w:after="0" w:line="288" w:lineRule="auto"/>
        <w:tabs>
          <w:tab w:leader="none" w:pos="2238"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except as otherwise required by law,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the other action described above;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no record date is fixed by the Board of Directors, the record date for determining stockholders entitled to notice of or to vote at a</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firstLine="1304"/>
        <w:spacing w:after="0" w:line="277" w:lineRule="auto"/>
        <w:tabs>
          <w:tab w:leader="none" w:pos="2356"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of Directors may fix a new record date for the adjourned meeting.</w:t>
      </w:r>
    </w:p>
    <w:p>
      <w:pPr>
        <w:spacing w:after="0" w:line="170" w:lineRule="exact"/>
        <w:rPr>
          <w:rFonts w:ascii="Arial" w:cs="Arial" w:eastAsia="Arial" w:hAnsi="Arial"/>
          <w:sz w:val="18"/>
          <w:szCs w:val="18"/>
          <w:color w:val="auto"/>
        </w:rPr>
      </w:pPr>
    </w:p>
    <w:p>
      <w:pPr>
        <w:jc w:val="both"/>
        <w:ind w:firstLine="1304"/>
        <w:spacing w:after="0" w:line="284" w:lineRule="auto"/>
        <w:tabs>
          <w:tab w:leader="none" w:pos="2359" w:val="left"/>
        </w:tabs>
        <w:numPr>
          <w:ilvl w:val="1"/>
          <w:numId w:val="43"/>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(unless the Board of Directors has previously fixed a record date pursuant to the first sentence hereof). If no record date has been fixed by the Board of Directors pursuant to the first sentence hereof or otherwise within ten</w:t>
      </w:r>
    </w:p>
    <w:p>
      <w:pPr>
        <w:spacing w:after="0" w:line="2" w:lineRule="exact"/>
        <w:rPr>
          <w:rFonts w:ascii="Arial" w:cs="Arial" w:eastAsia="Arial" w:hAnsi="Arial"/>
          <w:sz w:val="16"/>
          <w:szCs w:val="16"/>
          <w:color w:val="auto"/>
        </w:rPr>
      </w:pPr>
    </w:p>
    <w:p>
      <w:pPr>
        <w:jc w:val="both"/>
        <w:ind w:firstLine="8"/>
        <w:spacing w:after="0" w:line="288" w:lineRule="auto"/>
        <w:tabs>
          <w:tab w:leader="none" w:pos="359" w:val="left"/>
        </w:tabs>
        <w:numPr>
          <w:ilvl w:val="0"/>
          <w:numId w:val="44"/>
        </w:numPr>
        <w:rPr>
          <w:rFonts w:ascii="Arial" w:cs="Arial" w:eastAsia="Arial" w:hAnsi="Arial"/>
          <w:sz w:val="16"/>
          <w:szCs w:val="16"/>
          <w:color w:val="auto"/>
        </w:rPr>
      </w:pPr>
      <w:r>
        <w:rPr>
          <w:rFonts w:ascii="Arial" w:cs="Arial" w:eastAsia="Arial" w:hAnsi="Arial"/>
          <w:sz w:val="16"/>
          <w:szCs w:val="16"/>
          <w:color w:val="auto"/>
        </w:rPr>
        <w:t>days of the date on which such a request is received, the record date for determining stockholders entitled to consent to corporate action in writing without a meeting, where no prior action by the Board of Directors is required by applicable law, shall be the first date on which a signed written consent setting forth the action taken or proposed to be taken is delivered to the Corporation by delivery to its registered agent in Delaware, its principal place of business, or to any officer or agent of the Corporation having custody of the book in which proceedings of meetings of stockholders are reported. Delivery shall be by hand or by certified or registered mail, return receipt requested.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the prior action.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311" w:lineRule="auto"/>
        <w:tabs>
          <w:tab w:leader="none" w:pos="25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mailed, notice to stockholder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144" w:lineRule="exact"/>
        <w:rPr>
          <w:rFonts w:ascii="Arial" w:cs="Arial" w:eastAsia="Arial" w:hAnsi="Arial"/>
          <w:sz w:val="16"/>
          <w:szCs w:val="16"/>
          <w:color w:val="auto"/>
        </w:rPr>
      </w:pPr>
    </w:p>
    <w:p>
      <w:pPr>
        <w:jc w:val="both"/>
        <w:ind w:firstLine="1304"/>
        <w:spacing w:after="0" w:line="261" w:lineRule="auto"/>
        <w:tabs>
          <w:tab w:leader="none" w:pos="2248"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9" w:lineRule="exact"/>
        <w:rPr>
          <w:rFonts w:ascii="Arial" w:cs="Arial" w:eastAsia="Arial" w:hAnsi="Arial"/>
          <w:sz w:val="18"/>
          <w:szCs w:val="18"/>
          <w:color w:val="auto"/>
        </w:rPr>
      </w:pPr>
    </w:p>
    <w:p>
      <w:pPr>
        <w:jc w:val="both"/>
        <w:ind w:firstLine="1304"/>
        <w:spacing w:after="0" w:line="266" w:lineRule="auto"/>
        <w:tabs>
          <w:tab w:leader="none" w:pos="217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w:t>
      </w:r>
      <w:r>
        <w:rPr>
          <w:rFonts w:ascii="Arial" w:cs="Arial" w:eastAsia="Arial" w:hAnsi="Arial"/>
          <w:sz w:val="18"/>
          <w:szCs w:val="18"/>
          <w:b w:val="1"/>
          <w:bCs w:val="1"/>
          <w:color w:val="auto"/>
        </w:rPr>
        <w:t xml:space="preserve"> </w:t>
      </w:r>
      <w:r>
        <w:rPr>
          <w:rFonts w:ascii="Arial" w:cs="Arial" w:eastAsia="Arial" w:hAnsi="Arial"/>
          <w:sz w:val="18"/>
          <w:szCs w:val="18"/>
          <w:color w:val="auto"/>
        </w:rPr>
        <w:t>notice, but one permissible method may be employed in respect of any one or more, and any other permissible method or methods may be employed in respect of any other or others.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both"/>
        <w:ind w:firstLine="1304"/>
        <w:spacing w:after="0" w:line="273" w:lineRule="auto"/>
        <w:tabs>
          <w:tab w:leader="none" w:pos="2194"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Notice To Person With Whom Communication Is Unlawful</w:t>
      </w:r>
      <w:r>
        <w:rPr>
          <w:rFonts w:ascii="Arial" w:cs="Arial" w:eastAsia="Arial" w:hAnsi="Arial"/>
          <w:sz w:val="17"/>
          <w:szCs w:val="17"/>
          <w:color w:val="auto"/>
        </w:rPr>
        <w:t>. Whenever notice is required to be given, under any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1" w:lineRule="exact"/>
        <w:rPr>
          <w:rFonts w:ascii="Arial" w:cs="Arial" w:eastAsia="Arial" w:hAnsi="Arial"/>
          <w:sz w:val="17"/>
          <w:szCs w:val="17"/>
          <w:color w:val="auto"/>
        </w:rPr>
      </w:pPr>
    </w:p>
    <w:p>
      <w:pPr>
        <w:jc w:val="both"/>
        <w:ind w:firstLine="1304"/>
        <w:spacing w:after="0" w:line="277" w:lineRule="auto"/>
        <w:tabs>
          <w:tab w:leader="none" w:pos="2386"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Notice to Stockholders Sharing an Address</w:t>
      </w:r>
      <w:r>
        <w:rPr>
          <w:rFonts w:ascii="Arial" w:cs="Arial" w:eastAsia="Arial" w:hAnsi="Arial"/>
          <w:sz w:val="17"/>
          <w:szCs w:val="17"/>
          <w:color w:val="auto"/>
        </w:rPr>
        <w:t>. Except as otherwise prohibited under DGCL, any notice given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DGCL, the Certificate of Incorporation or these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b w:val="1"/>
          <w:bCs w:val="1"/>
          <w:color w:val="auto"/>
        </w:rPr>
        <w:t>Waivers</w:t>
      </w:r>
      <w:r>
        <w:rPr>
          <w:rFonts w:ascii="Arial" w:cs="Arial" w:eastAsia="Arial" w:hAnsi="Arial"/>
          <w:sz w:val="18"/>
          <w:szCs w:val="18"/>
          <w:color w:val="auto"/>
        </w:rPr>
        <w:t>. A written waiver of any notice, signed by a stockholder or director, or a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the waiver. Attendance at any meeting shall constitute waiver of notice except attendance for the sole purpose of objecting at the beginning of the meeting to the transaction of any business because the meeting is not lawfully called or convened.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b w:val="1"/>
          <w:bCs w:val="1"/>
          <w:color w:val="auto"/>
        </w:rPr>
        <w:t>Corporate Seal</w:t>
      </w:r>
      <w:r>
        <w:rPr>
          <w:rFonts w:ascii="Arial" w:cs="Arial" w:eastAsia="Arial" w:hAnsi="Arial"/>
          <w:sz w:val="18"/>
          <w:szCs w:val="18"/>
          <w:color w:val="auto"/>
        </w:rPr>
        <w:t>. The Board of Directors may provide a suitable seal, containing the name of the Corporation, which seal shall be in the charge of the Secretary. If and when so directed by the Board of Directors, duplicates of the seal may be kept and used by the Treasurer or by an Assistant Secretary or Assistant Treasurer.</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b w:val="1"/>
          <w:bCs w:val="1"/>
          <w:color w:val="auto"/>
        </w:rPr>
        <w:t>Facsimile Signatures</w:t>
      </w:r>
      <w:r>
        <w:rPr>
          <w:rFonts w:ascii="Arial" w:cs="Arial" w:eastAsia="Arial" w:hAnsi="Arial"/>
          <w:sz w:val="18"/>
          <w:szCs w:val="18"/>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b w:val="1"/>
          <w:bCs w:val="1"/>
          <w:color w:val="auto"/>
        </w:rPr>
        <w:t>Reliance upon Books, Reports and Records</w:t>
      </w:r>
      <w:r>
        <w:rPr>
          <w:rFonts w:ascii="Arial" w:cs="Arial" w:eastAsia="Arial" w:hAnsi="Arial"/>
          <w:sz w:val="16"/>
          <w:szCs w:val="16"/>
          <w:color w:val="auto"/>
        </w:rPr>
        <w:t>. Each director, each member of any committee designated by the Board of Directors,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of the Corporation shall be as fixed by the Board of Directors.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b w:val="1"/>
          <w:bCs w:val="1"/>
          <w:color w:val="auto"/>
        </w:rPr>
        <w:t>Time Periods</w:t>
      </w:r>
      <w:r>
        <w:rPr>
          <w:rFonts w:ascii="Arial" w:cs="Arial" w:eastAsia="Arial" w:hAnsi="Arial"/>
          <w:sz w:val="18"/>
          <w:szCs w:val="18"/>
          <w:color w:val="auto"/>
        </w:rPr>
        <w:t>.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b w:val="1"/>
          <w:bCs w:val="1"/>
          <w:color w:val="auto"/>
        </w:rPr>
        <w:t>Electronic Transmission</w:t>
      </w:r>
      <w:r>
        <w:rPr>
          <w:rFonts w:ascii="Arial" w:cs="Arial" w:eastAsia="Arial" w:hAnsi="Arial"/>
          <w:sz w:val="18"/>
          <w:szCs w:val="18"/>
          <w:color w:val="auto"/>
        </w:rPr>
        <w:t>. When used in these Bylaws, the terms “written” and “in writing” shall include any “electronic transmission,” as defined in Section 232(c) of the DGCL, including without limitation any telegram, cablegram, facsimile transmission and communication by electronic mail.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b w:val="1"/>
          <w:bCs w:val="1"/>
          <w:color w:val="auto"/>
        </w:rPr>
        <w:t>Right to Indemnification</w:t>
      </w:r>
      <w:r>
        <w:rPr>
          <w:rFonts w:ascii="Arial" w:cs="Arial" w:eastAsia="Arial" w:hAnsi="Arial"/>
          <w:sz w:val="16"/>
          <w:szCs w:val="16"/>
          <w:color w:val="auto"/>
        </w:rPr>
        <w:t>. Each person who was or is made a party or is threatened to be made a party to or is otherwise involved in any action, suit or proceeding, whether civil, criminal, administrative or investigative (a “</w:t>
      </w:r>
      <w:r>
        <w:rPr>
          <w:rFonts w:ascii="Arial" w:cs="Arial" w:eastAsia="Arial" w:hAnsi="Arial"/>
          <w:sz w:val="16"/>
          <w:szCs w:val="16"/>
          <w:i w:val="1"/>
          <w:iCs w:val="1"/>
          <w:color w:val="auto"/>
        </w:rPr>
        <w:t>proceeding</w:t>
      </w:r>
      <w:r>
        <w:rPr>
          <w:rFonts w:ascii="Arial" w:cs="Arial" w:eastAsia="Arial" w:hAnsi="Arial"/>
          <w:sz w:val="16"/>
          <w:szCs w:val="16"/>
          <w:color w:val="auto"/>
        </w:rPr>
        <w:t>”), by reason of the fact that he or she is or was a director or an officer of the Corporation or is or was serving at the request of the Corporation as a director, officer, employee or agent of another corporation or of a partnership, joint venture, trust or other enterprise, including service with respect to an employee benefit plan (an “</w:t>
      </w:r>
      <w:r>
        <w:rPr>
          <w:rFonts w:ascii="Arial" w:cs="Arial" w:eastAsia="Arial" w:hAnsi="Arial"/>
          <w:sz w:val="16"/>
          <w:szCs w:val="16"/>
          <w:i w:val="1"/>
          <w:iCs w:val="1"/>
          <w:color w:val="auto"/>
        </w:rPr>
        <w:t>indemnitee</w:t>
      </w:r>
      <w:r>
        <w:rPr>
          <w:rFonts w:ascii="Arial" w:cs="Arial" w:eastAsia="Arial" w:hAnsi="Arial"/>
          <w:sz w:val="16"/>
          <w:szCs w:val="16"/>
          <w:color w:val="auto"/>
        </w:rPr>
        <w:t xml:space="preserve">”), whether the basis of the proceeding is alleged action in an official capacity as a director or officer or in any other capacity while serving as a director, officer, employee or agent, shall be indemnified and held harmless by the Corporation to the fullest extent permitted by applicable law as the same exists or may hereafter be amended (but, in the case of any such amendment, only to the extent that the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the indemnitee in connection therewith; provided, however, that, except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proceedings to enforce rights to indemnification and advancement of expenses, the Corporation shall indemnify any such indemnitee in connection with a proceeding (or part thereof) initiated by the indemnitee only if the proceeding (or part thereof) was authorized by the Board of Directors of the Corporation.</w:t>
      </w:r>
    </w:p>
    <w:p>
      <w:pPr>
        <w:spacing w:after="0" w:line="16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b w:val="1"/>
          <w:bCs w:val="1"/>
          <w:color w:val="auto"/>
        </w:rPr>
        <w:t>Right to Advancement of Expenses</w:t>
      </w:r>
      <w:r>
        <w:rPr>
          <w:rFonts w:ascii="Arial" w:cs="Arial" w:eastAsia="Arial" w:hAnsi="Arial"/>
          <w:sz w:val="16"/>
          <w:szCs w:val="16"/>
          <w:color w:val="auto"/>
        </w:rPr>
        <w:t xml:space="preserve">. The right to indemnification conferred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include the right to be paid by the Corporation the expenses (including attorney’s fees) incurred in defending any such proceeding in advance of its final disposition (an “</w:t>
      </w:r>
      <w:r>
        <w:rPr>
          <w:rFonts w:ascii="Arial" w:cs="Arial" w:eastAsia="Arial" w:hAnsi="Arial"/>
          <w:sz w:val="16"/>
          <w:szCs w:val="16"/>
          <w:i w:val="1"/>
          <w:iCs w:val="1"/>
          <w:color w:val="auto"/>
        </w:rPr>
        <w:t>advancement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w:t>
      </w:r>
      <w:r>
        <w:rPr>
          <w:rFonts w:ascii="Arial" w:cs="Arial" w:eastAsia="Arial" w:hAnsi="Arial"/>
          <w:sz w:val="16"/>
          <w:szCs w:val="16"/>
          <w:color w:val="auto"/>
        </w:rPr>
        <w:t>”); provided, however, that, if the DGCL requires, an advancement of expenses incurred by an indemnitee in his or her capacity as a director 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not in any other capacity in which service was or is rendered by the indemnitee, including, without limitation, service to an employee benefit plan) shall be made only upon delivery to the Corporation of an undertaking (an “</w:t>
      </w:r>
      <w:r>
        <w:rPr>
          <w:rFonts w:ascii="Arial" w:cs="Arial" w:eastAsia="Arial" w:hAnsi="Arial"/>
          <w:sz w:val="16"/>
          <w:szCs w:val="16"/>
          <w:i w:val="1"/>
          <w:iCs w:val="1"/>
          <w:color w:val="auto"/>
        </w:rPr>
        <w:t>undertaking</w:t>
      </w:r>
      <w:r>
        <w:rPr>
          <w:rFonts w:ascii="Arial" w:cs="Arial" w:eastAsia="Arial" w:hAnsi="Arial"/>
          <w:sz w:val="16"/>
          <w:szCs w:val="16"/>
          <w:color w:val="auto"/>
        </w:rPr>
        <w:t>”), by or on behalf of the indemnitee, to repay all amounts so advanced if it shall ultimately be determined by final judicial decision from which there is no further right to appeal (a “</w:t>
      </w:r>
      <w:r>
        <w:rPr>
          <w:rFonts w:ascii="Arial" w:cs="Arial" w:eastAsia="Arial" w:hAnsi="Arial"/>
          <w:sz w:val="16"/>
          <w:szCs w:val="16"/>
          <w:i w:val="1"/>
          <w:iCs w:val="1"/>
          <w:color w:val="auto"/>
        </w:rPr>
        <w:t>final adjudication</w:t>
      </w:r>
      <w:r>
        <w:rPr>
          <w:rFonts w:ascii="Arial" w:cs="Arial" w:eastAsia="Arial" w:hAnsi="Arial"/>
          <w:sz w:val="16"/>
          <w:szCs w:val="16"/>
          <w:color w:val="auto"/>
        </w:rPr>
        <w:t xml:space="preserve">”) that the indemnitee is not entitled to be indemnified for the expenses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to the advancement of expenses conferred in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the indemnitee’s heirs, executors and administrators.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ind w:firstLine="648"/>
        <w:spacing w:after="0" w:line="286"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b w:val="1"/>
          <w:bCs w:val="1"/>
          <w:color w:val="auto"/>
        </w:rPr>
        <w:t>Right of Indemnitee to Bring Suit</w:t>
      </w:r>
      <w:r>
        <w:rPr>
          <w:rFonts w:ascii="Arial" w:cs="Arial" w:eastAsia="Arial" w:hAnsi="Arial"/>
          <w:sz w:val="16"/>
          <w:szCs w:val="16"/>
          <w:color w:val="auto"/>
        </w:rPr>
        <w:t xml:space="preserve">. If a claim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(i) the indemnitee to enforce a right to indemnification hereunder (but not in a suit brought by the indemnitee to enforce a right to an advancement of expenses) it shall be a defense that, and (ii)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Board of Directors, independent legal counsel, or its stockholders) that the indemnitee has not met the applicable standard of conduct, shall create a presumption that the indemnitee has not met the applicable standard of conduct or, in the case of such a suit brought by the indemnitee, be a defense to the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or otherwise shall be on the Corporation.</w:t>
      </w:r>
    </w:p>
    <w:p>
      <w:pPr>
        <w:spacing w:after="0" w:line="1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b w:val="1"/>
          <w:bCs w:val="1"/>
          <w:color w:val="auto"/>
        </w:rPr>
        <w:t>Non-exclusivity of Rights</w:t>
      </w:r>
      <w:r>
        <w:rPr>
          <w:rFonts w:ascii="Arial" w:cs="Arial" w:eastAsia="Arial" w:hAnsi="Arial"/>
          <w:sz w:val="18"/>
          <w:szCs w:val="18"/>
          <w:color w:val="auto"/>
        </w:rPr>
        <w:t xml:space="preserve">. The rights to indemnification and to the advancement of expenses conferred in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shall not be exclusive of any other right which any person may have or hereafter acquire under any statute, the Corporation’s Certificate of Incorporation, bylaws, agreement, vote of stockholders or disinterested directors or otherwise.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b w:val="1"/>
          <w:bCs w:val="1"/>
          <w:color w:val="auto"/>
        </w:rPr>
        <w:t>Insurance</w:t>
      </w:r>
      <w:r>
        <w:rPr>
          <w:rFonts w:ascii="Arial" w:cs="Arial" w:eastAsia="Arial" w:hAnsi="Arial"/>
          <w:sz w:val="18"/>
          <w:szCs w:val="18"/>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the person against the expense, liability or loss under the DGCL.</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b w:val="1"/>
          <w:bCs w:val="1"/>
          <w:color w:val="auto"/>
        </w:rPr>
        <w:t>Indemnification of Officers, Employees and Agents of the Corporation</w:t>
      </w:r>
      <w:r>
        <w:rPr>
          <w:rFonts w:ascii="Arial" w:cs="Arial" w:eastAsia="Arial" w:hAnsi="Arial"/>
          <w:sz w:val="18"/>
          <w:szCs w:val="18"/>
          <w:color w:val="auto"/>
        </w:rPr>
        <w:t xml:space="preserve">. The Corporation may, to the extent authorized from time to time by the Board of Directors, grant rights to indemnification and to the advancement of expenses to any officer, employee or agent of the Corporation to the fullest extent of the provisions of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with respect to the indemnification and advancement of expenses of directors and officers of the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for Adjudication of Disputes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shall be a state or federal court located within the state of Delaware, in all cases subject to the court’s having personal jurisdiction over the indispensible parties named as defendants.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Bylaws may be altered, amended and repealed, and new bylaws adopted, only in compliance with and as authorized by the Certificate of Incorporation.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FORCE AND EFFECT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These Bylaws are subject to the provisions of the DGCL and the Certificate of Incorporation, as the same may be amended from time to time. If any provision in these Bylaws is inconsistent with an express provision of either the DGCL or the Certificate of Incorporation, the provisions of the DGCL or the Certificate of Incorporation, as the case may be, shall govern, prevail, and control the extent of such inconsistency.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Adopted January 28,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4.9</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Trustee</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Dated as of , 20</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100" w:type="dxa"/>
            <w:vAlign w:val="bottom"/>
            <w:gridSpan w:val="3"/>
          </w:tcPr>
          <w:p>
            <w:pPr>
              <w:ind w:left="180"/>
              <w:spacing w:after="0"/>
              <w:rPr>
                <w:sz w:val="20"/>
                <w:szCs w:val="20"/>
                <w:color w:val="auto"/>
              </w:rPr>
            </w:pPr>
            <w:r>
              <w:rPr>
                <w:rFonts w:ascii="Arial" w:cs="Arial" w:eastAsia="Arial" w:hAnsi="Arial"/>
                <w:sz w:val="18"/>
                <w:szCs w:val="18"/>
                <w:b w:val="1"/>
                <w:bCs w:val="1"/>
                <w:color w:val="auto"/>
              </w:rPr>
              <w:t>CROSS-REFERENCE TABLE(1)</w:t>
            </w:r>
          </w:p>
        </w:tc>
      </w:tr>
      <w:tr>
        <w:trPr>
          <w:trHeight w:val="414"/>
        </w:trPr>
        <w:tc>
          <w:tcPr>
            <w:tcW w:w="4140" w:type="dxa"/>
            <w:vAlign w:val="bottom"/>
          </w:tcPr>
          <w:p>
            <w:pPr>
              <w:jc w:val="center"/>
              <w:ind w:left="1290"/>
              <w:spacing w:after="0"/>
              <w:rPr>
                <w:sz w:val="20"/>
                <w:szCs w:val="20"/>
                <w:color w:val="auto"/>
              </w:rPr>
            </w:pPr>
            <w:r>
              <w:rPr>
                <w:rFonts w:ascii="Arial" w:cs="Arial" w:eastAsia="Arial" w:hAnsi="Arial"/>
                <w:sz w:val="18"/>
                <w:szCs w:val="18"/>
                <w:b w:val="1"/>
                <w:bCs w:val="1"/>
                <w:color w:val="auto"/>
              </w:rPr>
              <w:t>SECTION OF</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16"/>
        </w:trPr>
        <w:tc>
          <w:tcPr>
            <w:tcW w:w="4140" w:type="dxa"/>
            <w:vAlign w:val="bottom"/>
          </w:tcPr>
          <w:p>
            <w:pPr>
              <w:jc w:val="center"/>
              <w:ind w:left="1290"/>
              <w:spacing w:after="0"/>
              <w:rPr>
                <w:sz w:val="20"/>
                <w:szCs w:val="20"/>
                <w:color w:val="auto"/>
              </w:rPr>
            </w:pPr>
            <w:r>
              <w:rPr>
                <w:rFonts w:ascii="Arial" w:cs="Arial" w:eastAsia="Arial" w:hAnsi="Arial"/>
                <w:sz w:val="18"/>
                <w:szCs w:val="18"/>
                <w:b w:val="1"/>
                <w:bCs w:val="1"/>
                <w:color w:val="auto"/>
              </w:rPr>
              <w:t>TRUST INDENTURE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9"/>
              </w:rPr>
              <w:t>SECTION(S) OF</w:t>
            </w:r>
          </w:p>
        </w:tc>
      </w:tr>
      <w:tr>
        <w:trPr>
          <w:trHeight w:val="234"/>
        </w:trPr>
        <w:tc>
          <w:tcPr>
            <w:tcW w:w="4140" w:type="dxa"/>
            <w:vAlign w:val="bottom"/>
            <w:tcBorders>
              <w:bottom w:val="single" w:sz="8" w:color="auto"/>
            </w:tcBorders>
          </w:tcPr>
          <w:p>
            <w:pPr>
              <w:jc w:val="center"/>
              <w:ind w:left="1290"/>
              <w:spacing w:after="0"/>
              <w:rPr>
                <w:sz w:val="20"/>
                <w:szCs w:val="20"/>
                <w:color w:val="auto"/>
              </w:rPr>
            </w:pPr>
            <w:r>
              <w:rPr>
                <w:rFonts w:ascii="Arial" w:cs="Arial" w:eastAsia="Arial" w:hAnsi="Arial"/>
                <w:sz w:val="18"/>
                <w:szCs w:val="18"/>
                <w:b w:val="1"/>
                <w:bCs w:val="1"/>
                <w:color w:val="auto"/>
                <w:w w:val="97"/>
              </w:rPr>
              <w:t>ACT OF 1939, AS AMENDED</w:t>
            </w: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INDENTURE</w:t>
            </w:r>
          </w:p>
        </w:tc>
      </w:tr>
      <w:tr>
        <w:trPr>
          <w:trHeight w:val="209"/>
        </w:trPr>
        <w:tc>
          <w:tcPr>
            <w:tcW w:w="41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310(a)</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7.9</w:t>
            </w:r>
          </w:p>
        </w:tc>
      </w:tr>
      <w:tr>
        <w:trPr>
          <w:trHeight w:val="216"/>
        </w:trPr>
        <w:tc>
          <w:tcPr>
            <w:tcW w:w="4140" w:type="dxa"/>
            <w:vAlign w:val="bottom"/>
          </w:tcPr>
          <w:p>
            <w:pPr>
              <w:jc w:val="right"/>
              <w:ind w:right="1050"/>
              <w:spacing w:after="0"/>
              <w:rPr>
                <w:sz w:val="20"/>
                <w:szCs w:val="20"/>
                <w:color w:val="auto"/>
              </w:rPr>
            </w:pPr>
            <w:r>
              <w:rPr>
                <w:rFonts w:ascii="Arial" w:cs="Arial" w:eastAsia="Arial" w:hAnsi="Arial"/>
                <w:sz w:val="18"/>
                <w:szCs w:val="18"/>
                <w:color w:val="auto"/>
              </w:rPr>
              <w:t>310(b)</w:t>
            </w:r>
          </w:p>
        </w:tc>
        <w:tc>
          <w:tcPr>
            <w:tcW w:w="7100" w:type="dxa"/>
            <w:vAlign w:val="bottom"/>
            <w:gridSpan w:val="3"/>
          </w:tcPr>
          <w:p>
            <w:pPr>
              <w:jc w:val="center"/>
              <w:ind w:left="1390"/>
              <w:spacing w:after="0"/>
              <w:rPr>
                <w:sz w:val="20"/>
                <w:szCs w:val="20"/>
                <w:color w:val="auto"/>
              </w:rPr>
            </w:pPr>
            <w:r>
              <w:rPr>
                <w:rFonts w:ascii="Arial" w:cs="Arial" w:eastAsia="Arial" w:hAnsi="Arial"/>
                <w:sz w:val="18"/>
                <w:szCs w:val="18"/>
                <w:color w:val="auto"/>
                <w:w w:val="87"/>
              </w:rPr>
              <w:t>7.8</w:t>
            </w:r>
          </w:p>
        </w:tc>
      </w:tr>
      <w:tr>
        <w:trPr>
          <w:trHeight w:val="216"/>
        </w:trPr>
        <w:tc>
          <w:tcPr>
            <w:tcW w:w="41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311(a)</w:t>
            </w:r>
          </w:p>
        </w:tc>
        <w:tc>
          <w:tcPr>
            <w:tcW w:w="7100" w:type="dxa"/>
            <w:vAlign w:val="bottom"/>
            <w:gridSpan w:val="3"/>
            <w:shd w:val="clear" w:color="auto" w:fill="CCEEFF"/>
          </w:tcPr>
          <w:p>
            <w:pPr>
              <w:jc w:val="center"/>
              <w:ind w:left="1390"/>
              <w:spacing w:after="0"/>
              <w:rPr>
                <w:sz w:val="20"/>
                <w:szCs w:val="20"/>
                <w:color w:val="auto"/>
              </w:rPr>
            </w:pPr>
            <w:r>
              <w:rPr>
                <w:rFonts w:ascii="Arial" w:cs="Arial" w:eastAsia="Arial" w:hAnsi="Arial"/>
                <w:sz w:val="18"/>
                <w:szCs w:val="18"/>
                <w:color w:val="auto"/>
                <w:w w:val="85"/>
              </w:rPr>
              <w:t>7.13</w:t>
            </w:r>
          </w:p>
        </w:tc>
      </w:tr>
      <w:tr>
        <w:trPr>
          <w:trHeight w:val="216"/>
        </w:trPr>
        <w:tc>
          <w:tcPr>
            <w:tcW w:w="4140" w:type="dxa"/>
            <w:vAlign w:val="bottom"/>
          </w:tcPr>
          <w:p>
            <w:pPr>
              <w:jc w:val="right"/>
              <w:ind w:right="1050"/>
              <w:spacing w:after="0"/>
              <w:rPr>
                <w:sz w:val="20"/>
                <w:szCs w:val="20"/>
                <w:color w:val="auto"/>
              </w:rPr>
            </w:pPr>
            <w:r>
              <w:rPr>
                <w:rFonts w:ascii="Arial" w:cs="Arial" w:eastAsia="Arial" w:hAnsi="Arial"/>
                <w:sz w:val="18"/>
                <w:szCs w:val="18"/>
                <w:color w:val="auto"/>
              </w:rPr>
              <w:t>311(b)</w:t>
            </w:r>
          </w:p>
        </w:tc>
        <w:tc>
          <w:tcPr>
            <w:tcW w:w="7100" w:type="dxa"/>
            <w:vAlign w:val="bottom"/>
            <w:gridSpan w:val="3"/>
          </w:tcPr>
          <w:p>
            <w:pPr>
              <w:jc w:val="center"/>
              <w:ind w:left="1390"/>
              <w:spacing w:after="0"/>
              <w:rPr>
                <w:sz w:val="20"/>
                <w:szCs w:val="20"/>
                <w:color w:val="auto"/>
              </w:rPr>
            </w:pPr>
            <w:r>
              <w:rPr>
                <w:rFonts w:ascii="Arial" w:cs="Arial" w:eastAsia="Arial" w:hAnsi="Arial"/>
                <w:sz w:val="18"/>
                <w:szCs w:val="18"/>
                <w:color w:val="auto"/>
                <w:w w:val="85"/>
              </w:rPr>
              <w:t>7.13</w:t>
            </w:r>
          </w:p>
        </w:tc>
      </w:tr>
      <w:tr>
        <w:trPr>
          <w:trHeight w:val="216"/>
        </w:trPr>
        <w:tc>
          <w:tcPr>
            <w:tcW w:w="41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312(a)</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 5.2(a)</w:t>
            </w:r>
          </w:p>
        </w:tc>
      </w:tr>
      <w:tr>
        <w:trPr>
          <w:trHeight w:val="216"/>
        </w:trPr>
        <w:tc>
          <w:tcPr>
            <w:tcW w:w="4140" w:type="dxa"/>
            <w:vAlign w:val="bottom"/>
          </w:tcPr>
          <w:p>
            <w:pPr>
              <w:jc w:val="right"/>
              <w:ind w:right="1050"/>
              <w:spacing w:after="0"/>
              <w:rPr>
                <w:sz w:val="20"/>
                <w:szCs w:val="20"/>
                <w:color w:val="auto"/>
              </w:rPr>
            </w:pPr>
            <w:r>
              <w:rPr>
                <w:rFonts w:ascii="Arial" w:cs="Arial" w:eastAsia="Arial" w:hAnsi="Arial"/>
                <w:sz w:val="18"/>
                <w:szCs w:val="18"/>
                <w:color w:val="auto"/>
              </w:rPr>
              <w:t>312(b)</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89"/>
              </w:rPr>
              <w:t>5.2(b)</w:t>
            </w:r>
          </w:p>
        </w:tc>
      </w:tr>
      <w:tr>
        <w:trPr>
          <w:trHeight w:val="216"/>
        </w:trPr>
        <w:tc>
          <w:tcPr>
            <w:tcW w:w="41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312(c)</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5.2(c)</w:t>
            </w:r>
          </w:p>
        </w:tc>
      </w:tr>
      <w:tr>
        <w:trPr>
          <w:trHeight w:val="216"/>
        </w:trPr>
        <w:tc>
          <w:tcPr>
            <w:tcW w:w="4140" w:type="dxa"/>
            <w:vAlign w:val="bottom"/>
          </w:tcPr>
          <w:p>
            <w:pPr>
              <w:jc w:val="right"/>
              <w:ind w:right="1050"/>
              <w:spacing w:after="0"/>
              <w:rPr>
                <w:sz w:val="20"/>
                <w:szCs w:val="20"/>
                <w:color w:val="auto"/>
              </w:rPr>
            </w:pPr>
            <w:r>
              <w:rPr>
                <w:rFonts w:ascii="Arial" w:cs="Arial" w:eastAsia="Arial" w:hAnsi="Arial"/>
                <w:sz w:val="18"/>
                <w:szCs w:val="18"/>
                <w:color w:val="auto"/>
              </w:rPr>
              <w:t>313(a)</w:t>
            </w:r>
          </w:p>
        </w:tc>
        <w:tc>
          <w:tcPr>
            <w:tcW w:w="7100" w:type="dxa"/>
            <w:vAlign w:val="bottom"/>
            <w:gridSpan w:val="3"/>
          </w:tcPr>
          <w:p>
            <w:pPr>
              <w:jc w:val="center"/>
              <w:ind w:left="1390"/>
              <w:spacing w:after="0"/>
              <w:rPr>
                <w:sz w:val="20"/>
                <w:szCs w:val="20"/>
                <w:color w:val="auto"/>
              </w:rPr>
            </w:pPr>
            <w:r>
              <w:rPr>
                <w:rFonts w:ascii="Arial" w:cs="Arial" w:eastAsia="Arial" w:hAnsi="Arial"/>
                <w:sz w:val="18"/>
                <w:szCs w:val="18"/>
                <w:color w:val="auto"/>
                <w:w w:val="87"/>
              </w:rPr>
              <w:t>5.4</w:t>
            </w:r>
          </w:p>
        </w:tc>
      </w:tr>
      <w:tr>
        <w:trPr>
          <w:trHeight w:val="216"/>
        </w:trPr>
        <w:tc>
          <w:tcPr>
            <w:tcW w:w="41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313(b)</w:t>
            </w:r>
          </w:p>
        </w:tc>
        <w:tc>
          <w:tcPr>
            <w:tcW w:w="7100" w:type="dxa"/>
            <w:vAlign w:val="bottom"/>
            <w:gridSpan w:val="3"/>
            <w:shd w:val="clear" w:color="auto" w:fill="CCEEFF"/>
          </w:tcPr>
          <w:p>
            <w:pPr>
              <w:jc w:val="center"/>
              <w:ind w:left="1390"/>
              <w:spacing w:after="0"/>
              <w:rPr>
                <w:sz w:val="20"/>
                <w:szCs w:val="20"/>
                <w:color w:val="auto"/>
              </w:rPr>
            </w:pPr>
            <w:r>
              <w:rPr>
                <w:rFonts w:ascii="Arial" w:cs="Arial" w:eastAsia="Arial" w:hAnsi="Arial"/>
                <w:sz w:val="18"/>
                <w:szCs w:val="18"/>
                <w:color w:val="auto"/>
                <w:w w:val="87"/>
              </w:rPr>
              <w:t>5.4</w:t>
            </w:r>
          </w:p>
        </w:tc>
      </w:tr>
      <w:tr>
        <w:trPr>
          <w:trHeight w:val="216"/>
        </w:trPr>
        <w:tc>
          <w:tcPr>
            <w:tcW w:w="4140" w:type="dxa"/>
            <w:vAlign w:val="bottom"/>
          </w:tcPr>
          <w:p>
            <w:pPr>
              <w:jc w:val="right"/>
              <w:ind w:right="1050"/>
              <w:spacing w:after="0"/>
              <w:rPr>
                <w:sz w:val="20"/>
                <w:szCs w:val="20"/>
                <w:color w:val="auto"/>
              </w:rPr>
            </w:pPr>
            <w:r>
              <w:rPr>
                <w:rFonts w:ascii="Arial" w:cs="Arial" w:eastAsia="Arial" w:hAnsi="Arial"/>
                <w:sz w:val="18"/>
                <w:szCs w:val="18"/>
                <w:color w:val="auto"/>
              </w:rPr>
              <w:t>313(c)</w:t>
            </w:r>
          </w:p>
        </w:tc>
        <w:tc>
          <w:tcPr>
            <w:tcW w:w="7100" w:type="dxa"/>
            <w:vAlign w:val="bottom"/>
            <w:gridSpan w:val="3"/>
          </w:tcPr>
          <w:p>
            <w:pPr>
              <w:jc w:val="center"/>
              <w:ind w:left="1390"/>
              <w:spacing w:after="0"/>
              <w:rPr>
                <w:sz w:val="20"/>
                <w:szCs w:val="20"/>
                <w:color w:val="auto"/>
              </w:rPr>
            </w:pPr>
            <w:r>
              <w:rPr>
                <w:rFonts w:ascii="Arial" w:cs="Arial" w:eastAsia="Arial" w:hAnsi="Arial"/>
                <w:sz w:val="18"/>
                <w:szCs w:val="18"/>
                <w:color w:val="auto"/>
                <w:w w:val="87"/>
              </w:rPr>
              <w:t>5.4</w:t>
            </w:r>
          </w:p>
        </w:tc>
      </w:tr>
      <w:tr>
        <w:trPr>
          <w:trHeight w:val="216"/>
        </w:trPr>
        <w:tc>
          <w:tcPr>
            <w:tcW w:w="41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313(d)</w:t>
            </w:r>
          </w:p>
        </w:tc>
        <w:tc>
          <w:tcPr>
            <w:tcW w:w="7100" w:type="dxa"/>
            <w:vAlign w:val="bottom"/>
            <w:gridSpan w:val="3"/>
            <w:shd w:val="clear" w:color="auto" w:fill="CCEEFF"/>
          </w:tcPr>
          <w:p>
            <w:pPr>
              <w:jc w:val="center"/>
              <w:ind w:left="1390"/>
              <w:spacing w:after="0"/>
              <w:rPr>
                <w:sz w:val="20"/>
                <w:szCs w:val="20"/>
                <w:color w:val="auto"/>
              </w:rPr>
            </w:pPr>
            <w:r>
              <w:rPr>
                <w:rFonts w:ascii="Arial" w:cs="Arial" w:eastAsia="Arial" w:hAnsi="Arial"/>
                <w:sz w:val="18"/>
                <w:szCs w:val="18"/>
                <w:color w:val="auto"/>
                <w:w w:val="87"/>
              </w:rPr>
              <w:t>5.4</w:t>
            </w:r>
          </w:p>
        </w:tc>
      </w:tr>
      <w:tr>
        <w:trPr>
          <w:trHeight w:val="216"/>
        </w:trPr>
        <w:tc>
          <w:tcPr>
            <w:tcW w:w="4140" w:type="dxa"/>
            <w:vAlign w:val="bottom"/>
          </w:tcPr>
          <w:p>
            <w:pPr>
              <w:jc w:val="right"/>
              <w:ind w:right="1050"/>
              <w:spacing w:after="0"/>
              <w:rPr>
                <w:sz w:val="20"/>
                <w:szCs w:val="20"/>
                <w:color w:val="auto"/>
              </w:rPr>
            </w:pPr>
            <w:r>
              <w:rPr>
                <w:rFonts w:ascii="Arial" w:cs="Arial" w:eastAsia="Arial" w:hAnsi="Arial"/>
                <w:sz w:val="18"/>
                <w:szCs w:val="18"/>
                <w:color w:val="auto"/>
              </w:rPr>
              <w:t>314(a)</w:t>
            </w:r>
          </w:p>
        </w:tc>
        <w:tc>
          <w:tcPr>
            <w:tcW w:w="7100" w:type="dxa"/>
            <w:vAlign w:val="bottom"/>
            <w:gridSpan w:val="3"/>
          </w:tcPr>
          <w:p>
            <w:pPr>
              <w:jc w:val="center"/>
              <w:ind w:left="1410"/>
              <w:spacing w:after="0"/>
              <w:rPr>
                <w:sz w:val="20"/>
                <w:szCs w:val="20"/>
                <w:color w:val="auto"/>
              </w:rPr>
            </w:pPr>
            <w:r>
              <w:rPr>
                <w:rFonts w:ascii="Arial" w:cs="Arial" w:eastAsia="Arial" w:hAnsi="Arial"/>
                <w:sz w:val="18"/>
                <w:szCs w:val="18"/>
                <w:color w:val="auto"/>
                <w:w w:val="89"/>
              </w:rPr>
              <w:t>5.3, 14.12</w:t>
            </w:r>
          </w:p>
        </w:tc>
      </w:tr>
      <w:tr>
        <w:trPr>
          <w:trHeight w:val="216"/>
        </w:trPr>
        <w:tc>
          <w:tcPr>
            <w:tcW w:w="41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314(c)</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14.7(a)</w:t>
            </w:r>
          </w:p>
        </w:tc>
      </w:tr>
      <w:tr>
        <w:trPr>
          <w:trHeight w:val="216"/>
        </w:trPr>
        <w:tc>
          <w:tcPr>
            <w:tcW w:w="4140" w:type="dxa"/>
            <w:vAlign w:val="bottom"/>
          </w:tcPr>
          <w:p>
            <w:pPr>
              <w:jc w:val="right"/>
              <w:ind w:right="1050"/>
              <w:spacing w:after="0"/>
              <w:rPr>
                <w:sz w:val="20"/>
                <w:szCs w:val="20"/>
                <w:color w:val="auto"/>
              </w:rPr>
            </w:pPr>
            <w:r>
              <w:rPr>
                <w:rFonts w:ascii="Arial" w:cs="Arial" w:eastAsia="Arial" w:hAnsi="Arial"/>
                <w:sz w:val="18"/>
                <w:szCs w:val="18"/>
                <w:color w:val="auto"/>
              </w:rPr>
              <w:t>314(e)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4"/>
              </w:rPr>
              <w:t>14.7(b)</w:t>
            </w:r>
          </w:p>
        </w:tc>
      </w:tr>
      <w:tr>
        <w:trPr>
          <w:trHeight w:val="216"/>
        </w:trPr>
        <w:tc>
          <w:tcPr>
            <w:tcW w:w="41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315(a)</w:t>
            </w:r>
          </w:p>
        </w:tc>
        <w:tc>
          <w:tcPr>
            <w:tcW w:w="7100" w:type="dxa"/>
            <w:vAlign w:val="bottom"/>
            <w:gridSpan w:val="3"/>
            <w:shd w:val="clear" w:color="auto" w:fill="CCEEFF"/>
          </w:tcPr>
          <w:p>
            <w:pPr>
              <w:jc w:val="center"/>
              <w:ind w:left="1390"/>
              <w:spacing w:after="0"/>
              <w:rPr>
                <w:sz w:val="20"/>
                <w:szCs w:val="20"/>
                <w:color w:val="auto"/>
              </w:rPr>
            </w:pPr>
            <w:r>
              <w:rPr>
                <w:rFonts w:ascii="Arial" w:cs="Arial" w:eastAsia="Arial" w:hAnsi="Arial"/>
                <w:sz w:val="18"/>
                <w:szCs w:val="18"/>
                <w:color w:val="auto"/>
                <w:w w:val="87"/>
              </w:rPr>
              <w:t>7.1</w:t>
            </w:r>
          </w:p>
        </w:tc>
      </w:tr>
      <w:tr>
        <w:trPr>
          <w:trHeight w:val="216"/>
        </w:trPr>
        <w:tc>
          <w:tcPr>
            <w:tcW w:w="4140" w:type="dxa"/>
            <w:vAlign w:val="bottom"/>
          </w:tcPr>
          <w:p>
            <w:pPr>
              <w:jc w:val="right"/>
              <w:ind w:right="1050"/>
              <w:spacing w:after="0"/>
              <w:rPr>
                <w:sz w:val="20"/>
                <w:szCs w:val="20"/>
                <w:color w:val="auto"/>
              </w:rPr>
            </w:pPr>
            <w:r>
              <w:rPr>
                <w:rFonts w:ascii="Arial" w:cs="Arial" w:eastAsia="Arial" w:hAnsi="Arial"/>
                <w:sz w:val="18"/>
                <w:szCs w:val="18"/>
                <w:color w:val="auto"/>
              </w:rPr>
              <w:t>315(b)</w:t>
            </w:r>
          </w:p>
        </w:tc>
        <w:tc>
          <w:tcPr>
            <w:tcW w:w="7100" w:type="dxa"/>
            <w:vAlign w:val="bottom"/>
            <w:gridSpan w:val="3"/>
          </w:tcPr>
          <w:p>
            <w:pPr>
              <w:jc w:val="center"/>
              <w:ind w:left="1390"/>
              <w:spacing w:after="0"/>
              <w:rPr>
                <w:sz w:val="20"/>
                <w:szCs w:val="20"/>
                <w:color w:val="auto"/>
              </w:rPr>
            </w:pPr>
            <w:r>
              <w:rPr>
                <w:rFonts w:ascii="Arial" w:cs="Arial" w:eastAsia="Arial" w:hAnsi="Arial"/>
                <w:sz w:val="18"/>
                <w:szCs w:val="18"/>
                <w:color w:val="auto"/>
                <w:w w:val="85"/>
              </w:rPr>
              <w:t>7.14</w:t>
            </w:r>
          </w:p>
        </w:tc>
      </w:tr>
      <w:tr>
        <w:trPr>
          <w:trHeight w:val="216"/>
        </w:trPr>
        <w:tc>
          <w:tcPr>
            <w:tcW w:w="41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315(c)</w:t>
            </w:r>
          </w:p>
        </w:tc>
        <w:tc>
          <w:tcPr>
            <w:tcW w:w="7100" w:type="dxa"/>
            <w:vAlign w:val="bottom"/>
            <w:gridSpan w:val="3"/>
            <w:shd w:val="clear" w:color="auto" w:fill="CCEEFF"/>
          </w:tcPr>
          <w:p>
            <w:pPr>
              <w:jc w:val="center"/>
              <w:ind w:left="1390"/>
              <w:spacing w:after="0"/>
              <w:rPr>
                <w:sz w:val="20"/>
                <w:szCs w:val="20"/>
                <w:color w:val="auto"/>
              </w:rPr>
            </w:pPr>
            <w:r>
              <w:rPr>
                <w:rFonts w:ascii="Arial" w:cs="Arial" w:eastAsia="Arial" w:hAnsi="Arial"/>
                <w:sz w:val="18"/>
                <w:szCs w:val="18"/>
                <w:color w:val="auto"/>
                <w:w w:val="87"/>
              </w:rPr>
              <w:t>7.1</w:t>
            </w:r>
          </w:p>
        </w:tc>
      </w:tr>
      <w:tr>
        <w:trPr>
          <w:trHeight w:val="216"/>
        </w:trPr>
        <w:tc>
          <w:tcPr>
            <w:tcW w:w="4140" w:type="dxa"/>
            <w:vAlign w:val="bottom"/>
          </w:tcPr>
          <w:p>
            <w:pPr>
              <w:jc w:val="right"/>
              <w:ind w:right="1050"/>
              <w:spacing w:after="0"/>
              <w:rPr>
                <w:sz w:val="20"/>
                <w:szCs w:val="20"/>
                <w:color w:val="auto"/>
              </w:rPr>
            </w:pPr>
            <w:r>
              <w:rPr>
                <w:rFonts w:ascii="Arial" w:cs="Arial" w:eastAsia="Arial" w:hAnsi="Arial"/>
                <w:sz w:val="18"/>
                <w:szCs w:val="18"/>
                <w:color w:val="auto"/>
              </w:rPr>
              <w:t>315(d)</w:t>
            </w:r>
          </w:p>
        </w:tc>
        <w:tc>
          <w:tcPr>
            <w:tcW w:w="7100" w:type="dxa"/>
            <w:vAlign w:val="bottom"/>
            <w:gridSpan w:val="3"/>
          </w:tcPr>
          <w:p>
            <w:pPr>
              <w:jc w:val="center"/>
              <w:ind w:left="1390"/>
              <w:spacing w:after="0"/>
              <w:rPr>
                <w:sz w:val="20"/>
                <w:szCs w:val="20"/>
                <w:color w:val="auto"/>
              </w:rPr>
            </w:pPr>
            <w:r>
              <w:rPr>
                <w:rFonts w:ascii="Arial" w:cs="Arial" w:eastAsia="Arial" w:hAnsi="Arial"/>
                <w:sz w:val="18"/>
                <w:szCs w:val="18"/>
                <w:color w:val="auto"/>
                <w:w w:val="87"/>
              </w:rPr>
              <w:t>7.1</w:t>
            </w:r>
          </w:p>
        </w:tc>
      </w:tr>
      <w:tr>
        <w:trPr>
          <w:trHeight w:val="216"/>
        </w:trPr>
        <w:tc>
          <w:tcPr>
            <w:tcW w:w="41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315(e)</w:t>
            </w:r>
          </w:p>
        </w:tc>
        <w:tc>
          <w:tcPr>
            <w:tcW w:w="7100" w:type="dxa"/>
            <w:vAlign w:val="bottom"/>
            <w:gridSpan w:val="3"/>
            <w:shd w:val="clear" w:color="auto" w:fill="CCEEFF"/>
          </w:tcPr>
          <w:p>
            <w:pPr>
              <w:jc w:val="center"/>
              <w:ind w:left="1390"/>
              <w:spacing w:after="0"/>
              <w:rPr>
                <w:sz w:val="20"/>
                <w:szCs w:val="20"/>
                <w:color w:val="auto"/>
              </w:rPr>
            </w:pPr>
            <w:r>
              <w:rPr>
                <w:rFonts w:ascii="Arial" w:cs="Arial" w:eastAsia="Arial" w:hAnsi="Arial"/>
                <w:sz w:val="18"/>
                <w:szCs w:val="18"/>
                <w:color w:val="auto"/>
                <w:w w:val="87"/>
              </w:rPr>
              <w:t>6.7</w:t>
            </w:r>
          </w:p>
        </w:tc>
      </w:tr>
      <w:tr>
        <w:trPr>
          <w:trHeight w:val="216"/>
        </w:trPr>
        <w:tc>
          <w:tcPr>
            <w:tcW w:w="4140" w:type="dxa"/>
            <w:vAlign w:val="bottom"/>
          </w:tcPr>
          <w:p>
            <w:pPr>
              <w:jc w:val="right"/>
              <w:ind w:right="1050"/>
              <w:spacing w:after="0"/>
              <w:rPr>
                <w:sz w:val="20"/>
                <w:szCs w:val="20"/>
                <w:color w:val="auto"/>
              </w:rPr>
            </w:pPr>
            <w:r>
              <w:rPr>
                <w:rFonts w:ascii="Arial" w:cs="Arial" w:eastAsia="Arial" w:hAnsi="Arial"/>
                <w:sz w:val="18"/>
                <w:szCs w:val="18"/>
                <w:color w:val="auto"/>
              </w:rPr>
              <w:t>316(a)</w:t>
            </w:r>
          </w:p>
        </w:tc>
        <w:tc>
          <w:tcPr>
            <w:tcW w:w="7100" w:type="dxa"/>
            <w:vAlign w:val="bottom"/>
            <w:gridSpan w:val="3"/>
          </w:tcPr>
          <w:p>
            <w:pPr>
              <w:jc w:val="center"/>
              <w:ind w:left="1390"/>
              <w:spacing w:after="0"/>
              <w:rPr>
                <w:sz w:val="20"/>
                <w:szCs w:val="20"/>
                <w:color w:val="auto"/>
              </w:rPr>
            </w:pPr>
            <w:r>
              <w:rPr>
                <w:rFonts w:ascii="Arial" w:cs="Arial" w:eastAsia="Arial" w:hAnsi="Arial"/>
                <w:sz w:val="18"/>
                <w:szCs w:val="18"/>
                <w:color w:val="auto"/>
                <w:w w:val="89"/>
              </w:rPr>
              <w:t>6.6, 8.4</w:t>
            </w:r>
          </w:p>
        </w:tc>
      </w:tr>
      <w:tr>
        <w:trPr>
          <w:trHeight w:val="216"/>
        </w:trPr>
        <w:tc>
          <w:tcPr>
            <w:tcW w:w="41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316(b)</w:t>
            </w:r>
          </w:p>
        </w:tc>
        <w:tc>
          <w:tcPr>
            <w:tcW w:w="7100" w:type="dxa"/>
            <w:vAlign w:val="bottom"/>
            <w:gridSpan w:val="3"/>
            <w:shd w:val="clear" w:color="auto" w:fill="CCEEFF"/>
          </w:tcPr>
          <w:p>
            <w:pPr>
              <w:jc w:val="center"/>
              <w:ind w:left="1390"/>
              <w:spacing w:after="0"/>
              <w:rPr>
                <w:sz w:val="20"/>
                <w:szCs w:val="20"/>
                <w:color w:val="auto"/>
              </w:rPr>
            </w:pPr>
            <w:r>
              <w:rPr>
                <w:rFonts w:ascii="Arial" w:cs="Arial" w:eastAsia="Arial" w:hAnsi="Arial"/>
                <w:sz w:val="18"/>
                <w:szCs w:val="18"/>
                <w:color w:val="auto"/>
                <w:w w:val="87"/>
              </w:rPr>
              <w:t>6.4</w:t>
            </w:r>
          </w:p>
        </w:tc>
      </w:tr>
      <w:tr>
        <w:trPr>
          <w:trHeight w:val="216"/>
        </w:trPr>
        <w:tc>
          <w:tcPr>
            <w:tcW w:w="4140" w:type="dxa"/>
            <w:vAlign w:val="bottom"/>
          </w:tcPr>
          <w:p>
            <w:pPr>
              <w:jc w:val="right"/>
              <w:ind w:right="1050"/>
              <w:spacing w:after="0"/>
              <w:rPr>
                <w:sz w:val="20"/>
                <w:szCs w:val="20"/>
                <w:color w:val="auto"/>
              </w:rPr>
            </w:pPr>
            <w:r>
              <w:rPr>
                <w:rFonts w:ascii="Arial" w:cs="Arial" w:eastAsia="Arial" w:hAnsi="Arial"/>
                <w:sz w:val="18"/>
                <w:szCs w:val="18"/>
                <w:color w:val="auto"/>
              </w:rPr>
              <w:t>316(c)</w:t>
            </w:r>
          </w:p>
        </w:tc>
        <w:tc>
          <w:tcPr>
            <w:tcW w:w="7100" w:type="dxa"/>
            <w:vAlign w:val="bottom"/>
            <w:gridSpan w:val="3"/>
          </w:tcPr>
          <w:p>
            <w:pPr>
              <w:jc w:val="center"/>
              <w:ind w:left="1390"/>
              <w:spacing w:after="0"/>
              <w:rPr>
                <w:sz w:val="20"/>
                <w:szCs w:val="20"/>
                <w:color w:val="auto"/>
              </w:rPr>
            </w:pPr>
            <w:r>
              <w:rPr>
                <w:rFonts w:ascii="Arial" w:cs="Arial" w:eastAsia="Arial" w:hAnsi="Arial"/>
                <w:sz w:val="18"/>
                <w:szCs w:val="18"/>
                <w:color w:val="auto"/>
                <w:w w:val="87"/>
              </w:rPr>
              <w:t>8.1</w:t>
            </w:r>
          </w:p>
        </w:tc>
      </w:tr>
      <w:tr>
        <w:trPr>
          <w:trHeight w:val="216"/>
        </w:trPr>
        <w:tc>
          <w:tcPr>
            <w:tcW w:w="41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317(a)</w:t>
            </w:r>
          </w:p>
        </w:tc>
        <w:tc>
          <w:tcPr>
            <w:tcW w:w="7100" w:type="dxa"/>
            <w:vAlign w:val="bottom"/>
            <w:gridSpan w:val="3"/>
            <w:shd w:val="clear" w:color="auto" w:fill="CCEEFF"/>
          </w:tcPr>
          <w:p>
            <w:pPr>
              <w:jc w:val="center"/>
              <w:ind w:left="1390"/>
              <w:spacing w:after="0"/>
              <w:rPr>
                <w:sz w:val="20"/>
                <w:szCs w:val="20"/>
                <w:color w:val="auto"/>
              </w:rPr>
            </w:pPr>
            <w:r>
              <w:rPr>
                <w:rFonts w:ascii="Arial" w:cs="Arial" w:eastAsia="Arial" w:hAnsi="Arial"/>
                <w:sz w:val="18"/>
                <w:szCs w:val="18"/>
                <w:color w:val="auto"/>
                <w:w w:val="87"/>
              </w:rPr>
              <w:t>6.2</w:t>
            </w:r>
          </w:p>
        </w:tc>
      </w:tr>
      <w:tr>
        <w:trPr>
          <w:trHeight w:val="216"/>
        </w:trPr>
        <w:tc>
          <w:tcPr>
            <w:tcW w:w="4140" w:type="dxa"/>
            <w:vAlign w:val="bottom"/>
          </w:tcPr>
          <w:p>
            <w:pPr>
              <w:jc w:val="right"/>
              <w:ind w:right="1050"/>
              <w:spacing w:after="0"/>
              <w:rPr>
                <w:sz w:val="20"/>
                <w:szCs w:val="20"/>
                <w:color w:val="auto"/>
              </w:rPr>
            </w:pPr>
            <w:r>
              <w:rPr>
                <w:rFonts w:ascii="Arial" w:cs="Arial" w:eastAsia="Arial" w:hAnsi="Arial"/>
                <w:sz w:val="18"/>
                <w:szCs w:val="18"/>
                <w:color w:val="auto"/>
              </w:rPr>
              <w:t>317(b)</w:t>
            </w:r>
          </w:p>
        </w:tc>
        <w:tc>
          <w:tcPr>
            <w:tcW w:w="7100" w:type="dxa"/>
            <w:vAlign w:val="bottom"/>
            <w:gridSpan w:val="3"/>
          </w:tcPr>
          <w:p>
            <w:pPr>
              <w:jc w:val="center"/>
              <w:ind w:left="1390"/>
              <w:spacing w:after="0"/>
              <w:rPr>
                <w:sz w:val="20"/>
                <w:szCs w:val="20"/>
                <w:color w:val="auto"/>
              </w:rPr>
            </w:pPr>
            <w:r>
              <w:rPr>
                <w:rFonts w:ascii="Arial" w:cs="Arial" w:eastAsia="Arial" w:hAnsi="Arial"/>
                <w:sz w:val="18"/>
                <w:szCs w:val="18"/>
                <w:color w:val="auto"/>
                <w:w w:val="87"/>
              </w:rPr>
              <w:t>4.2</w:t>
            </w:r>
          </w:p>
        </w:tc>
      </w:tr>
      <w:tr>
        <w:trPr>
          <w:trHeight w:val="216"/>
        </w:trPr>
        <w:tc>
          <w:tcPr>
            <w:tcW w:w="41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318(a)</w:t>
            </w:r>
          </w:p>
        </w:tc>
        <w:tc>
          <w:tcPr>
            <w:tcW w:w="7100" w:type="dxa"/>
            <w:vAlign w:val="bottom"/>
            <w:gridSpan w:val="3"/>
            <w:shd w:val="clear" w:color="auto" w:fill="CCEEFF"/>
          </w:tcPr>
          <w:p>
            <w:pPr>
              <w:jc w:val="center"/>
              <w:ind w:left="1390"/>
              <w:spacing w:after="0"/>
              <w:rPr>
                <w:sz w:val="20"/>
                <w:szCs w:val="20"/>
                <w:color w:val="auto"/>
              </w:rPr>
            </w:pPr>
            <w:r>
              <w:rPr>
                <w:rFonts w:ascii="Arial" w:cs="Arial" w:eastAsia="Arial" w:hAnsi="Arial"/>
                <w:sz w:val="18"/>
                <w:szCs w:val="18"/>
                <w:color w:val="auto"/>
                <w:w w:val="85"/>
              </w:rPr>
              <w:t>14.9</w:t>
            </w:r>
          </w:p>
        </w:tc>
      </w:tr>
    </w:tbl>
    <w:p>
      <w:pPr>
        <w:ind w:left="580" w:hanging="451"/>
        <w:spacing w:after="0" w:line="26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8500" w:type="dxa"/>
            <w:vAlign w:val="bottom"/>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8500" w:type="dxa"/>
            <w:vAlign w:val="bottom"/>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1.1</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Definitions of Terms.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1.2</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Incorporation by Reference of Trust Indenture Act.</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FEFEFE"/>
          </w:tcPr>
          <w:p>
            <w:pPr>
              <w:spacing w:after="0"/>
              <w:rPr>
                <w:sz w:val="20"/>
                <w:szCs w:val="20"/>
                <w:color w:val="auto"/>
              </w:rPr>
            </w:pPr>
            <w:r>
              <w:rPr>
                <w:rFonts w:ascii="Arial" w:cs="Arial" w:eastAsia="Arial" w:hAnsi="Arial"/>
                <w:sz w:val="18"/>
                <w:szCs w:val="18"/>
                <w:color w:val="auto"/>
              </w:rPr>
              <w:t>ARTICLE II ISSUE, DESCRIPTION, TERMS, EXECUTION, REGISTRATION AND EXCHANGE OF SECURITIES</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2.1</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Designation and Terms of Securities.</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2.2</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Form of Securities and Trustee’s Certificate.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2.3</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Denominations; Provisions for Payment.</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2.4</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Execution and Authentication.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2.5</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Registration of Transfer and Exchange.</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2.6</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Temporary Securities.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2.7</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Mutilated, Destroyed, Lost or Stolen Securities.</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2.8</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Cancellation.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2.9</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Benefits of Indenture.</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2.10</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Authenticating Agent.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2.11</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Global Securities.</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2.12</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Cusip and Isin Numbers.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REDEMPTION OF SECURITIES AND SINKING FUND PROVISIONS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8500" w:type="dxa"/>
            <w:vAlign w:val="bottom"/>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3.1</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Redemption.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3.2</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Notice of Redemption.</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3.3</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upon Redemption.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3.4</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Sinking Fund.</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3.5</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Satisfaction of Sinking Fund Payments with Securities.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3.6</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Redemption of Securities for Sinking Fund.</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FEFEFE"/>
          </w:tcPr>
          <w:p>
            <w:pPr>
              <w:spacing w:after="0"/>
              <w:rPr>
                <w:sz w:val="20"/>
                <w:szCs w:val="20"/>
                <w:color w:val="auto"/>
              </w:rPr>
            </w:pPr>
            <w:r>
              <w:rPr>
                <w:rFonts w:ascii="Arial" w:cs="Arial" w:eastAsia="Arial" w:hAnsi="Arial"/>
                <w:sz w:val="18"/>
                <w:szCs w:val="18"/>
                <w:color w:val="auto"/>
              </w:rPr>
              <w:t>ARTICLE IV COVENANTS</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4.1</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Payment of Principal, Premium and Interest.</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4.2</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Paying Agent and Security Registrar.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4.3</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Appointment to Fill Vacancy in Office of Trustee.</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4.4</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Compliance with Consolidation Provisions.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SECURITYHOLDERS’ LISTS AND REPORTS BY THE COMPANY AND THE TRUSTEE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8500" w:type="dxa"/>
            <w:vAlign w:val="bottom"/>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5.1</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5.2</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Preservation of Information; Communications with Securityholders.</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5.3</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Reports by the Company.</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5.4</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Reports by the Trustee.</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REMEDIES OF THE TRUSTEE AND SECURITYHOLDERS ON EVENT OF DEFAULT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8500" w:type="dxa"/>
            <w:vAlign w:val="bottom"/>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6.1</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Events of Default.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6.2</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Collection of Indebtedness and Suits for Enforcement by Trustee.</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6.3</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Application of Moneys Collected.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6.4</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Limitation on Suits.</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6.5</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Rights and Remedies Cumulative; Delay or Omission not Waiver.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6.6</w:t>
            </w:r>
          </w:p>
        </w:tc>
        <w:tc>
          <w:tcPr>
            <w:tcW w:w="85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Control by Securityholders.</w:t>
            </w:r>
          </w:p>
        </w:tc>
        <w:tc>
          <w:tcPr>
            <w:tcW w:w="14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6.7</w:t>
            </w: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Undertaking to Pay Costs.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9920" w:type="dxa"/>
            <w:vAlign w:val="bottom"/>
            <w:gridSpan w:val="2"/>
          </w:tcPr>
          <w:p>
            <w:pPr>
              <w:spacing w:after="0"/>
              <w:rPr>
                <w:sz w:val="20"/>
                <w:szCs w:val="20"/>
                <w:color w:val="auto"/>
              </w:rPr>
            </w:pPr>
            <w:r>
              <w:rPr>
                <w:rFonts w:ascii="Arial" w:cs="Arial" w:eastAsia="Arial" w:hAnsi="Arial"/>
                <w:sz w:val="18"/>
                <w:szCs w:val="18"/>
                <w:color w:val="auto"/>
              </w:rPr>
              <w:t>ARTICLE VII CONCERNING THE TRUSTEE</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7.1</w:t>
            </w:r>
          </w:p>
        </w:tc>
        <w:tc>
          <w:tcPr>
            <w:tcW w:w="8620" w:type="dxa"/>
            <w:vAlign w:val="bottom"/>
          </w:tcPr>
          <w:p>
            <w:pPr>
              <w:ind w:left="400"/>
              <w:spacing w:after="0"/>
              <w:rPr>
                <w:sz w:val="20"/>
                <w:szCs w:val="20"/>
                <w:color w:val="auto"/>
              </w:rPr>
            </w:pPr>
            <w:r>
              <w:rPr>
                <w:rFonts w:ascii="Arial" w:cs="Arial" w:eastAsia="Arial" w:hAnsi="Arial"/>
                <w:sz w:val="18"/>
                <w:szCs w:val="18"/>
                <w:color w:val="auto"/>
              </w:rPr>
              <w:t>Certain Duties and Responsibilities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7.2</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Certain Rights of Trustee.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7.3</w:t>
            </w:r>
          </w:p>
        </w:tc>
        <w:tc>
          <w:tcPr>
            <w:tcW w:w="8620" w:type="dxa"/>
            <w:vAlign w:val="bottom"/>
          </w:tcPr>
          <w:p>
            <w:pPr>
              <w:ind w:left="400"/>
              <w:spacing w:after="0"/>
              <w:rPr>
                <w:sz w:val="20"/>
                <w:szCs w:val="20"/>
                <w:color w:val="auto"/>
              </w:rPr>
            </w:pPr>
            <w:r>
              <w:rPr>
                <w:rFonts w:ascii="Arial" w:cs="Arial" w:eastAsia="Arial" w:hAnsi="Arial"/>
                <w:sz w:val="18"/>
                <w:szCs w:val="18"/>
                <w:color w:val="auto"/>
              </w:rPr>
              <w:t>Trustee not Responsible for Recitals or Issuance or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7.4</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May Hold Securities and Otherwise Deal with the Company.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7.5</w:t>
            </w:r>
          </w:p>
        </w:tc>
        <w:tc>
          <w:tcPr>
            <w:tcW w:w="8620" w:type="dxa"/>
            <w:vAlign w:val="bottom"/>
          </w:tcPr>
          <w:p>
            <w:pPr>
              <w:ind w:left="400"/>
              <w:spacing w:after="0"/>
              <w:rPr>
                <w:sz w:val="20"/>
                <w:szCs w:val="20"/>
                <w:color w:val="auto"/>
              </w:rPr>
            </w:pPr>
            <w:r>
              <w:rPr>
                <w:rFonts w:ascii="Arial" w:cs="Arial" w:eastAsia="Arial" w:hAnsi="Arial"/>
                <w:sz w:val="18"/>
                <w:szCs w:val="18"/>
                <w:color w:val="auto"/>
              </w:rPr>
              <w:t>Moneys Held in Trust.</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7.6</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and Reimbursement.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7.7</w:t>
            </w:r>
          </w:p>
        </w:tc>
        <w:tc>
          <w:tcPr>
            <w:tcW w:w="8620" w:type="dxa"/>
            <w:vAlign w:val="bottom"/>
          </w:tcPr>
          <w:p>
            <w:pPr>
              <w:ind w:left="400"/>
              <w:spacing w:after="0"/>
              <w:rPr>
                <w:sz w:val="20"/>
                <w:szCs w:val="20"/>
                <w:color w:val="auto"/>
              </w:rPr>
            </w:pPr>
            <w:r>
              <w:rPr>
                <w:rFonts w:ascii="Arial" w:cs="Arial" w:eastAsia="Arial" w:hAnsi="Arial"/>
                <w:sz w:val="18"/>
                <w:szCs w:val="18"/>
                <w:color w:val="auto"/>
              </w:rPr>
              <w:t>Reliance on Officer’s Certificate.</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7.8</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Disqualification; Conflicting Interests.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7.9</w:t>
            </w:r>
          </w:p>
        </w:tc>
        <w:tc>
          <w:tcPr>
            <w:tcW w:w="8620" w:type="dxa"/>
            <w:vAlign w:val="bottom"/>
          </w:tcPr>
          <w:p>
            <w:pPr>
              <w:ind w:left="400"/>
              <w:spacing w:after="0"/>
              <w:rPr>
                <w:sz w:val="20"/>
                <w:szCs w:val="20"/>
                <w:color w:val="auto"/>
              </w:rPr>
            </w:pPr>
            <w:r>
              <w:rPr>
                <w:rFonts w:ascii="Arial" w:cs="Arial" w:eastAsia="Arial" w:hAnsi="Arial"/>
                <w:sz w:val="18"/>
                <w:szCs w:val="18"/>
                <w:color w:val="auto"/>
              </w:rPr>
              <w:t>Corporate Trustee Required; Eligibility.</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7.10</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Resignation and Removal; Appointment of Successor.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7.11</w:t>
            </w:r>
          </w:p>
        </w:tc>
        <w:tc>
          <w:tcPr>
            <w:tcW w:w="8620" w:type="dxa"/>
            <w:vAlign w:val="bottom"/>
          </w:tcPr>
          <w:p>
            <w:pPr>
              <w:ind w:left="400"/>
              <w:spacing w:after="0"/>
              <w:rPr>
                <w:sz w:val="20"/>
                <w:szCs w:val="20"/>
                <w:color w:val="auto"/>
              </w:rPr>
            </w:pPr>
            <w:r>
              <w:rPr>
                <w:rFonts w:ascii="Arial" w:cs="Arial" w:eastAsia="Arial" w:hAnsi="Arial"/>
                <w:sz w:val="18"/>
                <w:szCs w:val="18"/>
                <w:color w:val="auto"/>
              </w:rPr>
              <w:t>Acceptance of Appointment by Successor.</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7.12</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Merger, Conversion, Consolidation or Succession to Business.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7.13</w:t>
            </w:r>
          </w:p>
        </w:tc>
        <w:tc>
          <w:tcPr>
            <w:tcW w:w="8620" w:type="dxa"/>
            <w:vAlign w:val="bottom"/>
          </w:tcPr>
          <w:p>
            <w:pPr>
              <w:ind w:left="400"/>
              <w:spacing w:after="0"/>
              <w:rPr>
                <w:sz w:val="20"/>
                <w:szCs w:val="20"/>
                <w:color w:val="auto"/>
              </w:rPr>
            </w:pPr>
            <w:r>
              <w:rPr>
                <w:rFonts w:ascii="Arial" w:cs="Arial" w:eastAsia="Arial" w:hAnsi="Arial"/>
                <w:sz w:val="18"/>
                <w:szCs w:val="18"/>
                <w:color w:val="auto"/>
              </w:rPr>
              <w:t>Preferential Collection of Claims Against the Company.</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7.14</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Notice of Default.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7.15</w:t>
            </w:r>
          </w:p>
        </w:tc>
        <w:tc>
          <w:tcPr>
            <w:tcW w:w="8620" w:type="dxa"/>
            <w:vAlign w:val="bottom"/>
          </w:tcPr>
          <w:p>
            <w:pPr>
              <w:ind w:left="400"/>
              <w:spacing w:after="0"/>
              <w:rPr>
                <w:sz w:val="20"/>
                <w:szCs w:val="20"/>
                <w:color w:val="auto"/>
              </w:rPr>
            </w:pPr>
            <w:r>
              <w:rPr>
                <w:rFonts w:ascii="Arial" w:cs="Arial" w:eastAsia="Arial" w:hAnsi="Arial"/>
                <w:sz w:val="18"/>
                <w:szCs w:val="18"/>
                <w:color w:val="auto"/>
              </w:rPr>
              <w:t>Limitation of Liability</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ARTICLE VIII CONCERNING THE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8.1</w:t>
            </w:r>
          </w:p>
        </w:tc>
        <w:tc>
          <w:tcPr>
            <w:tcW w:w="8620" w:type="dxa"/>
            <w:vAlign w:val="bottom"/>
          </w:tcPr>
          <w:p>
            <w:pPr>
              <w:ind w:left="400"/>
              <w:spacing w:after="0"/>
              <w:rPr>
                <w:sz w:val="20"/>
                <w:szCs w:val="20"/>
                <w:color w:val="auto"/>
              </w:rPr>
            </w:pPr>
            <w:r>
              <w:rPr>
                <w:rFonts w:ascii="Arial" w:cs="Arial" w:eastAsia="Arial" w:hAnsi="Arial"/>
                <w:sz w:val="18"/>
                <w:szCs w:val="18"/>
                <w:color w:val="auto"/>
              </w:rPr>
              <w:t>Evidence of Action by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8.2</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Proof of Execution by Securityholders.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8.3</w:t>
            </w:r>
          </w:p>
        </w:tc>
        <w:tc>
          <w:tcPr>
            <w:tcW w:w="8620" w:type="dxa"/>
            <w:vAlign w:val="bottom"/>
          </w:tcPr>
          <w:p>
            <w:pPr>
              <w:ind w:left="400"/>
              <w:spacing w:after="0"/>
              <w:rPr>
                <w:sz w:val="20"/>
                <w:szCs w:val="20"/>
                <w:color w:val="auto"/>
              </w:rPr>
            </w:pPr>
            <w:r>
              <w:rPr>
                <w:rFonts w:ascii="Arial" w:cs="Arial" w:eastAsia="Arial" w:hAnsi="Arial"/>
                <w:sz w:val="18"/>
                <w:szCs w:val="18"/>
                <w:color w:val="auto"/>
              </w:rPr>
              <w:t>Who may be Deemed Owners.</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8.4</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Certain Securities Owned by Company Disregarded.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8.5</w:t>
            </w:r>
          </w:p>
        </w:tc>
        <w:tc>
          <w:tcPr>
            <w:tcW w:w="8620" w:type="dxa"/>
            <w:vAlign w:val="bottom"/>
          </w:tcPr>
          <w:p>
            <w:pPr>
              <w:ind w:left="400"/>
              <w:spacing w:after="0"/>
              <w:rPr>
                <w:sz w:val="20"/>
                <w:szCs w:val="20"/>
                <w:color w:val="auto"/>
              </w:rPr>
            </w:pPr>
            <w:r>
              <w:rPr>
                <w:rFonts w:ascii="Arial" w:cs="Arial" w:eastAsia="Arial" w:hAnsi="Arial"/>
                <w:sz w:val="18"/>
                <w:szCs w:val="18"/>
                <w:color w:val="auto"/>
              </w:rPr>
              <w:t>Actions Binding on Future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ARTICLE IX 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w:t>
            </w:r>
          </w:p>
        </w:tc>
        <w:tc>
          <w:tcPr>
            <w:tcW w:w="8620" w:type="dxa"/>
            <w:vAlign w:val="bottom"/>
          </w:tcPr>
          <w:p>
            <w:pPr>
              <w:ind w:left="400"/>
              <w:spacing w:after="0"/>
              <w:rPr>
                <w:sz w:val="20"/>
                <w:szCs w:val="20"/>
                <w:color w:val="auto"/>
              </w:rPr>
            </w:pPr>
            <w:r>
              <w:rPr>
                <w:rFonts w:ascii="Arial" w:cs="Arial" w:eastAsia="Arial" w:hAnsi="Arial"/>
                <w:sz w:val="18"/>
                <w:szCs w:val="18"/>
                <w:color w:val="auto"/>
              </w:rPr>
              <w:t>Supplemental Indentures without the Consent of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9.2</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Supplemental Indentures with the Consent of Securityholders.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9.3</w:t>
            </w:r>
          </w:p>
        </w:tc>
        <w:tc>
          <w:tcPr>
            <w:tcW w:w="8620" w:type="dxa"/>
            <w:vAlign w:val="bottom"/>
          </w:tcPr>
          <w:p>
            <w:pPr>
              <w:ind w:left="400"/>
              <w:spacing w:after="0"/>
              <w:rPr>
                <w:sz w:val="20"/>
                <w:szCs w:val="20"/>
                <w:color w:val="auto"/>
              </w:rPr>
            </w:pPr>
            <w:r>
              <w:rPr>
                <w:rFonts w:ascii="Arial" w:cs="Arial" w:eastAsia="Arial" w:hAnsi="Arial"/>
                <w:sz w:val="18"/>
                <w:szCs w:val="18"/>
                <w:color w:val="auto"/>
              </w:rPr>
              <w:t>Effect of 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9.4</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 Affected by Supplemental Indentures.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9.5</w:t>
            </w:r>
          </w:p>
        </w:tc>
        <w:tc>
          <w:tcPr>
            <w:tcW w:w="8620" w:type="dxa"/>
            <w:vAlign w:val="bottom"/>
          </w:tcPr>
          <w:p>
            <w:pPr>
              <w:ind w:left="400"/>
              <w:spacing w:after="0"/>
              <w:rPr>
                <w:sz w:val="20"/>
                <w:szCs w:val="20"/>
                <w:color w:val="auto"/>
              </w:rPr>
            </w:pPr>
            <w:r>
              <w:rPr>
                <w:rFonts w:ascii="Arial" w:cs="Arial" w:eastAsia="Arial" w:hAnsi="Arial"/>
                <w:sz w:val="18"/>
                <w:szCs w:val="18"/>
                <w:color w:val="auto"/>
              </w:rPr>
              <w:t>Execution of 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ARTICLE X SUCCESSOR ENTITY</w:t>
            </w: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10.1</w:t>
            </w:r>
          </w:p>
        </w:tc>
        <w:tc>
          <w:tcPr>
            <w:tcW w:w="8620" w:type="dxa"/>
            <w:vAlign w:val="bottom"/>
          </w:tcPr>
          <w:p>
            <w:pPr>
              <w:ind w:left="400"/>
              <w:spacing w:after="0"/>
              <w:rPr>
                <w:sz w:val="20"/>
                <w:szCs w:val="20"/>
                <w:color w:val="auto"/>
              </w:rPr>
            </w:pPr>
            <w:r>
              <w:rPr>
                <w:rFonts w:ascii="Arial" w:cs="Arial" w:eastAsia="Arial" w:hAnsi="Arial"/>
                <w:sz w:val="18"/>
                <w:szCs w:val="18"/>
                <w:color w:val="auto"/>
              </w:rPr>
              <w:t>Company may Consolidate, etc.</w:t>
            </w: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10.2</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Successor Entity Substituted.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10.3</w:t>
            </w:r>
          </w:p>
        </w:tc>
        <w:tc>
          <w:tcPr>
            <w:tcW w:w="8620" w:type="dxa"/>
            <w:vAlign w:val="bottom"/>
          </w:tcPr>
          <w:p>
            <w:pPr>
              <w:ind w:left="400"/>
              <w:spacing w:after="0"/>
              <w:rPr>
                <w:sz w:val="20"/>
                <w:szCs w:val="20"/>
                <w:color w:val="auto"/>
              </w:rPr>
            </w:pPr>
            <w:r>
              <w:rPr>
                <w:rFonts w:ascii="Arial" w:cs="Arial" w:eastAsia="Arial" w:hAnsi="Arial"/>
                <w:sz w:val="18"/>
                <w:szCs w:val="18"/>
                <w:color w:val="auto"/>
              </w:rPr>
              <w:t>Evidence of Consolidation, etc. To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 SATISFACTION AND DISCHARGE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8620" w:type="dxa"/>
            <w:vAlign w:val="bottom"/>
            <w:shd w:val="clear" w:color="auto" w:fill="FEFEFE"/>
          </w:tcPr>
          <w:p>
            <w:pPr>
              <w:spacing w:after="0"/>
              <w:rPr>
                <w:sz w:val="18"/>
                <w:szCs w:val="18"/>
                <w:color w:val="auto"/>
              </w:rPr>
            </w:pPr>
          </w:p>
        </w:tc>
        <w:tc>
          <w:tcPr>
            <w:tcW w:w="132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11.1</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Satisfaction and Discharge of Indenture.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11.2</w:t>
            </w:r>
          </w:p>
        </w:tc>
        <w:tc>
          <w:tcPr>
            <w:tcW w:w="8620" w:type="dxa"/>
            <w:vAlign w:val="bottom"/>
            <w:shd w:val="clear" w:color="auto" w:fill="FEFEFE"/>
          </w:tcPr>
          <w:p>
            <w:pPr>
              <w:ind w:left="400"/>
              <w:spacing w:after="0"/>
              <w:rPr>
                <w:sz w:val="20"/>
                <w:szCs w:val="20"/>
                <w:color w:val="auto"/>
              </w:rPr>
            </w:pPr>
            <w:r>
              <w:rPr>
                <w:rFonts w:ascii="Arial" w:cs="Arial" w:eastAsia="Arial" w:hAnsi="Arial"/>
                <w:sz w:val="18"/>
                <w:szCs w:val="18"/>
                <w:color w:val="auto"/>
              </w:rPr>
              <w:t>Application of Trust Money.</w:t>
            </w:r>
          </w:p>
        </w:tc>
        <w:tc>
          <w:tcPr>
            <w:tcW w:w="13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FEFEFE"/>
          </w:tcPr>
          <w:p>
            <w:pPr>
              <w:spacing w:after="0"/>
              <w:rPr>
                <w:sz w:val="20"/>
                <w:szCs w:val="20"/>
                <w:color w:val="auto"/>
              </w:rPr>
            </w:pPr>
            <w:r>
              <w:rPr>
                <w:rFonts w:ascii="Arial" w:cs="Arial" w:eastAsia="Arial" w:hAnsi="Arial"/>
                <w:sz w:val="18"/>
                <w:szCs w:val="18"/>
                <w:color w:val="auto"/>
              </w:rPr>
              <w:t>ARTICLE XII LEGAL DEFEASANCE AND COVENANT DEFEASANCE</w:t>
            </w:r>
          </w:p>
        </w:tc>
        <w:tc>
          <w:tcPr>
            <w:tcW w:w="13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12.1</w:t>
            </w:r>
          </w:p>
        </w:tc>
        <w:tc>
          <w:tcPr>
            <w:tcW w:w="8620" w:type="dxa"/>
            <w:vAlign w:val="bottom"/>
            <w:shd w:val="clear" w:color="auto" w:fill="FEFEFE"/>
          </w:tcPr>
          <w:p>
            <w:pPr>
              <w:ind w:left="400"/>
              <w:spacing w:after="0"/>
              <w:rPr>
                <w:sz w:val="20"/>
                <w:szCs w:val="20"/>
                <w:color w:val="auto"/>
              </w:rPr>
            </w:pPr>
            <w:r>
              <w:rPr>
                <w:rFonts w:ascii="Arial" w:cs="Arial" w:eastAsia="Arial" w:hAnsi="Arial"/>
                <w:sz w:val="18"/>
                <w:szCs w:val="18"/>
                <w:color w:val="auto"/>
              </w:rPr>
              <w:t>Option to Effect Legal Defeasance or Covenant Defeasance</w:t>
            </w:r>
            <w:r>
              <w:rPr>
                <w:rFonts w:ascii="Arial" w:cs="Arial" w:eastAsia="Arial" w:hAnsi="Arial"/>
                <w:sz w:val="18"/>
                <w:szCs w:val="18"/>
                <w:i w:val="1"/>
                <w:iCs w:val="1"/>
                <w:color w:val="auto"/>
              </w:rPr>
              <w:t>.</w:t>
            </w:r>
          </w:p>
        </w:tc>
        <w:tc>
          <w:tcPr>
            <w:tcW w:w="13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12.2</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Legal Defeasance and Discharge</w:t>
            </w:r>
            <w:r>
              <w:rPr>
                <w:rFonts w:ascii="Arial" w:cs="Arial" w:eastAsia="Arial" w:hAnsi="Arial"/>
                <w:sz w:val="18"/>
                <w:szCs w:val="18"/>
                <w:i w:val="1"/>
                <w:i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12.3</w:t>
            </w:r>
          </w:p>
        </w:tc>
        <w:tc>
          <w:tcPr>
            <w:tcW w:w="8620" w:type="dxa"/>
            <w:vAlign w:val="bottom"/>
            <w:shd w:val="clear" w:color="auto" w:fill="FEFEFE"/>
          </w:tcPr>
          <w:p>
            <w:pPr>
              <w:ind w:left="400"/>
              <w:spacing w:after="0"/>
              <w:rPr>
                <w:sz w:val="20"/>
                <w:szCs w:val="20"/>
                <w:color w:val="auto"/>
              </w:rPr>
            </w:pPr>
            <w:r>
              <w:rPr>
                <w:rFonts w:ascii="Arial" w:cs="Arial" w:eastAsia="Arial" w:hAnsi="Arial"/>
                <w:sz w:val="18"/>
                <w:szCs w:val="18"/>
                <w:color w:val="auto"/>
              </w:rPr>
              <w:t>Covenant Defeasance</w:t>
            </w:r>
            <w:r>
              <w:rPr>
                <w:rFonts w:ascii="Arial" w:cs="Arial" w:eastAsia="Arial" w:hAnsi="Arial"/>
                <w:sz w:val="18"/>
                <w:szCs w:val="18"/>
                <w:i w:val="1"/>
                <w:iCs w:val="1"/>
                <w:color w:val="auto"/>
              </w:rPr>
              <w:t>.</w:t>
            </w:r>
          </w:p>
        </w:tc>
        <w:tc>
          <w:tcPr>
            <w:tcW w:w="13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12.4</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Conditions to Legal or Covenant Defeasance</w:t>
            </w:r>
            <w:r>
              <w:rPr>
                <w:rFonts w:ascii="Arial" w:cs="Arial" w:eastAsia="Arial" w:hAnsi="Arial"/>
                <w:sz w:val="18"/>
                <w:szCs w:val="18"/>
                <w:i w:val="1"/>
                <w:i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12.5</w:t>
            </w:r>
          </w:p>
        </w:tc>
        <w:tc>
          <w:tcPr>
            <w:tcW w:w="8620" w:type="dxa"/>
            <w:vAlign w:val="bottom"/>
            <w:shd w:val="clear" w:color="auto" w:fill="FEFEFE"/>
          </w:tcPr>
          <w:p>
            <w:pPr>
              <w:ind w:left="40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r>
              <w:rPr>
                <w:rFonts w:ascii="Arial" w:cs="Arial" w:eastAsia="Arial" w:hAnsi="Arial"/>
                <w:sz w:val="18"/>
                <w:szCs w:val="18"/>
                <w:i w:val="1"/>
                <w:iCs w:val="1"/>
                <w:color w:val="auto"/>
              </w:rPr>
              <w:t>.</w:t>
            </w:r>
          </w:p>
        </w:tc>
        <w:tc>
          <w:tcPr>
            <w:tcW w:w="13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12.6</w:t>
            </w: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Repayment to Company</w:t>
            </w:r>
            <w:r>
              <w:rPr>
                <w:rFonts w:ascii="Arial" w:cs="Arial" w:eastAsia="Arial" w:hAnsi="Arial"/>
                <w:sz w:val="18"/>
                <w:szCs w:val="18"/>
                <w:i w:val="1"/>
                <w:i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12.7</w:t>
            </w:r>
          </w:p>
        </w:tc>
        <w:tc>
          <w:tcPr>
            <w:tcW w:w="8620" w:type="dxa"/>
            <w:vAlign w:val="bottom"/>
            <w:shd w:val="clear" w:color="auto" w:fill="FEFEFE"/>
          </w:tcPr>
          <w:p>
            <w:pPr>
              <w:ind w:left="400"/>
              <w:spacing w:after="0"/>
              <w:rPr>
                <w:sz w:val="20"/>
                <w:szCs w:val="20"/>
                <w:color w:val="auto"/>
              </w:rPr>
            </w:pPr>
            <w:r>
              <w:rPr>
                <w:rFonts w:ascii="Arial" w:cs="Arial" w:eastAsia="Arial" w:hAnsi="Arial"/>
                <w:sz w:val="18"/>
                <w:szCs w:val="18"/>
                <w:color w:val="auto"/>
              </w:rPr>
              <w:t>Reinstatement.</w:t>
            </w:r>
          </w:p>
        </w:tc>
        <w:tc>
          <w:tcPr>
            <w:tcW w:w="13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FEFEFE"/>
          </w:tcPr>
          <w:p>
            <w:pPr>
              <w:spacing w:after="0"/>
              <w:rPr>
                <w:sz w:val="20"/>
                <w:szCs w:val="20"/>
                <w:color w:val="auto"/>
              </w:rPr>
            </w:pPr>
            <w:r>
              <w:rPr>
                <w:rFonts w:ascii="Arial" w:cs="Arial" w:eastAsia="Arial" w:hAnsi="Arial"/>
                <w:sz w:val="18"/>
                <w:szCs w:val="18"/>
                <w:color w:val="auto"/>
              </w:rPr>
              <w:t>ARTICLE XIII IMMUNITY OF INCORPORATORS, STOCKHOLDERS, OFFICERS AND DIRECTORS</w:t>
            </w:r>
          </w:p>
        </w:tc>
        <w:tc>
          <w:tcPr>
            <w:tcW w:w="13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Arial" w:cs="Arial" w:eastAsia="Arial" w:hAnsi="Arial"/>
                <w:sz w:val="18"/>
                <w:szCs w:val="18"/>
                <w:color w:val="auto"/>
              </w:rPr>
              <w:t>Section 13.1</w:t>
            </w:r>
          </w:p>
        </w:tc>
        <w:tc>
          <w:tcPr>
            <w:tcW w:w="8620" w:type="dxa"/>
            <w:vAlign w:val="bottom"/>
            <w:shd w:val="clear" w:color="auto" w:fill="FEFEFE"/>
          </w:tcPr>
          <w:p>
            <w:pPr>
              <w:ind w:left="400"/>
              <w:spacing w:after="0"/>
              <w:rPr>
                <w:sz w:val="20"/>
                <w:szCs w:val="20"/>
                <w:color w:val="auto"/>
              </w:rPr>
            </w:pPr>
            <w:r>
              <w:rPr>
                <w:rFonts w:ascii="Arial" w:cs="Arial" w:eastAsia="Arial" w:hAnsi="Arial"/>
                <w:sz w:val="18"/>
                <w:szCs w:val="18"/>
                <w:color w:val="auto"/>
              </w:rPr>
              <w:t>No Recourse.</w:t>
            </w:r>
          </w:p>
        </w:tc>
        <w:tc>
          <w:tcPr>
            <w:tcW w:w="13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XIV MISCELLANEOUS PROVISIONS</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14.1</w:t>
            </w: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on Successors and Assigns.</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14.2</w:t>
            </w:r>
          </w:p>
        </w:tc>
        <w:tc>
          <w:tcPr>
            <w:tcW w:w="6440" w:type="dxa"/>
            <w:vAlign w:val="bottom"/>
          </w:tcPr>
          <w:p>
            <w:pPr>
              <w:ind w:left="360"/>
              <w:spacing w:after="0"/>
              <w:rPr>
                <w:sz w:val="20"/>
                <w:szCs w:val="20"/>
                <w:color w:val="auto"/>
              </w:rPr>
            </w:pPr>
            <w:r>
              <w:rPr>
                <w:rFonts w:ascii="Arial" w:cs="Arial" w:eastAsia="Arial" w:hAnsi="Arial"/>
                <w:sz w:val="18"/>
                <w:szCs w:val="18"/>
                <w:color w:val="auto"/>
              </w:rPr>
              <w:t>Actions by Successor.</w:t>
            </w:r>
          </w:p>
        </w:tc>
        <w:tc>
          <w:tcPr>
            <w:tcW w:w="34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14.3</w:t>
            </w: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Surrender of Company Powers.</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14.4</w:t>
            </w:r>
          </w:p>
        </w:tc>
        <w:tc>
          <w:tcPr>
            <w:tcW w:w="6440" w:type="dxa"/>
            <w:vAlign w:val="bottom"/>
          </w:tcPr>
          <w:p>
            <w:pPr>
              <w:ind w:left="360"/>
              <w:spacing w:after="0"/>
              <w:rPr>
                <w:sz w:val="20"/>
                <w:szCs w:val="20"/>
                <w:color w:val="auto"/>
              </w:rPr>
            </w:pPr>
            <w:r>
              <w:rPr>
                <w:rFonts w:ascii="Arial" w:cs="Arial" w:eastAsia="Arial" w:hAnsi="Arial"/>
                <w:sz w:val="18"/>
                <w:szCs w:val="18"/>
                <w:color w:val="auto"/>
              </w:rPr>
              <w:t>Notices.</w:t>
            </w:r>
          </w:p>
        </w:tc>
        <w:tc>
          <w:tcPr>
            <w:tcW w:w="34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14.5</w:t>
            </w: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Governing Law/Waiver of Jury Trial.</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14.6</w:t>
            </w:r>
          </w:p>
        </w:tc>
        <w:tc>
          <w:tcPr>
            <w:tcW w:w="6440" w:type="dxa"/>
            <w:vAlign w:val="bottom"/>
          </w:tcPr>
          <w:p>
            <w:pPr>
              <w:ind w:left="360"/>
              <w:spacing w:after="0"/>
              <w:rPr>
                <w:sz w:val="20"/>
                <w:szCs w:val="20"/>
                <w:color w:val="auto"/>
              </w:rPr>
            </w:pPr>
            <w:r>
              <w:rPr>
                <w:rFonts w:ascii="Arial" w:cs="Arial" w:eastAsia="Arial" w:hAnsi="Arial"/>
                <w:sz w:val="18"/>
                <w:szCs w:val="18"/>
                <w:color w:val="auto"/>
              </w:rPr>
              <w:t>Treatment of Securities as Debt.</w:t>
            </w:r>
          </w:p>
        </w:tc>
        <w:tc>
          <w:tcPr>
            <w:tcW w:w="34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14.7</w:t>
            </w: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Compliance Certificates and Opinions.</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14.8</w:t>
            </w:r>
          </w:p>
        </w:tc>
        <w:tc>
          <w:tcPr>
            <w:tcW w:w="6440" w:type="dxa"/>
            <w:vAlign w:val="bottom"/>
          </w:tcPr>
          <w:p>
            <w:pPr>
              <w:ind w:left="360"/>
              <w:spacing w:after="0"/>
              <w:rPr>
                <w:sz w:val="20"/>
                <w:szCs w:val="20"/>
                <w:color w:val="auto"/>
              </w:rPr>
            </w:pPr>
            <w:r>
              <w:rPr>
                <w:rFonts w:ascii="Arial" w:cs="Arial" w:eastAsia="Arial" w:hAnsi="Arial"/>
                <w:sz w:val="18"/>
                <w:szCs w:val="18"/>
                <w:color w:val="auto"/>
              </w:rPr>
              <w:t>Payments on Business Days.</w:t>
            </w:r>
          </w:p>
        </w:tc>
        <w:tc>
          <w:tcPr>
            <w:tcW w:w="34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14.9</w:t>
            </w: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Conflict with Trust Indenture Act.</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14.10</w:t>
            </w:r>
          </w:p>
        </w:tc>
        <w:tc>
          <w:tcPr>
            <w:tcW w:w="6440" w:type="dxa"/>
            <w:vAlign w:val="bottom"/>
          </w:tcPr>
          <w:p>
            <w:pPr>
              <w:ind w:left="360"/>
              <w:spacing w:after="0"/>
              <w:rPr>
                <w:sz w:val="20"/>
                <w:szCs w:val="20"/>
                <w:color w:val="auto"/>
              </w:rPr>
            </w:pPr>
            <w:r>
              <w:rPr>
                <w:rFonts w:ascii="Arial" w:cs="Arial" w:eastAsia="Arial" w:hAnsi="Arial"/>
                <w:sz w:val="18"/>
                <w:szCs w:val="18"/>
                <w:color w:val="auto"/>
              </w:rPr>
              <w:t>Counterparts.</w:t>
            </w:r>
          </w:p>
        </w:tc>
        <w:tc>
          <w:tcPr>
            <w:tcW w:w="34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14.11</w:t>
            </w: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Severability.</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14.12</w:t>
            </w:r>
          </w:p>
        </w:tc>
        <w:tc>
          <w:tcPr>
            <w:tcW w:w="6440" w:type="dxa"/>
            <w:vAlign w:val="bottom"/>
          </w:tcPr>
          <w:p>
            <w:pPr>
              <w:ind w:left="360"/>
              <w:spacing w:after="0"/>
              <w:rPr>
                <w:sz w:val="20"/>
                <w:szCs w:val="20"/>
                <w:color w:val="auto"/>
              </w:rPr>
            </w:pPr>
            <w:r>
              <w:rPr>
                <w:rFonts w:ascii="Arial" w:cs="Arial" w:eastAsia="Arial" w:hAnsi="Arial"/>
                <w:sz w:val="18"/>
                <w:szCs w:val="18"/>
                <w:color w:val="auto"/>
              </w:rPr>
              <w:t>Compliance Certificates.</w:t>
            </w:r>
          </w:p>
        </w:tc>
        <w:tc>
          <w:tcPr>
            <w:tcW w:w="34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14.13</w:t>
            </w: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Usa Patriot Act</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14.14</w:t>
            </w:r>
          </w:p>
        </w:tc>
        <w:tc>
          <w:tcPr>
            <w:tcW w:w="6440" w:type="dxa"/>
            <w:vAlign w:val="bottom"/>
          </w:tcPr>
          <w:p>
            <w:pPr>
              <w:ind w:left="360"/>
              <w:spacing w:after="0"/>
              <w:rPr>
                <w:sz w:val="20"/>
                <w:szCs w:val="20"/>
                <w:color w:val="auto"/>
              </w:rPr>
            </w:pPr>
            <w:r>
              <w:rPr>
                <w:rFonts w:ascii="Arial" w:cs="Arial" w:eastAsia="Arial" w:hAnsi="Arial"/>
                <w:sz w:val="18"/>
                <w:szCs w:val="18"/>
                <w:color w:val="auto"/>
              </w:rPr>
              <w:t>Consent to Jurisdiction and Service</w:t>
            </w:r>
          </w:p>
        </w:tc>
        <w:tc>
          <w:tcPr>
            <w:tcW w:w="34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14.15</w:t>
            </w: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Force Majeure</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INDENTURE, dated as of , 20 , among ARCTURUS THERAPEUTICS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 a national banking association organized under the laws of the United States, as trustee (the “</w:t>
      </w:r>
      <w:r>
        <w:rPr>
          <w:rFonts w:ascii="Arial" w:cs="Arial" w:eastAsia="Arial" w:hAnsi="Arial"/>
          <w:sz w:val="17"/>
          <w:szCs w:val="17"/>
          <w:b w:val="1"/>
          <w:bCs w:val="1"/>
          <w:color w:val="auto"/>
        </w:rPr>
        <w:t>Trustee</w:t>
      </w:r>
      <w:r>
        <w:rPr>
          <w:rFonts w:ascii="Arial" w:cs="Arial" w:eastAsia="Arial" w:hAnsi="Arial"/>
          <w:sz w:val="17"/>
          <w:szCs w:val="17"/>
          <w:color w:val="auto"/>
        </w:rPr>
        <w:t>”):</w:t>
      </w:r>
    </w:p>
    <w:p>
      <w:pPr>
        <w:spacing w:after="0" w:line="2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for its lawful corporate purposes, the Company has duly authorized the execution and delivery of this Indenture to provide for the issuance of debt securities (hereinafter referred to as the “</w:t>
      </w:r>
      <w:r>
        <w:rPr>
          <w:rFonts w:ascii="Arial" w:cs="Arial" w:eastAsia="Arial" w:hAnsi="Arial"/>
          <w:sz w:val="17"/>
          <w:szCs w:val="17"/>
          <w:b w:val="1"/>
          <w:bCs w:val="1"/>
          <w:color w:val="auto"/>
        </w:rPr>
        <w:t>Securities</w:t>
      </w:r>
      <w:r>
        <w:rPr>
          <w:rFonts w:ascii="Arial" w:cs="Arial" w:eastAsia="Arial" w:hAnsi="Arial"/>
          <w:sz w:val="17"/>
          <w:szCs w:val="17"/>
          <w:color w:val="auto"/>
        </w:rPr>
        <w:t>”), in an unlimited aggregate principal amount to be issued from time to time in one or more series as in this Indenture provided, as registered Securities without coupons, to be authenticated by the Trustee;</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all things necessary to make this Indenture a valid agreement of the Company, in accordance with its terms, have been done.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8"/>
          <w:szCs w:val="18"/>
          <w:b w:val="1"/>
          <w:bCs w:val="1"/>
          <w:color w:val="auto"/>
        </w:rPr>
        <w:t>DEFINITIONS OF TERMS.</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terms defined in this Section (except as in this Indenture or any Board Resolution or indenture supplemental hereto otherwise expressly provided or unless the context otherwise requires) for all purposes of this Indenture and of any Board Resolution or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(except as herein or any Board Resolution or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Authenticating Agent</w:t>
      </w:r>
      <w:r>
        <w:rPr>
          <w:rFonts w:ascii="Arial" w:cs="Arial" w:eastAsia="Arial" w:hAnsi="Arial"/>
          <w:sz w:val="18"/>
          <w:szCs w:val="18"/>
          <w:color w:val="auto"/>
        </w:rPr>
        <w:t>” means an authenticating agent with respect to all or any of the series of Securities appointed by the Trustee pursuant to Section 2.10.</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w:t>
      </w:r>
      <w:r>
        <w:rPr>
          <w:rFonts w:ascii="Arial" w:cs="Arial" w:eastAsia="Arial" w:hAnsi="Arial"/>
          <w:sz w:val="18"/>
          <w:szCs w:val="18"/>
          <w:color w:val="auto"/>
        </w:rPr>
        <w:t>,” when used with respect to the Company, means the Chairman of the Board of Directors, the Co-Chief Executive Officers, the President, the Chief Operating Officer, the Chief Financial Officer, the Treasurer, any Assistant Treasurer, the Controller, the Secretary or any Executive Vice President or Senior Vice President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 or any duly authorized committee of such Board.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one or more resolutions certified by the Secretary or an Assistant Secretary of the Company to have been duly adopted by the Board of Directors, or such committee of the Board of Directors or officers of the Company to which authority to act on behalf of the Board of Directors has been delegated, and to be in full force and effect on the date of such certification, and to be delivered to the Trustee.</w:t>
      </w:r>
    </w:p>
    <w:p>
      <w:pPr>
        <w:spacing w:after="0" w:line="1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Arcturus Therapeutics Holdings Inc., a corporation duly organized and existing under the laws of the State of Delaware, and, subject to the provisions of Article X, shall also include its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Request</w:t>
      </w:r>
      <w:r>
        <w:rPr>
          <w:rFonts w:ascii="Arial" w:cs="Arial" w:eastAsia="Arial" w:hAnsi="Arial"/>
          <w:sz w:val="18"/>
          <w:szCs w:val="18"/>
          <w:color w:val="auto"/>
        </w:rPr>
        <w:t>” and “</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request or order signed in the name of the Company by one or more Authorized Officers of the Company, and delivered to the Trustee.</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principal office of the Trustee at which, at any particular time, this Indenture shall be administered, which office at the date hereof is located at ; Attention: . With respect to presentation for transfer or exchange, conversions or principal payment, such address shall be ; Attention: , or such other address as the Trustee may designate from time to time by written notice to the Securityholders and the Company, or the principal corporate trust office of any successor Trustee (or such other address as such successor Trustee may designate from time to time by written notice to the Securityholders and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Defeasance</w:t>
      </w:r>
      <w:r>
        <w:rPr>
          <w:rFonts w:ascii="Arial" w:cs="Arial" w:eastAsia="Arial" w:hAnsi="Arial"/>
          <w:sz w:val="18"/>
          <w:szCs w:val="18"/>
          <w:color w:val="auto"/>
        </w:rPr>
        <w:t>” shall have the meaning set forth in Section 12.3.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act or condition that with notice or lapse of time, or both, would constitute an Event of Default.</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Depositary</w:t>
      </w:r>
      <w:r>
        <w:rPr>
          <w:rFonts w:ascii="Arial" w:cs="Arial" w:eastAsia="Arial" w:hAnsi="Arial"/>
          <w:sz w:val="16"/>
          <w:szCs w:val="16"/>
          <w:color w:val="auto"/>
        </w:rPr>
        <w:t>”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2.1 or 2.11.</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with respect to Securities of a particular series, any event specified in Section 6.1, continued for the period of time, if any, therein designated.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Global Security</w:t>
      </w:r>
      <w:r>
        <w:rPr>
          <w:rFonts w:ascii="Arial" w:cs="Arial" w:eastAsia="Arial" w:hAnsi="Arial"/>
          <w:sz w:val="16"/>
          <w:szCs w:val="16"/>
          <w:color w:val="auto"/>
        </w:rPr>
        <w:t>”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Obligations</w:t>
      </w:r>
      <w:r>
        <w:rPr>
          <w:rFonts w:ascii="Arial" w:cs="Arial" w:eastAsia="Arial" w:hAnsi="Arial"/>
          <w:sz w:val="17"/>
          <w:szCs w:val="17"/>
          <w:color w:val="auto"/>
        </w:rPr>
        <w:t>” means securities that are (a) direct obligations of the U.S. for the payment of which its full faith and credit is pledged or (b) obligations of a Person controlled or supervised by and acting as an agency or instrumentality of the U.S., the payment of which is unconditionally guaranteed as a full faith and credit obligation by the U.S. that, in either case, are not callable or redeemable at the option of the issuer thereof, and shall also include a depositary receipt issued by a bank (as defined in Section 3(a)(2) of the Securities Act)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and “</w:t>
      </w:r>
      <w:r>
        <w:rPr>
          <w:rFonts w:ascii="Arial" w:cs="Arial" w:eastAsia="Arial" w:hAnsi="Arial"/>
          <w:sz w:val="18"/>
          <w:szCs w:val="18"/>
          <w:b w:val="1"/>
          <w:b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instrument as originally executed or as it may from time to time be supplemented or amended by one or more Board Resolutions or one or more indentures supplemental hereto entered into in accordance with the terms hereof.</w:t>
      </w:r>
    </w:p>
    <w:p>
      <w:pPr>
        <w:spacing w:after="0" w:line="16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Defeasance</w:t>
      </w:r>
      <w:r>
        <w:rPr>
          <w:rFonts w:ascii="Arial" w:cs="Arial" w:eastAsia="Arial" w:hAnsi="Arial"/>
          <w:sz w:val="18"/>
          <w:szCs w:val="18"/>
          <w:color w:val="auto"/>
        </w:rPr>
        <w:t>” shall have the meaning set forth in Section 12.2.</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an Authorized Officer of the Company that is delivered to the Trustee in accordance with the terms hereof. Each such certificate shall include the statements provided for in Section 14.7, if and to the extent required by the provisions thereof. An Officer’s Certificate given pursuant to Section 14.12 shall be signed by the principal executive, financial or accounting officer of the Company but need not contain the statements provided for in Section 14.7.</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14.7, if and to the extent required by the provisions thereof.</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Outstanding</w:t>
      </w:r>
      <w:r>
        <w:rPr>
          <w:rFonts w:ascii="Arial" w:cs="Arial" w:eastAsia="Arial" w:hAnsi="Arial"/>
          <w:sz w:val="16"/>
          <w:szCs w:val="16"/>
          <w:color w:val="auto"/>
        </w:rPr>
        <w:t>,” when used with reference to Securities of any series, means, subject to the provisions of Section 8.4, as of any particular time, all Securities of that series theretofore authenticated and delivered by the Trustee under this Indenture, except (a) Securities theretofore canceled by the Trustee, or delivered to the Trustee or any Paying Agent for cancellation or that have previously been canceled; (b) Securities or portions thereof for the payment or redemption of which cash or Governmental Obligations in the necessary amount shall have been irrevocably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2.7, unless the Trustee and the Company receive proof satisfactory to them that the replaced Security is held by a protected purchaser.</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106"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shall have the meaning set forth in Section 4.2(a).</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 and includes any syndicate or group that would be deemed to be a “person” under Section 13(d)(3) of the Exchange Act.</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2.7 in lieu of a lost, destroyed or stolen Security shall be deemed to evidence the same debt as the lost, destroyed or stolen Security.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Date</w:t>
      </w:r>
      <w:r>
        <w:rPr>
          <w:rFonts w:ascii="Arial" w:cs="Arial" w:eastAsia="Arial" w:hAnsi="Arial"/>
          <w:sz w:val="16"/>
          <w:szCs w:val="16"/>
          <w:color w:val="auto"/>
        </w:rPr>
        <w:t>,” when used with respect to any Security to be redeemed, means the date fixed for such redemption by or pursuant to this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shall have the meaning set forth in the recitals to this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Securityholder</w:t>
      </w:r>
      <w:r>
        <w:rPr>
          <w:rFonts w:ascii="Arial" w:cs="Arial" w:eastAsia="Arial" w:hAnsi="Arial"/>
          <w:sz w:val="18"/>
          <w:szCs w:val="18"/>
          <w:color w:val="auto"/>
        </w:rPr>
        <w:t>,”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registered holder</w:t>
      </w:r>
      <w:r>
        <w:rPr>
          <w:rFonts w:ascii="Arial" w:cs="Arial" w:eastAsia="Arial" w:hAnsi="Arial"/>
          <w:sz w:val="18"/>
          <w:szCs w:val="18"/>
          <w:color w:val="auto"/>
        </w:rPr>
        <w:t>,” or other similar term, means the Person or Persons in whose name or names a particular Security shall be registered on the Security Register in accordance with the terms of this Indenture.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Register</w:t>
      </w:r>
      <w:r>
        <w:rPr>
          <w:rFonts w:ascii="Arial" w:cs="Arial" w:eastAsia="Arial" w:hAnsi="Arial"/>
          <w:sz w:val="18"/>
          <w:szCs w:val="18"/>
          <w:color w:val="auto"/>
        </w:rPr>
        <w:t>” shall have the meaning set forth in Section 4.2(a).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Registrar</w:t>
      </w:r>
      <w:r>
        <w:rPr>
          <w:rFonts w:ascii="Arial" w:cs="Arial" w:eastAsia="Arial" w:hAnsi="Arial"/>
          <w:sz w:val="18"/>
          <w:szCs w:val="18"/>
          <w:color w:val="auto"/>
        </w:rPr>
        <w:t>” shall have the meaning set forth in Section 4.2(a).</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 and, subject to the provisions of Article VII,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Officer</w:t>
      </w:r>
      <w:r>
        <w:rPr>
          <w:rFonts w:ascii="Arial" w:cs="Arial" w:eastAsia="Arial" w:hAnsi="Arial"/>
          <w:sz w:val="18"/>
          <w:szCs w:val="18"/>
          <w:color w:val="auto"/>
        </w:rPr>
        <w:t>” means any officer of the Trustee with direct responsibility for the administration of this Indenture and also means, with respect to a particular corporate trust matter hereunder, any other officer of the Trustee to whom such matter is referred because of his or her knowledge of and familiarity with the particular subject.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Uniform Commercial Code</w:t>
      </w:r>
      <w:r>
        <w:rPr>
          <w:rFonts w:ascii="Arial" w:cs="Arial" w:eastAsia="Arial" w:hAnsi="Arial"/>
          <w:sz w:val="18"/>
          <w:szCs w:val="18"/>
          <w:color w:val="auto"/>
        </w:rPr>
        <w:t>” means the New York Uniform Commercial Code as in effect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shall have the meaning set forth in Section 14.13.</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7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8"/>
          <w:szCs w:val="18"/>
          <w:b w:val="1"/>
          <w:bCs w:val="1"/>
          <w:color w:val="auto"/>
        </w:rPr>
        <w:t>INCORPORATION BY REFERENCE OF TRUST INDENTURE ACT.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Whenever this Indenture refers to a provision of the Trust Indenture Act, the provision is incorporated by reference in and made a part of this Indenture.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right="20"/>
        <w:spacing w:after="0" w:line="277" w:lineRule="auto"/>
        <w:rPr>
          <w:sz w:val="20"/>
          <w:szCs w:val="20"/>
          <w:color w:val="auto"/>
        </w:rPr>
      </w:pPr>
      <w:r>
        <w:rPr>
          <w:rFonts w:ascii="Arial" w:cs="Arial" w:eastAsia="Arial" w:hAnsi="Arial"/>
          <w:sz w:val="18"/>
          <w:szCs w:val="18"/>
          <w:color w:val="auto"/>
        </w:rPr>
        <w:t>All Trust Indenture Act terms used in this Indenture that are defined by the Trust Indenture Act, defined by Trust Indenture Act reference to another statute or defined by Commission rule have the meanings assigned to them by such definitions.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DESCRIPTION, TERMS, EXECUTION, REGISTRATION</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AND EXCHANGE OF SECURITIES</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8"/>
          <w:szCs w:val="18"/>
          <w:b w:val="1"/>
          <w:bCs w:val="1"/>
          <w:color w:val="auto"/>
        </w:rPr>
        <w:t>DESIGNATION AND TERMS OF SECURITIES.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57" w:lineRule="exact"/>
        <w:rPr>
          <w:sz w:val="20"/>
          <w:szCs w:val="20"/>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principal amount of the Securities being offered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83" w:lineRule="exact"/>
        <w:rPr>
          <w:rFonts w:ascii="Arial" w:cs="Arial" w:eastAsia="Arial" w:hAnsi="Arial"/>
          <w:sz w:val="18"/>
          <w:szCs w:val="18"/>
          <w:color w:val="auto"/>
        </w:rPr>
      </w:pPr>
    </w:p>
    <w:p>
      <w:pPr>
        <w:ind w:firstLine="656"/>
        <w:spacing w:after="0" w:line="277" w:lineRule="auto"/>
        <w:tabs>
          <w:tab w:leader="none" w:pos="9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any original issue discount that may apply to the Securities of that series upon their issuance, the principal amount due at maturity, and the place(s) of payment;</w:t>
      </w:r>
    </w:p>
    <w:p>
      <w:pPr>
        <w:spacing w:after="0" w:line="170" w:lineRule="exact"/>
        <w:rPr>
          <w:rFonts w:ascii="Arial" w:cs="Arial" w:eastAsia="Arial" w:hAnsi="Arial"/>
          <w:sz w:val="18"/>
          <w:szCs w:val="18"/>
          <w:color w:val="auto"/>
        </w:rPr>
      </w:pPr>
    </w:p>
    <w:p>
      <w:pPr>
        <w:ind w:right="20" w:firstLine="656"/>
        <w:spacing w:after="0" w:line="277" w:lineRule="auto"/>
        <w:tabs>
          <w:tab w:leader="none" w:pos="9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or the manner of calculation of such rate or rates, if any, and whether the rate(s) are fixed or variable;</w:t>
      </w:r>
    </w:p>
    <w:p>
      <w:pPr>
        <w:spacing w:after="0" w:line="170" w:lineRule="exact"/>
        <w:rPr>
          <w:rFonts w:ascii="Arial" w:cs="Arial" w:eastAsia="Arial" w:hAnsi="Arial"/>
          <w:sz w:val="18"/>
          <w:szCs w:val="18"/>
          <w:color w:val="auto"/>
        </w:rPr>
      </w:pPr>
    </w:p>
    <w:p>
      <w:pPr>
        <w:jc w:val="both"/>
        <w:ind w:right="20" w:firstLine="656"/>
        <w:spacing w:after="0" w:line="263" w:lineRule="auto"/>
        <w:tabs>
          <w:tab w:leader="none" w:pos="91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225" w:lineRule="exact"/>
        <w:rPr>
          <w:rFonts w:ascii="Arial" w:cs="Arial" w:eastAsia="Arial" w:hAnsi="Arial"/>
          <w:sz w:val="18"/>
          <w:szCs w:val="18"/>
          <w:color w:val="auto"/>
        </w:rPr>
      </w:pPr>
    </w:p>
    <w:p>
      <w:pPr>
        <w:ind w:firstLine="656"/>
        <w:spacing w:after="0" w:line="277" w:lineRule="auto"/>
        <w:tabs>
          <w:tab w:leader="none" w:pos="92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firstLine="656"/>
        <w:spacing w:after="0" w:line="308" w:lineRule="auto"/>
        <w:tabs>
          <w:tab w:leader="none" w:pos="989"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other than minimum denominations of two thousand U.S. dollars ($2,000) or any integral multiple of one thousand U.S. dollars ($1,000) in excess thereof, the minimum denominations and multiples in excess thereof in which the Securities of the series shall be issuable;</w:t>
      </w:r>
    </w:p>
    <w:p>
      <w:pPr>
        <w:spacing w:after="0" w:line="146" w:lineRule="exact"/>
        <w:rPr>
          <w:rFonts w:ascii="Arial" w:cs="Arial" w:eastAsia="Arial" w:hAnsi="Arial"/>
          <w:sz w:val="17"/>
          <w:szCs w:val="17"/>
          <w:color w:val="auto"/>
        </w:rPr>
      </w:pPr>
    </w:p>
    <w:p>
      <w:pPr>
        <w:ind w:left="1000" w:hanging="344"/>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whether the Securities are issuable as a Global Security and, in such case, the terms and the identity of the Depositary for such series;</w:t>
      </w:r>
    </w:p>
    <w:p>
      <w:pPr>
        <w:spacing w:after="0" w:line="236" w:lineRule="exact"/>
        <w:rPr>
          <w:rFonts w:ascii="Arial" w:cs="Arial" w:eastAsia="Arial" w:hAnsi="Arial"/>
          <w:sz w:val="17"/>
          <w:szCs w:val="17"/>
          <w:color w:val="auto"/>
        </w:rPr>
      </w:pPr>
    </w:p>
    <w:p>
      <w:pPr>
        <w:jc w:val="both"/>
        <w:ind w:firstLine="656"/>
        <w:spacing w:after="0" w:line="279" w:lineRule="auto"/>
        <w:tabs>
          <w:tab w:leader="none" w:pos="1002" w:val="left"/>
        </w:tabs>
        <w:numPr>
          <w:ilvl w:val="0"/>
          <w:numId w:val="48"/>
        </w:numPr>
        <w:rPr>
          <w:rFonts w:ascii="Arial" w:cs="Arial" w:eastAsia="Arial" w:hAnsi="Arial"/>
          <w:sz w:val="17"/>
          <w:szCs w:val="17"/>
          <w:color w:val="auto"/>
        </w:rPr>
      </w:pPr>
      <w:r>
        <w:rPr>
          <w:rFonts w:ascii="Arial" w:cs="Arial" w:eastAsia="Arial" w:hAnsi="Arial"/>
          <w:sz w:val="17"/>
          <w:szCs w:val="17"/>
          <w:color w:val="auto"/>
        </w:rPr>
        <w:t>whether the Securities will be convertible into or exchangeable for shares of common stock or other securities of the Company or any other Person or other securities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71" w:lineRule="exact"/>
        <w:rPr>
          <w:rFonts w:ascii="Arial" w:cs="Arial" w:eastAsia="Arial" w:hAnsi="Arial"/>
          <w:sz w:val="17"/>
          <w:szCs w:val="17"/>
          <w:color w:val="auto"/>
        </w:rPr>
      </w:pPr>
    </w:p>
    <w:p>
      <w:pPr>
        <w:ind w:firstLine="656"/>
        <w:spacing w:after="0" w:line="277" w:lineRule="auto"/>
        <w:tabs>
          <w:tab w:leader="none" w:pos="10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6.1;</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034"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additional or different Events of Default or restrictive covenants (which may but shall not be required to include, among other restrictions, restrictions on the Company’s ability or the ability of the Company’s Subsidiaries to: incur additional indebtedness; issue additional securities; create liens; pay dividends or make distributions in respect of their capital stock; redeem capital stock; in the case of such Subsidiaries, pay dividends, make distributions or transfer assets; make investments or other restricted payments; sell or otherwise dispose of assets; enter into sale leaseback transactions; engage in transactions with stockholders and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079" w:gutter="0" w:footer="0" w:header="0"/>
        </w:sectPr>
      </w:pPr>
    </w:p>
    <w:bookmarkStart w:id="58" w:name="page59"/>
    <w:bookmarkEnd w:id="58"/>
    <w:p>
      <w:pPr>
        <w:ind w:left="1020" w:hanging="364"/>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other than U.S. dollars, the coin or currency in which the Securities of the series are denominated (including, but not limited to, foreign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currency);</w:t>
      </w:r>
    </w:p>
    <w:p>
      <w:pPr>
        <w:spacing w:after="0" w:line="210" w:lineRule="exact"/>
        <w:rPr>
          <w:rFonts w:ascii="Arial" w:cs="Arial" w:eastAsia="Arial" w:hAnsi="Arial"/>
          <w:sz w:val="17"/>
          <w:szCs w:val="17"/>
          <w:color w:val="auto"/>
        </w:rPr>
      </w:pPr>
    </w:p>
    <w:p>
      <w:pPr>
        <w:jc w:val="both"/>
        <w:ind w:firstLine="656"/>
        <w:spacing w:after="0" w:line="286" w:lineRule="auto"/>
        <w:tabs>
          <w:tab w:leader="none" w:pos="99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 and the terms and conditions, if any, relating to the Company’s ability to redeem such Securities if the Company is required to pay such additional amounts;</w:t>
      </w:r>
    </w:p>
    <w:p>
      <w:pPr>
        <w:spacing w:after="0" w:line="165" w:lineRule="exact"/>
        <w:rPr>
          <w:rFonts w:ascii="Arial" w:cs="Arial" w:eastAsia="Arial" w:hAnsi="Arial"/>
          <w:sz w:val="17"/>
          <w:szCs w:val="17"/>
          <w:color w:val="auto"/>
        </w:rPr>
      </w:pPr>
    </w:p>
    <w:p>
      <w:pPr>
        <w:ind w:left="1000" w:hanging="344"/>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Securities of the series;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w:t>
      </w:r>
    </w:p>
    <w:p>
      <w:pPr>
        <w:spacing w:after="0" w:line="225" w:lineRule="exact"/>
        <w:rPr>
          <w:rFonts w:ascii="Arial" w:cs="Arial" w:eastAsia="Arial" w:hAnsi="Arial"/>
          <w:sz w:val="18"/>
          <w:szCs w:val="18"/>
          <w:color w:val="auto"/>
        </w:rPr>
      </w:pPr>
    </w:p>
    <w:p>
      <w:pPr>
        <w:ind w:right="20" w:firstLine="656"/>
        <w:spacing w:after="0" w:line="277" w:lineRule="auto"/>
        <w:tabs>
          <w:tab w:leader="none" w:pos="10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if any, relating to any auction or remarketing of the Securities of the series and any security for the obligations of the Company with respect to such Securities;</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whether the Securities of the series are secured or unsecured, and if the Securities are secured, the terms of the secured Securities;</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identity of any guarantors and the terms of the guarantees; and</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and all other terms with respect to the series (which terms shall not be inconsistent with the terms of this Indenture, as amended by any Board Resolution or supplemental indenture, but which may modify or delete any provisions of this Indenture insofar as it applies to such series), including any terms which may be required by or advisable under the laws of the U.S. or regulations thereunder or advisable (as determined by the Company) in connection with the marketing of Securities of that series.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A series may be reopened for issuances of additional Securities of such series or to establish additional terms of such Securities.</w:t>
      </w:r>
    </w:p>
    <w:p>
      <w:pPr>
        <w:spacing w:after="0" w:line="18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8"/>
          <w:szCs w:val="18"/>
          <w:b w:val="1"/>
          <w:bCs w:val="1"/>
          <w:color w:val="auto"/>
        </w:rPr>
        <w:t>FORM OF SECURITIES AND TRUSTEE’S CERTIFICATE.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7"/>
          <w:szCs w:val="17"/>
          <w:b w:val="1"/>
          <w:bCs w:val="1"/>
          <w:color w:val="auto"/>
        </w:rPr>
        <w:t>DENOMINATIONS; PROVISIONS FOR PAYMENT.</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Securities shall be issuable as registered Securities and in the minimum denomination of two thousand U.S. dollars ($2,000) or any integral multiple of one thousand U.S. dollars ($1,000) in excess thereof, subject to Section 2.1(11). The Securities of a particular series shall bear interest payable on the dates and at the rate specified with respect to that series. The principal of and the interest on the Securities of any series, as well as any premium thereon, shall be payable in the coin or currency of the U.S. that at the time is legal tender for public and private debt, at the office or agency of the Company maintained for that purpose in the United States, which shall initially be an office or agency of the Trustee. Each Security shall be dated the date of its authentication. Interest on the Securities shall be computed on the basis of a 360-day year composed of twelve 30-day months. Presentment and surrender of the Securities is required for final payment thereon.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both"/>
        <w:spacing w:after="0" w:line="275"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3.3.</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interest on any Security that is payable, but is not punctually paid or duly provided for, on any Interest Payment Date for Securities of the same series (herein called “</w:t>
      </w:r>
      <w:r>
        <w:rPr>
          <w:rFonts w:ascii="Arial" w:cs="Arial" w:eastAsia="Arial" w:hAnsi="Arial"/>
          <w:sz w:val="17"/>
          <w:szCs w:val="17"/>
          <w:b w:val="1"/>
          <w:bCs w:val="1"/>
          <w:color w:val="auto"/>
        </w:rPr>
        <w:t>Defaulted Interest</w:t>
      </w:r>
      <w:r>
        <w:rPr>
          <w:rFonts w:ascii="Arial" w:cs="Arial" w:eastAsia="Arial" w:hAnsi="Arial"/>
          <w:sz w:val="17"/>
          <w:szCs w:val="17"/>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65" w:lineRule="exact"/>
        <w:rPr>
          <w:sz w:val="20"/>
          <w:szCs w:val="20"/>
          <w:color w:val="auto"/>
        </w:rPr>
      </w:pPr>
    </w:p>
    <w:p>
      <w:pPr>
        <w:jc w:val="both"/>
        <w:ind w:firstLine="656"/>
        <w:spacing w:after="0" w:line="268" w:lineRule="auto"/>
        <w:tabs>
          <w:tab w:leader="none" w:pos="914"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(or, in the case of Securities held in book-entry form, by electronic transmission),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84" w:lineRule="exact"/>
        <w:rPr>
          <w:rFonts w:ascii="Arial" w:cs="Arial" w:eastAsia="Arial" w:hAnsi="Arial"/>
          <w:sz w:val="17"/>
          <w:szCs w:val="17"/>
          <w:color w:val="auto"/>
        </w:rPr>
      </w:pPr>
    </w:p>
    <w:p>
      <w:pPr>
        <w:jc w:val="both"/>
        <w:ind w:firstLine="656"/>
        <w:spacing w:after="0" w:line="311" w:lineRule="auto"/>
        <w:tabs>
          <w:tab w:leader="none" w:pos="94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otherwise set forth in a Board Resolution or one or more indentures supplemental hereto establishing the terms of any series of Securities pursuant to Section 2.1 hereof, the term “</w:t>
      </w:r>
      <w:r>
        <w:rPr>
          <w:rFonts w:ascii="Arial" w:cs="Arial" w:eastAsia="Arial" w:hAnsi="Arial"/>
          <w:sz w:val="17"/>
          <w:szCs w:val="17"/>
          <w:b w:val="1"/>
          <w:bCs w:val="1"/>
          <w:color w:val="auto"/>
        </w:rPr>
        <w:t>regular record date</w:t>
      </w:r>
      <w:r>
        <w:rPr>
          <w:rFonts w:ascii="Arial" w:cs="Arial" w:eastAsia="Arial" w:hAnsi="Arial"/>
          <w:sz w:val="17"/>
          <w:szCs w:val="17"/>
          <w:color w:val="auto"/>
        </w:rPr>
        <w:t>” as used in this Section with respect to a series of Securities and any Interest Payment Date for such series shall mean either the fifteenth day of the month immediately preceding the month in which an Interest Payment Date established for such series pursuant to Section 2.1 hereof shall occur, if such Interest Payment Date is the first day of a month, or the last day of the month immediately preceding the month in which an Interest Payment Date established for such series pursuant to Section 2.1 hereof shall occur, if such Interest Payment Date is the fifteenth day of a month, whether or not such date is a Business Day.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the foregoing provisions of this Section and Sections 2.5 and 2.11,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8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8"/>
          <w:szCs w:val="18"/>
          <w:b w:val="1"/>
          <w:bCs w:val="1"/>
          <w:color w:val="auto"/>
        </w:rPr>
        <w:t>EXECUTION AND AUTHENTICATION.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Securities shall be signed on behalf of the Company by an Authorized Officer and, to the extent necessary, under its corporate seal. Signatures may be in the form of a manual or facsimile signature.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use the facsimile signature of any Person who shall have been an Authorized Officer thereof, notwithstanding the fact that at the time the Securities shall be authenticated and delivered or disposed of such Person shall have ceased to be such an officer of the Company. To the extent a Company seal is necessary, the Company seal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 by the Trustee.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jc w:val="both"/>
        <w:spacing w:after="0" w:line="275" w:lineRule="auto"/>
        <w:rPr>
          <w:sz w:val="20"/>
          <w:szCs w:val="20"/>
          <w:color w:val="auto"/>
        </w:rPr>
      </w:pPr>
      <w:r>
        <w:rPr>
          <w:rFonts w:ascii="Arial" w:cs="Arial" w:eastAsia="Arial" w:hAnsi="Arial"/>
          <w:sz w:val="17"/>
          <w:szCs w:val="17"/>
          <w:color w:val="auto"/>
        </w:rPr>
        <w:t>A Security shall not be valid until authenticated manually by an authorized signatory of the Trustee.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Authorized Officer, and the Trustee in accordance with such Company Order shall authenticate and deliver such Securities.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receive, and (subject to Section 7.1) shall be fully protected in conclusively relying upon, an Opinion of Counsel stating that the form and terms thereof have been established in conformity with the provisions of this Indenture.</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42"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8"/>
          <w:szCs w:val="18"/>
          <w:b w:val="1"/>
          <w:bCs w:val="1"/>
          <w:color w:val="auto"/>
        </w:rPr>
        <w:t>REGISTRATION OF TRANSFER AND EXCHANGE.</w:t>
      </w:r>
    </w:p>
    <w:p>
      <w:pPr>
        <w:spacing w:after="0" w:line="256" w:lineRule="exact"/>
        <w:rPr>
          <w:sz w:val="20"/>
          <w:szCs w:val="20"/>
          <w:color w:val="auto"/>
        </w:rPr>
      </w:pPr>
    </w:p>
    <w:p>
      <w:pPr>
        <w:jc w:val="both"/>
        <w:ind w:firstLine="656"/>
        <w:spacing w:after="0" w:line="275" w:lineRule="auto"/>
        <w:tabs>
          <w:tab w:leader="none" w:pos="893"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Securities of any series may be exchanged upon presentation thereof at the office of the Security Registrar,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76" w:lineRule="exact"/>
        <w:rPr>
          <w:rFonts w:ascii="Arial" w:cs="Arial" w:eastAsia="Arial" w:hAnsi="Arial"/>
          <w:sz w:val="17"/>
          <w:szCs w:val="17"/>
          <w:color w:val="auto"/>
        </w:rPr>
      </w:pPr>
    </w:p>
    <w:p>
      <w:pPr>
        <w:jc w:val="both"/>
        <w:ind w:firstLine="656"/>
        <w:spacing w:after="0" w:line="263" w:lineRule="auto"/>
        <w:tabs>
          <w:tab w:leader="none" w:pos="9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surrender for transfer of any Security at the office of the Security Registrar, the Company shall execute, the Trustee shall authenticate and the Security Registrar shall deliver in the name of the transferee or transferees a new Security or Securities of the same series as the Security presented for a like aggregate principal amount.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4" w:lineRule="exact"/>
        <w:rPr>
          <w:sz w:val="20"/>
          <w:szCs w:val="20"/>
          <w:color w:val="auto"/>
        </w:rPr>
      </w:pPr>
    </w:p>
    <w:p>
      <w:pPr>
        <w:jc w:val="both"/>
        <w:ind w:firstLine="656"/>
        <w:spacing w:after="0" w:line="257" w:lineRule="auto"/>
        <w:tabs>
          <w:tab w:leader="none" w:pos="906"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provided pursuant to Section 2.1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repurchase or redemption of any series, but the Company and the Trustee may require payment of a sum sufficient to cover any tax or other governmental charge in relation thereto, other than exchanges pursuant to Section 2.6, Section 3.3(b) and Section 9.4 not involving any transfer.</w:t>
      </w:r>
    </w:p>
    <w:p>
      <w:pPr>
        <w:spacing w:after="0" w:line="187" w:lineRule="exact"/>
        <w:rPr>
          <w:rFonts w:ascii="Arial" w:cs="Arial" w:eastAsia="Arial" w:hAnsi="Arial"/>
          <w:sz w:val="18"/>
          <w:szCs w:val="18"/>
          <w:color w:val="auto"/>
        </w:rPr>
      </w:pPr>
    </w:p>
    <w:p>
      <w:pPr>
        <w:jc w:val="both"/>
        <w:ind w:firstLine="656"/>
        <w:spacing w:after="0" w:line="259" w:lineRule="auto"/>
        <w:tabs>
          <w:tab w:leader="none" w:pos="90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 thereof called for redemption, other than the unredeemed portion of any such Securities being redeemed in part.</w:t>
      </w:r>
    </w:p>
    <w:p>
      <w:pPr>
        <w:spacing w:after="0" w:line="186" w:lineRule="exact"/>
        <w:rPr>
          <w:rFonts w:ascii="Arial" w:cs="Arial" w:eastAsia="Arial" w:hAnsi="Arial"/>
          <w:sz w:val="18"/>
          <w:szCs w:val="18"/>
          <w:color w:val="auto"/>
        </w:rPr>
      </w:pPr>
    </w:p>
    <w:p>
      <w:pPr>
        <w:ind w:firstLine="656"/>
        <w:spacing w:after="0" w:line="277" w:lineRule="auto"/>
        <w:tabs>
          <w:tab w:leader="none" w:pos="908"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Successive registrations and registrations of transfers and exchanges as aforesaid may be made from time to time as desired, and each such registration shall be noted on the register for the Securities.</w:t>
      </w:r>
    </w:p>
    <w:p>
      <w:pPr>
        <w:spacing w:after="0" w:line="170" w:lineRule="exact"/>
        <w:rPr>
          <w:rFonts w:ascii="Arial" w:cs="Arial" w:eastAsia="Arial" w:hAnsi="Arial"/>
          <w:sz w:val="18"/>
          <w:szCs w:val="18"/>
          <w:color w:val="auto"/>
        </w:rPr>
      </w:pPr>
    </w:p>
    <w:p>
      <w:pPr>
        <w:ind w:right="20" w:firstLine="656"/>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Security Registrar shall provide to the Trustee such information as the Trustee may reasonably require in connection with the delivery by such Security Registrar of Securities upon transfer or exchange of Securities.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provisions of this Section 2.5 are, with respect to any Global Security, subject to Section 2.11 hereof.</w:t>
      </w:r>
    </w:p>
    <w:p>
      <w:pPr>
        <w:spacing w:after="0" w:line="225" w:lineRule="exact"/>
        <w:rPr>
          <w:rFonts w:ascii="Arial" w:cs="Arial" w:eastAsia="Arial" w:hAnsi="Arial"/>
          <w:sz w:val="18"/>
          <w:szCs w:val="18"/>
          <w:color w:val="auto"/>
        </w:rPr>
      </w:pPr>
    </w:p>
    <w:p>
      <w:pPr>
        <w:jc w:val="both"/>
        <w:ind w:firstLine="656"/>
        <w:spacing w:after="0" w:line="257" w:lineRule="auto"/>
        <w:tabs>
          <w:tab w:leader="none" w:pos="9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Neither the Trustee nor any agent shall have any responsibility or liability for any actions taken or not taken by the Depositary.</w:t>
      </w:r>
    </w:p>
    <w:p>
      <w:pPr>
        <w:spacing w:after="0" w:line="22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8"/>
          <w:szCs w:val="18"/>
          <w:b w:val="1"/>
          <w:bCs w:val="1"/>
          <w:color w:val="auto"/>
        </w:rPr>
        <w:t>TEMPORARY SECURITIES.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of the Security Registrar, and the Trustee shall authenticate and the Security Registrar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404" w:gutter="0" w:footer="0" w:header="0"/>
        </w:sectPr>
      </w:pPr>
    </w:p>
    <w:bookmarkStart w:id="61" w:name="page62"/>
    <w:bookmarkEnd w:id="61"/>
    <w:p>
      <w:pPr>
        <w:spacing w:after="0"/>
        <w:tabs>
          <w:tab w:leader="none" w:pos="168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8"/>
          <w:szCs w:val="18"/>
          <w:b w:val="1"/>
          <w:bCs w:val="1"/>
          <w:color w:val="auto"/>
        </w:rPr>
        <w:t>MUTILATED, DESTROYED, LOST OR STOLEN SECURITIES.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case any temporary or definitive Security shall become mutilated or be destroyed, lost or stolen, the Company (subject to the next succeeding sentence) shall execute, and upon a Company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requirements of Section 8-405 of the Uniform Commercial Code shall be met and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delivery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8"/>
          <w:szCs w:val="18"/>
          <w:b w:val="1"/>
          <w:bCs w:val="1"/>
          <w:color w:val="auto"/>
        </w:rPr>
        <w:t>CANCELLATION.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the delivery of a Company Order at the time of such surrender, the Trustee shall cancel Securities held by the Trustee in accordance with its standard procedures and applicable law and provide confirmation to the Company of such cancellation if requested by the Company. In the absence of such request, the Trustee may dispose of canceled Securities in accordance with its standard procedures and deliver evidence of cancellation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74"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8"/>
          <w:szCs w:val="18"/>
          <w:b w:val="1"/>
          <w:bCs w:val="1"/>
          <w:color w:val="auto"/>
        </w:rPr>
        <w:t>BENEFITS OF INDENTURE.</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tabs>
          <w:tab w:leader="none" w:pos="168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8"/>
          <w:szCs w:val="18"/>
          <w:b w:val="1"/>
          <w:bCs w:val="1"/>
          <w:color w:val="auto"/>
        </w:rPr>
        <w:t>AUTHENTICATING AGENT.</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a Company Request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57"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7"/>
          <w:szCs w:val="17"/>
          <w:b w:val="1"/>
          <w:bCs w:val="1"/>
          <w:color w:val="auto"/>
        </w:rPr>
        <w:t>GLOBAL SECURITIES.</w:t>
      </w:r>
    </w:p>
    <w:p>
      <w:pPr>
        <w:spacing w:after="0" w:line="256" w:lineRule="exact"/>
        <w:rPr>
          <w:sz w:val="20"/>
          <w:szCs w:val="20"/>
          <w:color w:val="auto"/>
        </w:rPr>
      </w:pPr>
    </w:p>
    <w:p>
      <w:pPr>
        <w:jc w:val="both"/>
        <w:ind w:firstLine="656"/>
        <w:spacing w:after="0" w:line="293" w:lineRule="auto"/>
        <w:tabs>
          <w:tab w:leader="none" w:pos="904"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2.1 that the Securities of a particular series are to be issued as a Global Security, then the Company shall execute and the Trustee shall, in accordance with Section 2.4,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this Indenture, this Security may be transferred, in whole but not in part, only to another nominee of the Depositary or to a successor Depositary or to a nominee of such successor Depositary.”</w:t>
      </w:r>
    </w:p>
    <w:p>
      <w:pPr>
        <w:spacing w:after="0" w:line="164" w:lineRule="exact"/>
        <w:rPr>
          <w:rFonts w:ascii="Arial" w:cs="Arial" w:eastAsia="Arial" w:hAnsi="Arial"/>
          <w:sz w:val="16"/>
          <w:szCs w:val="16"/>
          <w:color w:val="auto"/>
        </w:rPr>
      </w:pPr>
    </w:p>
    <w:p>
      <w:pPr>
        <w:jc w:val="both"/>
        <w:ind w:firstLine="656"/>
        <w:spacing w:after="0" w:line="259" w:lineRule="auto"/>
        <w:tabs>
          <w:tab w:leader="none" w:pos="9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the provisions of Section 2.5, the Global Security of a series may be transferred, in whole but not in part and in the manner provided in Section 2.5, only to another nominee of the Depositary for such series, or to a successor Depositary for such series selected or approved by the Company or to a nominee of such successor Depositary. Nothing in this Section 2.11(b) shall prohibit or render ineffective any transfer of a beneficial interest in a Global Security effected in accordance with the other provisions of this Indenture.</w:t>
      </w:r>
    </w:p>
    <w:p>
      <w:pPr>
        <w:spacing w:after="0" w:line="186" w:lineRule="exact"/>
        <w:rPr>
          <w:rFonts w:ascii="Arial" w:cs="Arial" w:eastAsia="Arial" w:hAnsi="Arial"/>
          <w:sz w:val="18"/>
          <w:szCs w:val="18"/>
          <w:color w:val="auto"/>
        </w:rPr>
      </w:pPr>
    </w:p>
    <w:p>
      <w:pPr>
        <w:jc w:val="both"/>
        <w:ind w:firstLine="656"/>
        <w:spacing w:after="0" w:line="285" w:lineRule="auto"/>
        <w:tabs>
          <w:tab w:leader="none" w:pos="894"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Persons in whose names such Securities are so registered.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tabs>
          <w:tab w:leader="none" w:pos="168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7"/>
          <w:szCs w:val="17"/>
          <w:b w:val="1"/>
          <w:bCs w:val="1"/>
          <w:color w:val="auto"/>
        </w:rPr>
        <w:t>CUSIP AND ISIN NUMBERS.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in issuing the Securities, shall use CUSIP and ISIN numbers for such Securities (if then generally in use). The Trustee shall use CUSIP and ISIN numbers in notices of redemption as a convenience to holders; provided, however, that neither the Company nor the Trustee shall have any responsibility for any defect in the CUSIP or ISIN number that appears on any Security, check, advice of payment or redemption notice, and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promptly notify the Trustee in writing in the event of any change in the CUSIP or ISIN numbers.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8"/>
          <w:szCs w:val="18"/>
          <w:b w:val="1"/>
          <w:bCs w:val="1"/>
          <w:color w:val="auto"/>
        </w:rPr>
        <w:t>REDEMPTION.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2.1 hereof. The provisions of this Article III may be modified, amended or replaced, in part or in their entirety, with Securities of any series, by an Officer’s Certificate pursuant to a Board Resolution or one or more indentures supplemental hereto, in each case in accordance with Section 2.1 hereof.</w:t>
      </w:r>
    </w:p>
    <w:p>
      <w:pPr>
        <w:spacing w:after="0" w:line="18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8"/>
          <w:szCs w:val="18"/>
          <w:b w:val="1"/>
          <w:bCs w:val="1"/>
          <w:color w:val="auto"/>
        </w:rPr>
        <w:t>NOTICE OF REDEMPTION.</w:t>
      </w:r>
    </w:p>
    <w:p>
      <w:pPr>
        <w:spacing w:after="0" w:line="256" w:lineRule="exact"/>
        <w:rPr>
          <w:sz w:val="20"/>
          <w:szCs w:val="20"/>
          <w:color w:val="auto"/>
        </w:rPr>
      </w:pPr>
    </w:p>
    <w:p>
      <w:pPr>
        <w:jc w:val="both"/>
        <w:ind w:firstLine="656"/>
        <w:spacing w:after="0" w:line="269" w:lineRule="auto"/>
        <w:tabs>
          <w:tab w:leader="none" w:pos="917"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any right the Company reserved for itself to do so pursuant to Section 2.1 hereof, the Company shall, or shall cause the Trustee to, give notice of such redemption to holders of the Securities of such series to be redeemed by mailing, first class postage prepaid (or, in the case of Securities held in book-entry form, by electronic transmission), a notice of such redemption not less than 30 days and not more than 60 days (except in accordance with Articles XI and XII)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Paying Agent or as otherwise established in a Board Resolution or an indenture supplemental hereto,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84" w:lineRule="exact"/>
        <w:rPr>
          <w:sz w:val="20"/>
          <w:szCs w:val="20"/>
          <w:color w:val="auto"/>
        </w:rPr>
      </w:pPr>
    </w:p>
    <w:p>
      <w:pPr>
        <w:jc w:val="both"/>
        <w:ind w:firstLine="656"/>
        <w:spacing w:after="0" w:line="287" w:lineRule="auto"/>
        <w:tabs>
          <w:tab w:leader="none" w:pos="9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(i) if the Securities are in the form of Global Securities, in accordance with the procedures of the Depositary, or (ii) if the Securities are not in the form of Global Securities, by lot, a portion or portions (equal to one thousand U.S. dollars ($1,000) or any integral multiple thereof) of the principal amount of such Securities of a denomination larger than $2,000, the Securities to be redeemed and shall thereafter promptly notify the Company in writing of the numbers of the Securities to be redeemed, in whole or in part. The Company may, if and whenever it shall so elect, by delivery of instructions signed on its behalf by an Authorized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tabs>
          <w:tab w:leader="none" w:pos="168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8"/>
          <w:szCs w:val="18"/>
          <w:b w:val="1"/>
          <w:bCs w:val="1"/>
          <w:color w:val="auto"/>
        </w:rPr>
        <w:t>PAYMENT UPON REDEMPTION.</w:t>
      </w:r>
    </w:p>
    <w:p>
      <w:pPr>
        <w:spacing w:after="0" w:line="256" w:lineRule="exact"/>
        <w:rPr>
          <w:sz w:val="20"/>
          <w:szCs w:val="20"/>
          <w:color w:val="auto"/>
        </w:rPr>
      </w:pPr>
    </w:p>
    <w:p>
      <w:pPr>
        <w:jc w:val="both"/>
        <w:ind w:firstLine="656"/>
        <w:spacing w:after="0" w:line="271" w:lineRule="auto"/>
        <w:tabs>
          <w:tab w:leader="none" w:pos="902"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2.3).</w:t>
      </w:r>
    </w:p>
    <w:p>
      <w:pPr>
        <w:spacing w:after="0" w:line="178" w:lineRule="exact"/>
        <w:rPr>
          <w:rFonts w:ascii="Arial" w:cs="Arial" w:eastAsia="Arial" w:hAnsi="Arial"/>
          <w:sz w:val="17"/>
          <w:szCs w:val="17"/>
          <w:color w:val="auto"/>
        </w:rPr>
      </w:pPr>
    </w:p>
    <w:p>
      <w:pPr>
        <w:jc w:val="both"/>
        <w:ind w:firstLine="656"/>
        <w:spacing w:after="0" w:line="286" w:lineRule="auto"/>
        <w:tabs>
          <w:tab w:leader="none" w:pos="935" w:val="left"/>
        </w:tabs>
        <w:numPr>
          <w:ilvl w:val="0"/>
          <w:numId w:val="56"/>
        </w:numPr>
        <w:rPr>
          <w:rFonts w:ascii="Arial" w:cs="Arial" w:eastAsia="Arial" w:hAnsi="Arial"/>
          <w:sz w:val="17"/>
          <w:szCs w:val="17"/>
          <w:color w:val="auto"/>
        </w:rPr>
      </w:pPr>
      <w:r>
        <w:rPr>
          <w:rFonts w:ascii="Arial" w:cs="Arial" w:eastAsia="Arial" w:hAnsi="Arial"/>
          <w:sz w:val="17"/>
          <w:szCs w:val="17"/>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6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8"/>
          <w:szCs w:val="18"/>
          <w:b w:val="1"/>
          <w:bCs w:val="1"/>
          <w:color w:val="auto"/>
        </w:rPr>
        <w:t>SINKING FUND.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Securities of a series provide for a sinking fund as contemplated by Section 2.1, the provisions of this Section 3.4 and Sections 3.5 and 3.6 shall be applicable to any sinking fund for the retirement of Securities of a series, except as otherwise specified as contemplated by Section 2.1 for Securities of such series.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w:t>
      </w:r>
      <w:r>
        <w:rPr>
          <w:rFonts w:ascii="Arial" w:cs="Arial" w:eastAsia="Arial" w:hAnsi="Arial"/>
          <w:sz w:val="18"/>
          <w:szCs w:val="18"/>
          <w:b w:val="1"/>
          <w:bCs w:val="1"/>
          <w:color w:val="auto"/>
        </w:rPr>
        <w:t>mandatory sinking</w:t>
      </w:r>
      <w:r>
        <w:rPr>
          <w:rFonts w:ascii="Arial" w:cs="Arial" w:eastAsia="Arial" w:hAnsi="Arial"/>
          <w:sz w:val="18"/>
          <w:szCs w:val="18"/>
          <w:color w:val="auto"/>
        </w:rPr>
        <w:t xml:space="preserve"> </w:t>
      </w:r>
      <w:r>
        <w:rPr>
          <w:rFonts w:ascii="Arial" w:cs="Arial" w:eastAsia="Arial" w:hAnsi="Arial"/>
          <w:sz w:val="18"/>
          <w:szCs w:val="18"/>
          <w:b w:val="1"/>
          <w:bCs w:val="1"/>
          <w:color w:val="auto"/>
        </w:rPr>
        <w:t>fund payment</w:t>
      </w:r>
      <w:r>
        <w:rPr>
          <w:rFonts w:ascii="Arial" w:cs="Arial" w:eastAsia="Arial" w:hAnsi="Arial"/>
          <w:sz w:val="18"/>
          <w:szCs w:val="18"/>
          <w:color w:val="auto"/>
        </w:rPr>
        <w:t>,” and any payment in excess of such minimum amount provided for by the terms of Securities of any series is herein referred to as an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If provided for by the terms of Securities of any series, the cash amount of any sinking fund payment may be subject to reduction as provided in Section 3.5. Each sinking fund payment shall be applied to the redemption of Securities of any series as provided for by the terms of Securities of such series.</w:t>
      </w:r>
    </w:p>
    <w:p>
      <w:pPr>
        <w:spacing w:after="0" w:line="18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8"/>
          <w:szCs w:val="18"/>
          <w:b w:val="1"/>
          <w:bCs w:val="1"/>
          <w:color w:val="auto"/>
        </w:rPr>
        <w:t>SATISFACTION OF SINKING FUND PAYMENTS WITH SECURITIES.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6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8"/>
          <w:szCs w:val="18"/>
          <w:b w:val="1"/>
          <w:bCs w:val="1"/>
          <w:color w:val="auto"/>
        </w:rPr>
        <w:t>REDEMPTION OF SECURITIES FOR SINKING FUND.</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3.2. Such notice having been duly given, the redemption of such Securities shall be made upon the terms and in the manner stated in Section 3.3.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8"/>
          <w:szCs w:val="18"/>
          <w:b w:val="1"/>
          <w:bCs w:val="1"/>
          <w:color w:val="auto"/>
        </w:rPr>
        <w:t>PAYMENT OF PRINCIPAL, PREMIUM AND INTEREST.</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in writing to the Security Registrar and the Trustee no later than 15 days prior to the relevant payment date).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tabs>
          <w:tab w:leader="none" w:pos="168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7"/>
          <w:szCs w:val="17"/>
          <w:b w:val="1"/>
          <w:bCs w:val="1"/>
          <w:color w:val="auto"/>
        </w:rPr>
        <w:t>PAYING AGENT AND SECURITY REGISTRAR.</w:t>
      </w:r>
    </w:p>
    <w:p>
      <w:pPr>
        <w:spacing w:after="0" w:line="256" w:lineRule="exact"/>
        <w:rPr>
          <w:sz w:val="20"/>
          <w:szCs w:val="20"/>
          <w:color w:val="auto"/>
        </w:rPr>
      </w:pPr>
    </w:p>
    <w:p>
      <w:pPr>
        <w:jc w:val="both"/>
        <w:ind w:firstLine="656"/>
        <w:spacing w:after="0" w:line="272" w:lineRule="auto"/>
        <w:tabs>
          <w:tab w:leader="none" w:pos="895" w:val="left"/>
        </w:tabs>
        <w:numPr>
          <w:ilvl w:val="0"/>
          <w:numId w:val="57"/>
        </w:numPr>
        <w:rPr>
          <w:rFonts w:ascii="Arial" w:cs="Arial" w:eastAsia="Arial" w:hAnsi="Arial"/>
          <w:sz w:val="17"/>
          <w:szCs w:val="17"/>
          <w:color w:val="auto"/>
        </w:rPr>
      </w:pPr>
      <w:r>
        <w:rPr>
          <w:rFonts w:ascii="Arial" w:cs="Arial" w:eastAsia="Arial" w:hAnsi="Arial"/>
          <w:sz w:val="17"/>
          <w:szCs w:val="17"/>
          <w:color w:val="auto"/>
        </w:rPr>
        <w:t>So long as any series of the Securities remain Outstanding, the Company shall maintain an office or agency where Securities may be presented for registration of transfer or for exchange (“</w:t>
      </w:r>
      <w:r>
        <w:rPr>
          <w:rFonts w:ascii="Arial" w:cs="Arial" w:eastAsia="Arial" w:hAnsi="Arial"/>
          <w:sz w:val="17"/>
          <w:szCs w:val="17"/>
          <w:b w:val="1"/>
          <w:bCs w:val="1"/>
          <w:color w:val="auto"/>
        </w:rPr>
        <w:t>Security Registrar</w:t>
      </w:r>
      <w:r>
        <w:rPr>
          <w:rFonts w:ascii="Arial" w:cs="Arial" w:eastAsia="Arial" w:hAnsi="Arial"/>
          <w:sz w:val="17"/>
          <w:szCs w:val="17"/>
          <w:color w:val="auto"/>
        </w:rPr>
        <w:t>”), an office or agency where Securities may be presented for payment (“</w:t>
      </w:r>
      <w:r>
        <w:rPr>
          <w:rFonts w:ascii="Arial" w:cs="Arial" w:eastAsia="Arial" w:hAnsi="Arial"/>
          <w:sz w:val="17"/>
          <w:szCs w:val="17"/>
          <w:b w:val="1"/>
          <w:bCs w:val="1"/>
          <w:color w:val="auto"/>
        </w:rPr>
        <w:t>Paying Agent</w:t>
      </w:r>
      <w:r>
        <w:rPr>
          <w:rFonts w:ascii="Arial" w:cs="Arial" w:eastAsia="Arial" w:hAnsi="Arial"/>
          <w:sz w:val="17"/>
          <w:szCs w:val="17"/>
          <w:color w:val="auto"/>
        </w:rPr>
        <w:t>”) and an office or agency where notices to or upon the Company in respect of the Securities and this Indenture may be served. The Security Registrar shall keep a register for the recordation of, and shall record, the names and addresses of holders of the Securities, the Securities held by each holder and the transfer and exchange of Securities (the “</w:t>
      </w:r>
      <w:r>
        <w:rPr>
          <w:rFonts w:ascii="Arial" w:cs="Arial" w:eastAsia="Arial" w:hAnsi="Arial"/>
          <w:sz w:val="17"/>
          <w:szCs w:val="17"/>
          <w:b w:val="1"/>
          <w:bCs w:val="1"/>
          <w:color w:val="auto"/>
        </w:rPr>
        <w:t>Security Register</w:t>
      </w:r>
      <w:r>
        <w:rPr>
          <w:rFonts w:ascii="Arial" w:cs="Arial" w:eastAsia="Arial" w:hAnsi="Arial"/>
          <w:sz w:val="17"/>
          <w:szCs w:val="17"/>
          <w:color w:val="auto"/>
        </w:rPr>
        <w:t>”). The entries in the Security Register shall be conclusive, and the parties may treat each Person whose name is recorded in the Security Register pursuant to the terms hereof as a holder hereunder for all purposes of this Indenture. The Company may have one or more co-Security Registrars and one or more additional Paying Agents.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hereby initially designates the Trustee as Paying Agent and Security Registrar, and the Corporate Trust Office shall be considered as one such office or agency of the Company for each of the aforesaid purposes, such designation to continue with respect to such office or agency until the Company shall, by written notice signed by an Authorized Officer and delivered to the Trustee, designate some other office or agency for such purposes or any of them.</w:t>
      </w:r>
    </w:p>
    <w:p>
      <w:pPr>
        <w:spacing w:after="0" w:line="187" w:lineRule="exact"/>
        <w:rPr>
          <w:sz w:val="20"/>
          <w:szCs w:val="20"/>
          <w:color w:val="auto"/>
        </w:rPr>
      </w:pPr>
    </w:p>
    <w:p>
      <w:pPr>
        <w:jc w:val="both"/>
        <w:ind w:firstLine="656"/>
        <w:spacing w:after="0" w:line="257" w:lineRule="auto"/>
        <w:tabs>
          <w:tab w:leader="none" w:pos="91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shall enter into an appropriate agency agreement with any Security Registrar, Paying Agent, or co-registrar not a party to this Indenture, which shall incorporate the terms of the Trust Indenture Act. The agreement shall implement the provisions of this Indenture that relate to such agent. The Company shall notify the Trustee in writing of the name and address of any such agent. If the Company fails to maintain a Security Registrar or Paying Agent, the Trustee shall act as such and shall be entitled to appropriate compensation therefor. The Company and any of its Subsidiaries may act as Paying Agent, Security Registrar or co-registrar.</w:t>
      </w:r>
    </w:p>
    <w:p>
      <w:pPr>
        <w:spacing w:after="0" w:line="187" w:lineRule="exact"/>
        <w:rPr>
          <w:rFonts w:ascii="Arial" w:cs="Arial" w:eastAsia="Arial" w:hAnsi="Arial"/>
          <w:sz w:val="18"/>
          <w:szCs w:val="18"/>
          <w:color w:val="auto"/>
        </w:rPr>
      </w:pPr>
    </w:p>
    <w:p>
      <w:pPr>
        <w:jc w:val="both"/>
        <w:ind w:firstLine="656"/>
        <w:spacing w:after="0" w:line="263" w:lineRule="auto"/>
        <w:tabs>
          <w:tab w:leader="none" w:pos="8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6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565"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70" w:lineRule="exact"/>
        <w:rPr>
          <w:rFonts w:ascii="Arial" w:cs="Arial" w:eastAsia="Arial" w:hAnsi="Arial"/>
          <w:sz w:val="18"/>
          <w:szCs w:val="18"/>
          <w:color w:val="auto"/>
        </w:rPr>
      </w:pPr>
    </w:p>
    <w:p>
      <w:pPr>
        <w:ind w:left="660" w:firstLine="644"/>
        <w:spacing w:after="0" w:line="277" w:lineRule="auto"/>
        <w:tabs>
          <w:tab w:leader="none" w:pos="1579"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25" w:lineRule="exact"/>
        <w:rPr>
          <w:rFonts w:ascii="Arial" w:cs="Arial" w:eastAsia="Arial" w:hAnsi="Arial"/>
          <w:sz w:val="18"/>
          <w:szCs w:val="18"/>
          <w:color w:val="auto"/>
        </w:rPr>
      </w:pPr>
    </w:p>
    <w:p>
      <w:pPr>
        <w:jc w:val="both"/>
        <w:ind w:firstLine="656"/>
        <w:spacing w:after="0" w:line="290" w:lineRule="auto"/>
        <w:tabs>
          <w:tab w:leader="none" w:pos="906"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firstLine="656"/>
        <w:spacing w:after="0" w:line="257" w:lineRule="auto"/>
        <w:tabs>
          <w:tab w:leader="none" w:pos="9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84"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8"/>
          <w:szCs w:val="18"/>
          <w:b w:val="1"/>
          <w:bCs w:val="1"/>
          <w:color w:val="auto"/>
        </w:rPr>
        <w:t>APPOINTMENT TO FILL VACANCY IN OFFICE OF TRUSTEE.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8"/>
          <w:szCs w:val="18"/>
          <w:b w:val="1"/>
          <w:bCs w:val="1"/>
          <w:color w:val="auto"/>
        </w:rPr>
        <w:t>COMPLIANCE WITH CONSOLIDATION PROVISIONS.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X hereof are complied with.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SECURITYHOLDERS’ LISTS AND REPORTS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 AND THE TRUSTEE</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7"/>
          <w:szCs w:val="17"/>
          <w:b w:val="1"/>
          <w:bCs w:val="1"/>
          <w:color w:val="auto"/>
        </w:rPr>
        <w:t>COMPANY TO FURNISH TRUSTEE NAMES AND ADDRESSES OF SECURITYHOLDERS.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furnish or cause to be furnished to the Trustee (a) on each regular record date (as defined in Section 2.3)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74"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8"/>
          <w:szCs w:val="18"/>
          <w:b w:val="1"/>
          <w:bCs w:val="1"/>
          <w:color w:val="auto"/>
        </w:rPr>
        <w:t>PRESERVATION OF INFORMATION; COMMUNICATIONS WITH SECURITYHOLDERS.</w:t>
      </w:r>
    </w:p>
    <w:p>
      <w:pPr>
        <w:spacing w:after="0" w:line="256" w:lineRule="exact"/>
        <w:rPr>
          <w:sz w:val="20"/>
          <w:szCs w:val="20"/>
          <w:color w:val="auto"/>
        </w:rPr>
      </w:pPr>
    </w:p>
    <w:p>
      <w:pPr>
        <w:jc w:val="both"/>
        <w:ind w:firstLine="656"/>
        <w:spacing w:after="0" w:line="296" w:lineRule="auto"/>
        <w:tabs>
          <w:tab w:leader="none" w:pos="8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the Securityholders of each series of Securities and shall otherwise comply with Section 312(a) of the Trust Indenture Act. If the Trustee is not the Security Registrar, the Company shall furnish to the Trustee at least ten (10) days before each interest payment date with respect to any series of Securities and at such other times as the Trustee may request in writing a list, in such form and as of such date as the Trustee may reasonably require, of the names and addresses of the Securityholders of such series of Securities, which list may be conclusively relied upon by the Trustee.</w:t>
      </w:r>
    </w:p>
    <w:p>
      <w:pPr>
        <w:spacing w:after="0" w:line="161" w:lineRule="exact"/>
        <w:rPr>
          <w:rFonts w:ascii="Arial" w:cs="Arial" w:eastAsia="Arial" w:hAnsi="Arial"/>
          <w:sz w:val="16"/>
          <w:szCs w:val="16"/>
          <w:color w:val="auto"/>
        </w:rPr>
      </w:pPr>
    </w:p>
    <w:p>
      <w:pPr>
        <w:ind w:firstLine="656"/>
        <w:spacing w:after="0" w:line="277" w:lineRule="auto"/>
        <w:tabs>
          <w:tab w:leader="none" w:pos="9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Securityholders of any series may communicate pursuant to Section 312(b) of the Trust Indenture Act with other Securityholders of that series or any other series with respect to their rights under this Indenture or the Securities of that series or any other series.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the Trustee, the Security Registrar and any other Person shall have the protection of Section 312(c) of the Trust Indenture Act.</w:t>
      </w:r>
    </w:p>
    <w:p>
      <w:pPr>
        <w:spacing w:after="0" w:line="244"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7"/>
          <w:szCs w:val="17"/>
          <w:b w:val="1"/>
          <w:bCs w:val="1"/>
          <w:color w:val="auto"/>
        </w:rPr>
        <w:t>REPORTS BY THE COMPANY.</w:t>
      </w:r>
    </w:p>
    <w:p>
      <w:pPr>
        <w:spacing w:after="0" w:line="256" w:lineRule="exact"/>
        <w:rPr>
          <w:sz w:val="20"/>
          <w:szCs w:val="20"/>
          <w:color w:val="auto"/>
        </w:rPr>
      </w:pPr>
    </w:p>
    <w:p>
      <w:pPr>
        <w:jc w:val="both"/>
        <w:ind w:firstLine="656"/>
        <w:spacing w:after="0" w:line="254" w:lineRule="auto"/>
        <w:tabs>
          <w:tab w:leader="none" w:pos="8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So long as any Security is Outstanding, the Company shall furnish a copy to the Trustee, within 15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files with the Commission pursuant to Section 13 or Section 15(d) of the Exchange Act; provided, however, the Company shall not be required to deliver to the Trustee any materials for which the Company has sought and received confidential treatment by the Commission; and provided further, so long as such filings by the Company are available on the Commission’s Electronic Data Gathering, Analysis and Retrieval System (EDGAR), such filings shall be deemed to have been furnished to the Trustee for purposes of this Section 5.3 without any further action required by the Company. The Trustee shall have no obligation whatsoever to determine whether or not such filings have been made.</w:t>
      </w:r>
    </w:p>
    <w:p>
      <w:pPr>
        <w:spacing w:after="0" w:line="191" w:lineRule="exact"/>
        <w:rPr>
          <w:rFonts w:ascii="Arial" w:cs="Arial" w:eastAsia="Arial" w:hAnsi="Arial"/>
          <w:sz w:val="18"/>
          <w:szCs w:val="18"/>
          <w:color w:val="auto"/>
        </w:rPr>
      </w:pPr>
    </w:p>
    <w:p>
      <w:pPr>
        <w:jc w:val="both"/>
        <w:ind w:firstLine="656"/>
        <w:spacing w:after="0" w:line="311" w:lineRule="auto"/>
        <w:tabs>
          <w:tab w:leader="none" w:pos="911"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Delivery of such reports, information and documents to the Trustee shall be for informational purposes only and the Trustee’s receipt of such shall not constitute constructive notice of any information contained therein or determinable from information contained therein, including the Company’s compliance with any of the covenants contained in this Indenture (as to which the Trustee is entitled to conclusively rely upon an Officer’s Certificate).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tabs>
          <w:tab w:leader="none" w:pos="168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7"/>
          <w:szCs w:val="17"/>
          <w:b w:val="1"/>
          <w:bCs w:val="1"/>
          <w:color w:val="auto"/>
        </w:rPr>
        <w:t>REPORTS BY THE TRUSTEE.</w:t>
      </w:r>
    </w:p>
    <w:p>
      <w:pPr>
        <w:spacing w:after="0" w:line="256" w:lineRule="exact"/>
        <w:rPr>
          <w:sz w:val="20"/>
          <w:szCs w:val="20"/>
          <w:color w:val="auto"/>
        </w:rPr>
      </w:pPr>
    </w:p>
    <w:p>
      <w:pPr>
        <w:jc w:val="both"/>
        <w:ind w:firstLine="656"/>
        <w:spacing w:after="0" w:line="259" w:lineRule="auto"/>
        <w:tabs>
          <w:tab w:leader="none" w:pos="90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transmit to the Securityholders such reports concerning the Trustee and its actions under this Indenture as may be required pursuant to the Trust Indenture Act at the time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comply with Section 313(b) and 313(c) of the Trust Indenture Act.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0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 OF THE TRUSTEE AND SECURITYHOLDERS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EVENT OF DEFAULT</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7"/>
          <w:szCs w:val="17"/>
          <w:b w:val="1"/>
          <w:bCs w:val="1"/>
          <w:color w:val="auto"/>
        </w:rPr>
        <w:t>EVENTS OF DEFAULT.</w:t>
      </w:r>
    </w:p>
    <w:p>
      <w:pPr>
        <w:spacing w:after="0" w:line="256" w:lineRule="exact"/>
        <w:rPr>
          <w:sz w:val="20"/>
          <w:szCs w:val="20"/>
          <w:color w:val="auto"/>
        </w:rPr>
      </w:pPr>
    </w:p>
    <w:p>
      <w:pPr>
        <w:ind w:firstLine="656"/>
        <w:spacing w:after="0" w:line="277" w:lineRule="auto"/>
        <w:tabs>
          <w:tab w:leader="none" w:pos="9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unless otherwise specified in a Board Resolution or in an indenture supplemental hereto, “</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one or more of the following events that has occurred and is continuing:</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57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such default continues for a period of 30 days; provided, however, that a valid extension of an interest payment period by the Company in accordance with the terms of any Board Resolution or indenture supplemental hereto shall not constitute a default in the payment of interest for this purpose;</w:t>
      </w:r>
    </w:p>
    <w:p>
      <w:pPr>
        <w:spacing w:after="0" w:line="186" w:lineRule="exact"/>
        <w:rPr>
          <w:rFonts w:ascii="Arial" w:cs="Arial" w:eastAsia="Arial" w:hAnsi="Arial"/>
          <w:sz w:val="18"/>
          <w:szCs w:val="18"/>
          <w:color w:val="auto"/>
        </w:rPr>
      </w:pPr>
    </w:p>
    <w:p>
      <w:pPr>
        <w:jc w:val="both"/>
        <w:ind w:left="660" w:firstLine="644"/>
        <w:spacing w:after="0" w:line="257" w:lineRule="auto"/>
        <w:tabs>
          <w:tab w:leader="none" w:pos="15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Board Resolution or indenture supplemental hereto shall not constitute a default in the payment of principal or premium, if any;</w:t>
      </w:r>
    </w:p>
    <w:p>
      <w:pPr>
        <w:spacing w:after="0" w:line="187" w:lineRule="exact"/>
        <w:rPr>
          <w:rFonts w:ascii="Arial" w:cs="Arial" w:eastAsia="Arial" w:hAnsi="Arial"/>
          <w:sz w:val="18"/>
          <w:szCs w:val="18"/>
          <w:color w:val="auto"/>
        </w:rPr>
      </w:pPr>
    </w:p>
    <w:p>
      <w:pPr>
        <w:jc w:val="both"/>
        <w:ind w:left="660" w:firstLine="644"/>
        <w:spacing w:after="0" w:line="273" w:lineRule="auto"/>
        <w:tabs>
          <w:tab w:leader="none" w:pos="1593"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Company defaults in the performance or breach of its covenants or agreements with respect to that series contained in this Indenture or otherwise established with respect to that series of Securities pursuant to Section 2.1 hereof (other than a covenant or agreement that has been expressly included in this Indenture solely for the benefit of one or more series of Securities other than such series) for a period of 90 consecutive days after the date on which written notice of such failure, requiring the same to be remedied and stating that such notice is a “</w:t>
      </w:r>
      <w:r>
        <w:rPr>
          <w:rFonts w:ascii="Arial" w:cs="Arial" w:eastAsia="Arial" w:hAnsi="Arial"/>
          <w:sz w:val="17"/>
          <w:szCs w:val="17"/>
          <w:b w:val="1"/>
          <w:bCs w:val="1"/>
          <w:color w:val="auto"/>
        </w:rPr>
        <w:t>Notice</w:t>
      </w:r>
      <w:r>
        <w:rPr>
          <w:rFonts w:ascii="Arial" w:cs="Arial" w:eastAsia="Arial" w:hAnsi="Arial"/>
          <w:sz w:val="17"/>
          <w:szCs w:val="17"/>
          <w:color w:val="auto"/>
        </w:rPr>
        <w:t xml:space="preserve"> </w:t>
      </w:r>
      <w:r>
        <w:rPr>
          <w:rFonts w:ascii="Arial" w:cs="Arial" w:eastAsia="Arial" w:hAnsi="Arial"/>
          <w:sz w:val="17"/>
          <w:szCs w:val="17"/>
          <w:b w:val="1"/>
          <w:bCs w:val="1"/>
          <w:color w:val="auto"/>
        </w:rPr>
        <w:t>of Default</w:t>
      </w:r>
      <w:r>
        <w:rPr>
          <w:rFonts w:ascii="Arial" w:cs="Arial" w:eastAsia="Arial" w:hAnsi="Arial"/>
          <w:sz w:val="17"/>
          <w:szCs w:val="17"/>
          <w:color w:val="auto"/>
        </w:rPr>
        <w:t>” hereunder, shall have been given to the Company by the Trustee, by registered or certified mail, or to the Company and the Trustee by</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at least 25% in principal amount of the Securities of that series at the time Outstanding;</w:t>
      </w:r>
    </w:p>
    <w:p>
      <w:pPr>
        <w:spacing w:after="0" w:line="177" w:lineRule="exact"/>
        <w:rPr>
          <w:rFonts w:ascii="Arial" w:cs="Arial" w:eastAsia="Arial" w:hAnsi="Arial"/>
          <w:sz w:val="17"/>
          <w:szCs w:val="17"/>
          <w:color w:val="auto"/>
        </w:rPr>
      </w:pPr>
    </w:p>
    <w:p>
      <w:pPr>
        <w:jc w:val="both"/>
        <w:ind w:left="660" w:firstLine="644"/>
        <w:spacing w:after="0" w:line="263" w:lineRule="auto"/>
        <w:tabs>
          <w:tab w:leader="none" w:pos="15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602"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60 consecutive days; or</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certain other specified events, as may be provided for in a Board Resolution or in a supplemental indenture.</w:t>
      </w:r>
    </w:p>
    <w:p>
      <w:pPr>
        <w:spacing w:after="0" w:line="225" w:lineRule="exact"/>
        <w:rPr>
          <w:rFonts w:ascii="Arial" w:cs="Arial" w:eastAsia="Arial" w:hAnsi="Arial"/>
          <w:sz w:val="18"/>
          <w:szCs w:val="18"/>
          <w:color w:val="auto"/>
        </w:rPr>
      </w:pPr>
    </w:p>
    <w:p>
      <w:pPr>
        <w:jc w:val="both"/>
        <w:ind w:firstLine="656"/>
        <w:spacing w:after="0" w:line="290" w:lineRule="auto"/>
        <w:tabs>
          <w:tab w:leader="none" w:pos="903"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and the Trustee at the request of the holders of not less than 25% in aggregate principal amount of the Securities of that series then outstanding hereunder shall,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both"/>
        <w:ind w:firstLine="656"/>
        <w:spacing w:after="0" w:line="288"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7.6, and (ii) any and all Events of Default under this Indenture with respect to such series, other than the nonpayment of principal of (and premium, if any, on) and accrued and unpaid interest on Securities of that series that shall not have become due by their terms, shall have been remedied or waived as provided in Section 6.6.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jc w:val="both"/>
        <w:ind w:firstLine="656"/>
        <w:spacing w:after="0" w:line="257" w:lineRule="auto"/>
        <w:tabs>
          <w:tab w:leader="none" w:pos="9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4"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7"/>
          <w:szCs w:val="17"/>
          <w:b w:val="1"/>
          <w:bCs w:val="1"/>
          <w:color w:val="auto"/>
        </w:rPr>
        <w:t>COLLECTION OF INDEBTEDNESS AND SUITS FOR ENFORCEMENT BY TRUSTEE.</w:t>
      </w:r>
    </w:p>
    <w:p>
      <w:pPr>
        <w:spacing w:after="0" w:line="256" w:lineRule="exact"/>
        <w:rPr>
          <w:sz w:val="20"/>
          <w:szCs w:val="20"/>
          <w:color w:val="auto"/>
        </w:rPr>
      </w:pPr>
    </w:p>
    <w:p>
      <w:pPr>
        <w:jc w:val="both"/>
        <w:ind w:firstLine="656"/>
        <w:spacing w:after="0" w:line="289" w:lineRule="auto"/>
        <w:tabs>
          <w:tab w:leader="none" w:pos="904"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covenants that (i) in case it shall default in the payment of any installment of interest on any of the Securities of a series, and such default shall have continued for a period of 30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or in any payment required by any sinking or analogous fund established with respect to that series as and when the same shall have become due and payable,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7.6.</w:t>
      </w:r>
    </w:p>
    <w:p>
      <w:pPr>
        <w:spacing w:after="0" w:line="166" w:lineRule="exact"/>
        <w:rPr>
          <w:rFonts w:ascii="Arial" w:cs="Arial" w:eastAsia="Arial" w:hAnsi="Arial"/>
          <w:sz w:val="16"/>
          <w:szCs w:val="16"/>
          <w:color w:val="auto"/>
        </w:rPr>
      </w:pPr>
    </w:p>
    <w:p>
      <w:pPr>
        <w:jc w:val="both"/>
        <w:ind w:firstLine="656"/>
        <w:spacing w:after="0" w:line="275" w:lineRule="auto"/>
        <w:tabs>
          <w:tab w:leader="none" w:pos="916"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76" w:lineRule="exact"/>
        <w:rPr>
          <w:rFonts w:ascii="Arial" w:cs="Arial" w:eastAsia="Arial" w:hAnsi="Arial"/>
          <w:sz w:val="17"/>
          <w:szCs w:val="17"/>
          <w:color w:val="auto"/>
        </w:rPr>
      </w:pPr>
    </w:p>
    <w:p>
      <w:pPr>
        <w:jc w:val="both"/>
        <w:ind w:firstLine="656"/>
        <w:spacing w:after="0" w:line="289" w:lineRule="auto"/>
        <w:tabs>
          <w:tab w:leader="none" w:pos="956"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7.6.</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jc w:val="both"/>
        <w:ind w:firstLine="656"/>
        <w:spacing w:after="0" w:line="301" w:lineRule="auto"/>
        <w:tabs>
          <w:tab w:leader="none" w:pos="909"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7.6, be for the ratable benefit of the holders of the Securities of such series.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8"/>
          <w:szCs w:val="18"/>
          <w:b w:val="1"/>
          <w:bCs w:val="1"/>
          <w:color w:val="auto"/>
        </w:rPr>
        <w:t>APPLICATION OF MONEYS COLLECTED.</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moneys collected by the Trustee pursuant to this Article VI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reasonable costs and expenses of collection and of all amounts payable to the Trustee under Section 7.6;</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SECOND: To the payment to holders of Securities of the amounts then due and unpaid upon Securities of such series for principal (and premium, if any), amounts payable upon redemption or repurchase of the Securities,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Trustee may fix a record date and payment date for any payment to holders pursuant to this Section 6.3. At least 15 days before such record date, the Company shall mail to each holder and the Trustee a notice that states the record date, the payment date and the amount to be paid.</w:t>
      </w:r>
    </w:p>
    <w:p>
      <w:pPr>
        <w:spacing w:after="0" w:line="142"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8"/>
          <w:szCs w:val="18"/>
          <w:b w:val="1"/>
          <w:bCs w:val="1"/>
          <w:color w:val="auto"/>
        </w:rPr>
        <w:t>LIMITATION ON SUITS.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against the costs, losses, expenses and liabilities to be incurred therein or thereby; (iv) the Trustee for 60 days after its receipt of such notice, request and offer of indemnity, shall have failed to institute any such action, suit or proceeding and (v) during such 60 day period, the holders of a majority in principal amount of the Securities of that series do not give the Trustee a direction inconsistent with the request.</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(it being understood that the Trustee does not have an affirmative duty to ascertain whether or not such actions or forbearances are unduly prejudicial to such holders). For the protection and enforcement of the provisions of this Section, each and every Securityholder and the Trustee shall be entitled to such relief as can be given either at law or in equity.</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tabs>
          <w:tab w:leader="none" w:pos="168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8"/>
          <w:szCs w:val="18"/>
          <w:b w:val="1"/>
          <w:bCs w:val="1"/>
          <w:color w:val="auto"/>
        </w:rPr>
        <w:t>RIGHTS AND REMEDIES CUMULATIVE; DELAY OR OMISSION NOT WAIVER.</w:t>
      </w:r>
    </w:p>
    <w:p>
      <w:pPr>
        <w:spacing w:after="0" w:line="256" w:lineRule="exact"/>
        <w:rPr>
          <w:sz w:val="20"/>
          <w:szCs w:val="20"/>
          <w:color w:val="auto"/>
        </w:rPr>
      </w:pPr>
    </w:p>
    <w:p>
      <w:pPr>
        <w:jc w:val="both"/>
        <w:ind w:firstLine="656"/>
        <w:spacing w:after="0" w:line="259" w:lineRule="auto"/>
        <w:tabs>
          <w:tab w:leader="none" w:pos="898"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as otherwise provided in Section 2.7, all powers and remedies given by this Article VI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color w:val="auto"/>
        </w:rPr>
      </w:pPr>
    </w:p>
    <w:p>
      <w:pPr>
        <w:jc w:val="both"/>
        <w:ind w:firstLine="656"/>
        <w:spacing w:after="0" w:line="279" w:lineRule="auto"/>
        <w:tabs>
          <w:tab w:leader="none" w:pos="903"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6.4, every power and remedy given by this Article VI or by law to the Trustee or the Securityholders may be exercised from time to time, and as often as shall be deemed expedient, by the Trustee or by the Securityholders.</w:t>
      </w:r>
    </w:p>
    <w:p>
      <w:pPr>
        <w:spacing w:after="0" w:line="167"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6.6</w:t>
      </w:r>
      <w:r>
        <w:rPr>
          <w:sz w:val="20"/>
          <w:szCs w:val="20"/>
          <w:color w:val="auto"/>
        </w:rPr>
        <w:tab/>
      </w:r>
      <w:r>
        <w:rPr>
          <w:rFonts w:ascii="Arial" w:cs="Arial" w:eastAsia="Arial" w:hAnsi="Arial"/>
          <w:sz w:val="18"/>
          <w:szCs w:val="18"/>
          <w:b w:val="1"/>
          <w:bCs w:val="1"/>
          <w:color w:val="auto"/>
        </w:rPr>
        <w:t>CONTROL BY SECURITYHOLDERS.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holders of a majority in aggregate principal amount of the Securities of any series at the time Outstanding, determined in accordance with Section 8.4,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7.1, the Trustee shall have the right to decline to follow any such direction if the Trustee in good faith shall, by a Trust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8.4, may on behalf of the holders of all of the Securities of such series waive any past default in the performance of any of the covenants contained herein or established pursuant to Section 2.1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6.1(c)), which requires the consent of each holder affected by such waiver.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7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6.7</w:t>
      </w:r>
      <w:r>
        <w:rPr>
          <w:sz w:val="20"/>
          <w:szCs w:val="20"/>
          <w:color w:val="auto"/>
        </w:rPr>
        <w:tab/>
      </w:r>
      <w:r>
        <w:rPr>
          <w:rFonts w:ascii="Arial" w:cs="Arial" w:eastAsia="Arial" w:hAnsi="Arial"/>
          <w:sz w:val="17"/>
          <w:szCs w:val="17"/>
          <w:b w:val="1"/>
          <w:bCs w:val="1"/>
          <w:color w:val="auto"/>
        </w:rPr>
        <w:t>UNDERTAKING TO PAY COSTS.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CONCERNING THE TRUSTEE</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8"/>
          <w:szCs w:val="18"/>
          <w:b w:val="1"/>
          <w:bCs w:val="1"/>
          <w:color w:val="auto"/>
        </w:rPr>
        <w:t>CERTAIN DUTIES AND RESPONSIBILITIES OF TRUSTEE.</w:t>
      </w:r>
    </w:p>
    <w:p>
      <w:pPr>
        <w:spacing w:after="0" w:line="256" w:lineRule="exact"/>
        <w:rPr>
          <w:sz w:val="20"/>
          <w:szCs w:val="20"/>
          <w:color w:val="auto"/>
        </w:rPr>
      </w:pPr>
    </w:p>
    <w:p>
      <w:pPr>
        <w:jc w:val="both"/>
        <w:ind w:firstLine="656"/>
        <w:spacing w:after="0" w:line="287" w:lineRule="auto"/>
        <w:tabs>
          <w:tab w:leader="none" w:pos="893"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his or her own affairs. Except during the continuance of an Event of Default with respect to the Securities of a series, in the absence of bad faith on its part, the Trustee may with respect to the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firstLine="656"/>
        <w:spacing w:after="0" w:line="277" w:lineRule="auto"/>
        <w:tabs>
          <w:tab w:leader="none" w:pos="9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this subsection (b) shall not be construed to limit the effect of subsection (a) of this Section;</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577"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Trust Officer or Trust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64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6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6" w:lineRule="exact"/>
        <w:rPr>
          <w:rFonts w:ascii="Arial" w:cs="Arial" w:eastAsia="Arial" w:hAnsi="Arial"/>
          <w:sz w:val="18"/>
          <w:szCs w:val="18"/>
          <w:color w:val="auto"/>
        </w:rPr>
      </w:pPr>
    </w:p>
    <w:p>
      <w:pPr>
        <w:ind w:firstLine="656"/>
        <w:spacing w:after="0" w:line="277" w:lineRule="auto"/>
        <w:tabs>
          <w:tab w:leader="none" w:pos="899"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7.2</w:t>
      </w:r>
      <w:r>
        <w:rPr>
          <w:sz w:val="20"/>
          <w:szCs w:val="20"/>
          <w:color w:val="auto"/>
        </w:rPr>
        <w:tab/>
      </w:r>
      <w:r>
        <w:rPr>
          <w:rFonts w:ascii="Arial" w:cs="Arial" w:eastAsia="Arial" w:hAnsi="Arial"/>
          <w:sz w:val="18"/>
          <w:szCs w:val="18"/>
          <w:b w:val="1"/>
          <w:bCs w:val="1"/>
          <w:color w:val="auto"/>
        </w:rPr>
        <w:t>CERTAIN RIGHTS OF TRUSTEE.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provided in Section 7.1:</w:t>
      </w:r>
    </w:p>
    <w:p>
      <w:pPr>
        <w:spacing w:after="0" w:line="225" w:lineRule="exact"/>
        <w:rPr>
          <w:sz w:val="20"/>
          <w:szCs w:val="20"/>
          <w:color w:val="auto"/>
        </w:rPr>
      </w:pPr>
    </w:p>
    <w:p>
      <w:pPr>
        <w:jc w:val="both"/>
        <w:ind w:firstLine="656"/>
        <w:spacing w:after="0" w:line="263" w:lineRule="auto"/>
        <w:tabs>
          <w:tab w:leader="none" w:pos="9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3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83" w:lineRule="exact"/>
        <w:rPr>
          <w:rFonts w:ascii="Arial" w:cs="Arial" w:eastAsia="Arial" w:hAnsi="Arial"/>
          <w:sz w:val="18"/>
          <w:szCs w:val="18"/>
          <w:color w:val="auto"/>
        </w:rPr>
      </w:pPr>
    </w:p>
    <w:p>
      <w:pPr>
        <w:ind w:right="20" w:firstLine="65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or suffered or omitted hereunder in good faith and in reliance thereon;</w:t>
      </w:r>
    </w:p>
    <w:p>
      <w:pPr>
        <w:spacing w:after="0" w:line="170" w:lineRule="exact"/>
        <w:rPr>
          <w:rFonts w:ascii="Arial" w:cs="Arial" w:eastAsia="Arial" w:hAnsi="Arial"/>
          <w:sz w:val="18"/>
          <w:szCs w:val="18"/>
          <w:color w:val="auto"/>
        </w:rPr>
      </w:pPr>
    </w:p>
    <w:p>
      <w:pPr>
        <w:jc w:val="both"/>
        <w:ind w:firstLine="656"/>
        <w:spacing w:after="0" w:line="293" w:lineRule="auto"/>
        <w:tabs>
          <w:tab w:leader="none" w:pos="90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satisfactory to it against the costs, losses,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person would exercise or use under the circumstances in the conduct of his or her own affairs;</w:t>
      </w:r>
    </w:p>
    <w:p>
      <w:pPr>
        <w:spacing w:after="0" w:line="164" w:lineRule="exact"/>
        <w:rPr>
          <w:rFonts w:ascii="Arial" w:cs="Arial" w:eastAsia="Arial" w:hAnsi="Arial"/>
          <w:sz w:val="16"/>
          <w:szCs w:val="16"/>
          <w:color w:val="auto"/>
        </w:rPr>
      </w:pPr>
    </w:p>
    <w:p>
      <w:pPr>
        <w:ind w:right="20" w:firstLine="65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jc w:val="both"/>
        <w:ind w:firstLine="656"/>
        <w:spacing w:after="0" w:line="269" w:lineRule="auto"/>
        <w:tabs>
          <w:tab w:leader="none" w:pos="88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8.4), and, if so requested, except as otherwise prohibited by applicable law or as would reasonably be expected to violate or result in the loss or impairment of any attorney-client or work product privilege, the Trustee shall be entitled to examine the books, records, and premises of the Company, personally or by agent, or attorney, and it shall incur no liability or additional liability of any kind by reason of such inquiry or investigation; provided, however, that the Company shall not be required to provide access or furnish information in the event of any litigation involving this Indenture or the Securities except pursuant to applicable rules of discovery; and provided, further,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jc w:val="both"/>
        <w:ind w:firstLine="656"/>
        <w:spacing w:after="0" w:line="263" w:lineRule="auto"/>
        <w:tabs>
          <w:tab w:leader="none" w:pos="92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9"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6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Trust Officer has actual knowledge thereof or unless written notice of any event which is in fact such a default is received by the Trustee at the Corporate Trust Office of the Trustee, and such notice references the Securities and this Indenture;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w:t>
      </w:r>
    </w:p>
    <w:p>
      <w:pPr>
        <w:spacing w:after="0" w:line="225" w:lineRule="exact"/>
        <w:rPr>
          <w:rFonts w:ascii="Arial" w:cs="Arial" w:eastAsia="Arial" w:hAnsi="Arial"/>
          <w:sz w:val="18"/>
          <w:szCs w:val="18"/>
          <w:color w:val="auto"/>
        </w:rPr>
      </w:pPr>
    </w:p>
    <w:p>
      <w:pPr>
        <w:ind w:right="20" w:firstLine="656"/>
        <w:spacing w:after="0" w:line="277" w:lineRule="auto"/>
        <w:tabs>
          <w:tab w:leader="none" w:pos="8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shall not be liable for the acts or omissions of any other agent of the Company, and may assume performance by any such agent of its duties, absent written notice or actual knowledge to the contrary;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 so.</w:t>
      </w:r>
    </w:p>
    <w:p>
      <w:pPr>
        <w:spacing w:after="0" w:line="244"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7"/>
          <w:szCs w:val="17"/>
          <w:b w:val="1"/>
          <w:bCs w:val="1"/>
          <w:color w:val="auto"/>
        </w:rPr>
        <w:t>TRUSTEE NOT RESPONSIBLE FOR RECITALS OR ISSUANCE OR SECURITIES.</w:t>
      </w:r>
    </w:p>
    <w:p>
      <w:pPr>
        <w:spacing w:after="0" w:line="256" w:lineRule="exact"/>
        <w:rPr>
          <w:sz w:val="20"/>
          <w:szCs w:val="20"/>
          <w:color w:val="auto"/>
        </w:rPr>
      </w:pPr>
    </w:p>
    <w:p>
      <w:pPr>
        <w:ind w:firstLine="65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2.1, or for the use or application of any moneys received by any Paying Agent other than the Trustee.</w:t>
      </w:r>
    </w:p>
    <w:p>
      <w:pPr>
        <w:spacing w:after="0" w:line="18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8"/>
          <w:szCs w:val="18"/>
          <w:b w:val="1"/>
          <w:bCs w:val="1"/>
          <w:color w:val="auto"/>
        </w:rPr>
        <w:t>MAY HOLD SECURITIES AND OTHERWISE DEAL WITH THE COMPANY.</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Subject to the Trust Indenture Act, the Trustee, the Security Registrar, any Paying Agent or any other agent of the Company, in its individual or any other capacity, may buy, own, hold, sell and become the pledgee of any of the Securities or any other evidences of indebtedness or other securities, whether heretofore or hereafter created or issued, of the Company or any Subsidiary or Affiliate of the Company with the same rights it would have if it were not Trustee, Security Registrar, Paying Agent or such other agent; and the Trustee may engage or be interested in any financial or other transaction with the Company or any Subsidiary or Affiliate of the Company, including, without limitation, secured and unsecured loans to the Company or any Subsidiary or Affiliate of the Company; and may maintain any and all other general banking and business relations with the Company and any Subsidiary or Affiliate of the Company with like effect and in the same manner and to the same extent as if the Trustee were not a party to this Indenture; and no implied covenant shall be read into this Indenture against the Trustee in respect of any such matters.</w:t>
      </w:r>
    </w:p>
    <w:p>
      <w:pPr>
        <w:spacing w:after="0" w:line="174"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7.5</w:t>
      </w:r>
      <w:r>
        <w:rPr>
          <w:sz w:val="20"/>
          <w:szCs w:val="20"/>
          <w:color w:val="auto"/>
        </w:rPr>
        <w:tab/>
      </w:r>
      <w:r>
        <w:rPr>
          <w:rFonts w:ascii="Arial" w:cs="Arial" w:eastAsia="Arial" w:hAnsi="Arial"/>
          <w:sz w:val="18"/>
          <w:szCs w:val="18"/>
          <w:b w:val="1"/>
          <w:bCs w:val="1"/>
          <w:color w:val="auto"/>
        </w:rPr>
        <w:t>MONEYS HELD IN TRUST.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Subject to the provisions of Sections 11.2, 12.5, 12.6 and 12.7,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6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7.6</w:t>
      </w:r>
      <w:r>
        <w:rPr>
          <w:sz w:val="20"/>
          <w:szCs w:val="20"/>
          <w:color w:val="auto"/>
        </w:rPr>
        <w:tab/>
      </w:r>
      <w:r>
        <w:rPr>
          <w:rFonts w:ascii="Arial" w:cs="Arial" w:eastAsia="Arial" w:hAnsi="Arial"/>
          <w:sz w:val="18"/>
          <w:szCs w:val="18"/>
          <w:b w:val="1"/>
          <w:bCs w:val="1"/>
          <w:color w:val="auto"/>
        </w:rPr>
        <w:t>COMPENSATION AND REIMBURSEMENT.</w:t>
      </w:r>
    </w:p>
    <w:p>
      <w:pPr>
        <w:spacing w:after="0" w:line="256" w:lineRule="exact"/>
        <w:rPr>
          <w:sz w:val="20"/>
          <w:szCs w:val="20"/>
          <w:color w:val="auto"/>
        </w:rPr>
      </w:pPr>
    </w:p>
    <w:p>
      <w:pPr>
        <w:jc w:val="both"/>
        <w:ind w:firstLine="656"/>
        <w:spacing w:after="0" w:line="287" w:lineRule="auto"/>
        <w:tabs>
          <w:tab w:leader="none" w:pos="9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willful misconduct and except as the Company and Trustee may from time to time agree in writing. The Company also covenants to indemnify the Trustee (and its officers, agents, directors and employees) for, and to hold it harmless against, any loss, costs, damages, liability or expense incurred without negligence or willful misconduct on the part of the Trustee (as determined by a court of competent jurisdiction in a final and non-appealable judgment) and arising out of or in connection with the acceptance or administration of this trust, including the reasonable costs and expenses of defending itself against any claim of liability in the premises.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ind w:firstLine="656"/>
        <w:spacing w:after="0" w:line="308" w:lineRule="auto"/>
        <w:tabs>
          <w:tab w:leader="none" w:pos="903" w:val="left"/>
        </w:tabs>
        <w:numPr>
          <w:ilvl w:val="0"/>
          <w:numId w:val="75"/>
        </w:numPr>
        <w:rPr>
          <w:rFonts w:ascii="Arial" w:cs="Arial" w:eastAsia="Arial" w:hAnsi="Arial"/>
          <w:sz w:val="17"/>
          <w:szCs w:val="17"/>
          <w:color w:val="auto"/>
        </w:rPr>
      </w:pPr>
      <w:r>
        <w:rPr>
          <w:rFonts w:ascii="Arial" w:cs="Arial" w:eastAsia="Arial" w:hAnsi="Arial"/>
          <w:sz w:val="17"/>
          <w:szCs w:val="17"/>
          <w:color w:val="auto"/>
        </w:rPr>
        <w:t>To secure the Company’s payment obligations in this Section 7.6, the Trustee shall have a lien prior to the Securities of any series on all money or property held or collected by the Trustee, except that held in trust to pay principal of and interest on particular Securities of such series.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6.1(a)(4) or 6.1(a)(5) occurs, the expenses and the compensation for the services are intended to constitute expenses of administration under any Bankruptcy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7.6 shall survive the resignation or removal of the Trustee and the termination or satisfaction of this Indenture.</w:t>
      </w:r>
    </w:p>
    <w:p>
      <w:pPr>
        <w:spacing w:after="0" w:line="22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7.7</w:t>
      </w:r>
      <w:r>
        <w:rPr>
          <w:sz w:val="20"/>
          <w:szCs w:val="20"/>
          <w:color w:val="auto"/>
        </w:rPr>
        <w:tab/>
      </w:r>
      <w:r>
        <w:rPr>
          <w:rFonts w:ascii="Arial" w:cs="Arial" w:eastAsia="Arial" w:hAnsi="Arial"/>
          <w:sz w:val="18"/>
          <w:szCs w:val="18"/>
          <w:b w:val="1"/>
          <w:bCs w:val="1"/>
          <w:color w:val="auto"/>
        </w:rPr>
        <w:t>RELIANCE ON OFFICER’S CERTIFICATE.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as otherwise provided in Section 7.1,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delivered to the Trustee and such certificate, in the absence of negligence or willful misconduct on the part of the Trustee, shall be full warrant to the Trustee for any action taken, suffered or omitted to be taken by it under the provisions of this Indenture upon the faith thereof.</w:t>
      </w:r>
    </w:p>
    <w:p>
      <w:pPr>
        <w:spacing w:after="0" w:line="18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8"/>
          <w:szCs w:val="18"/>
          <w:b w:val="1"/>
          <w:bCs w:val="1"/>
          <w:color w:val="auto"/>
        </w:rPr>
        <w:t>DISQUALIFICATION; CONFLICTING INTERESTS.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7.9</w:t>
      </w:r>
      <w:r>
        <w:rPr>
          <w:sz w:val="20"/>
          <w:szCs w:val="20"/>
          <w:color w:val="auto"/>
        </w:rPr>
        <w:tab/>
      </w:r>
      <w:r>
        <w:rPr>
          <w:rFonts w:ascii="Arial" w:cs="Arial" w:eastAsia="Arial" w:hAnsi="Arial"/>
          <w:sz w:val="18"/>
          <w:szCs w:val="18"/>
          <w:b w:val="1"/>
          <w:bCs w:val="1"/>
          <w:color w:val="auto"/>
        </w:rPr>
        <w:t>CORPORATE TRUSTEE REQUIRED; ELIGIBILITY.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shall at all times be a Trustee with respect to the Securities issued hereunder which shall at all times be a corporation organized and doing business under the laws of the U.S. or any state or territory thereof or of the District of Columbia, or a corporation or other Person permitted to act as trustee by the Commission, authorized under such laws to exercise corporate trust powers, having (or, in the case of a subsidiary of a bank holding company, its bank holding company parent shall have) a combined capital and surplus of at least one hundred million U.S. dollars ($100,000,000), and subject to supervision or examination by federal, state, territorial, or District of Columbia authority.</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57"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7"/>
          <w:szCs w:val="17"/>
          <w:b w:val="1"/>
          <w:bCs w:val="1"/>
          <w:color w:val="auto"/>
        </w:rPr>
        <w:t>RESIGNATION AND REMOVAL; APPOINTMENT OF SUCCESSOR.</w:t>
      </w:r>
    </w:p>
    <w:p>
      <w:pPr>
        <w:spacing w:after="0" w:line="256" w:lineRule="exact"/>
        <w:rPr>
          <w:sz w:val="20"/>
          <w:szCs w:val="20"/>
          <w:color w:val="auto"/>
        </w:rPr>
      </w:pPr>
    </w:p>
    <w:p>
      <w:pPr>
        <w:jc w:val="both"/>
        <w:ind w:firstLine="656"/>
        <w:spacing w:after="0" w:line="253" w:lineRule="auto"/>
        <w:tabs>
          <w:tab w:leader="none" w:pos="89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(or, in the case of Securities held in book-entry form, by electronic transmission),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at the expense of the Company, petition any court of competent jurisdiction for the appointment of a successor trustee with respect to Securities of such series, or the holders of at least 10% in the aggregate principal amount of Outstanding Securities may petition any such court for the appointment of a successor trustee. Such court may thereupon after such notice, if any, as it may deem proper and prescribe, appoint a successor trustee.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ind w:left="920" w:hanging="264"/>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565"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color w:val="auto"/>
        </w:rPr>
      </w:pPr>
    </w:p>
    <w:p>
      <w:pPr>
        <w:ind w:left="660" w:firstLine="644"/>
        <w:spacing w:after="0" w:line="277" w:lineRule="auto"/>
        <w:tabs>
          <w:tab w:leader="none" w:pos="1591"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7.9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642"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1" w:lineRule="exact"/>
        <w:rPr>
          <w:sz w:val="20"/>
          <w:szCs w:val="20"/>
          <w:color w:val="auto"/>
        </w:rPr>
      </w:pPr>
    </w:p>
    <w:p>
      <w:pPr>
        <w:jc w:val="both"/>
        <w:ind w:firstLine="656"/>
        <w:spacing w:after="0" w:line="263" w:lineRule="auto"/>
        <w:tabs>
          <w:tab w:leader="none" w:pos="9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upon 30 days’ notice, remove the Trustee with respect to such series by so notifying the Trustee and the Company and may appoint a successor Trustee for such series with the consent of the Company.</w:t>
      </w:r>
    </w:p>
    <w:p>
      <w:pPr>
        <w:spacing w:after="0" w:line="183" w:lineRule="exact"/>
        <w:rPr>
          <w:rFonts w:ascii="Arial" w:cs="Arial" w:eastAsia="Arial" w:hAnsi="Arial"/>
          <w:sz w:val="18"/>
          <w:szCs w:val="18"/>
          <w:color w:val="auto"/>
        </w:rPr>
      </w:pPr>
    </w:p>
    <w:p>
      <w:pPr>
        <w:ind w:firstLine="656"/>
        <w:spacing w:after="0" w:line="308" w:lineRule="auto"/>
        <w:tabs>
          <w:tab w:leader="none" w:pos="912"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46" w:lineRule="exact"/>
        <w:rPr>
          <w:rFonts w:ascii="Arial" w:cs="Arial" w:eastAsia="Arial" w:hAnsi="Arial"/>
          <w:sz w:val="17"/>
          <w:szCs w:val="17"/>
          <w:color w:val="auto"/>
        </w:rPr>
      </w:pPr>
    </w:p>
    <w:p>
      <w:pPr>
        <w:ind w:firstLine="656"/>
        <w:spacing w:after="0" w:line="277" w:lineRule="auto"/>
        <w:tabs>
          <w:tab w:leader="none" w:pos="903"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7.11</w:t>
      </w:r>
      <w:r>
        <w:rPr>
          <w:sz w:val="20"/>
          <w:szCs w:val="20"/>
          <w:color w:val="auto"/>
        </w:rPr>
        <w:tab/>
      </w:r>
      <w:r>
        <w:rPr>
          <w:rFonts w:ascii="Arial" w:cs="Arial" w:eastAsia="Arial" w:hAnsi="Arial"/>
          <w:sz w:val="17"/>
          <w:szCs w:val="17"/>
          <w:b w:val="1"/>
          <w:bCs w:val="1"/>
          <w:color w:val="auto"/>
        </w:rPr>
        <w:t>ACCEPTANCE OF APPOINTMENT BY SUCCESSOR.</w:t>
      </w:r>
    </w:p>
    <w:p>
      <w:pPr>
        <w:spacing w:after="0" w:line="256" w:lineRule="exact"/>
        <w:rPr>
          <w:sz w:val="20"/>
          <w:szCs w:val="20"/>
          <w:color w:val="auto"/>
        </w:rPr>
      </w:pPr>
    </w:p>
    <w:p>
      <w:pPr>
        <w:jc w:val="both"/>
        <w:ind w:firstLine="656"/>
        <w:spacing w:after="0" w:line="293" w:lineRule="auto"/>
        <w:tabs>
          <w:tab w:leader="none" w:pos="917"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4" w:lineRule="exact"/>
        <w:rPr>
          <w:rFonts w:ascii="Arial" w:cs="Arial" w:eastAsia="Arial" w:hAnsi="Arial"/>
          <w:sz w:val="16"/>
          <w:szCs w:val="16"/>
          <w:color w:val="auto"/>
        </w:rPr>
      </w:pPr>
    </w:p>
    <w:p>
      <w:pPr>
        <w:jc w:val="both"/>
        <w:ind w:firstLine="656"/>
        <w:spacing w:after="0" w:line="285" w:lineRule="auto"/>
        <w:tabs>
          <w:tab w:leader="none" w:pos="908"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ind w:firstLine="656"/>
        <w:spacing w:after="0" w:line="308" w:lineRule="auto"/>
        <w:tabs>
          <w:tab w:leader="none" w:pos="910" w:val="left"/>
        </w:tabs>
        <w:numPr>
          <w:ilvl w:val="0"/>
          <w:numId w:val="80"/>
        </w:numPr>
        <w:rPr>
          <w:rFonts w:ascii="Arial" w:cs="Arial" w:eastAsia="Arial" w:hAnsi="Arial"/>
          <w:sz w:val="17"/>
          <w:szCs w:val="17"/>
          <w:color w:val="auto"/>
        </w:rPr>
      </w:pPr>
      <w:r>
        <w:rPr>
          <w:rFonts w:ascii="Arial" w:cs="Arial" w:eastAsia="Arial" w:hAnsi="Arial"/>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46" w:lineRule="exact"/>
        <w:rPr>
          <w:rFonts w:ascii="Arial" w:cs="Arial" w:eastAsia="Arial" w:hAnsi="Arial"/>
          <w:sz w:val="17"/>
          <w:szCs w:val="17"/>
          <w:color w:val="auto"/>
        </w:rPr>
      </w:pPr>
    </w:p>
    <w:p>
      <w:pPr>
        <w:ind w:firstLine="656"/>
        <w:spacing w:after="0" w:line="277" w:lineRule="auto"/>
        <w:tabs>
          <w:tab w:leader="none" w:pos="916"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 VII.</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93"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7.12</w:t>
      </w:r>
      <w:r>
        <w:rPr>
          <w:sz w:val="20"/>
          <w:szCs w:val="20"/>
          <w:color w:val="auto"/>
        </w:rPr>
        <w:tab/>
      </w:r>
      <w:r>
        <w:rPr>
          <w:rFonts w:ascii="Arial" w:cs="Arial" w:eastAsia="Arial" w:hAnsi="Arial"/>
          <w:sz w:val="17"/>
          <w:szCs w:val="17"/>
          <w:b w:val="1"/>
          <w:bCs w:val="1"/>
          <w:color w:val="auto"/>
        </w:rPr>
        <w:t>MERGER, CONVERSION, CONSOLIDATION OR SUCCESSION TO BUSINESS.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administration of the trust created by this Indenture), shall be the successor of the Trustee hereunder, provided that such corporation shall be qualified under the provisions of Section 7.8 and eligible under the provisions of Section 7.9,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7.13</w:t>
      </w:r>
      <w:r>
        <w:rPr>
          <w:sz w:val="20"/>
          <w:szCs w:val="20"/>
          <w:color w:val="auto"/>
        </w:rPr>
        <w:tab/>
      </w:r>
      <w:r>
        <w:rPr>
          <w:rFonts w:ascii="Arial" w:cs="Arial" w:eastAsia="Arial" w:hAnsi="Arial"/>
          <w:sz w:val="18"/>
          <w:szCs w:val="18"/>
          <w:b w:val="1"/>
          <w:bCs w:val="1"/>
          <w:color w:val="auto"/>
        </w:rPr>
        <w:t>PREFERENTIAL COLLECTION OF CLAIMS AGAINST THE COMPANY.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7.14</w:t>
      </w:r>
      <w:r>
        <w:rPr>
          <w:sz w:val="20"/>
          <w:szCs w:val="20"/>
          <w:color w:val="auto"/>
        </w:rPr>
        <w:tab/>
      </w:r>
      <w:r>
        <w:rPr>
          <w:rFonts w:ascii="Arial" w:cs="Arial" w:eastAsia="Arial" w:hAnsi="Arial"/>
          <w:sz w:val="17"/>
          <w:szCs w:val="17"/>
          <w:b w:val="1"/>
          <w:bCs w:val="1"/>
          <w:color w:val="auto"/>
        </w:rPr>
        <w:t>NOTICE OF DEFAULT.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any Default or any Event of Default occurs and is continuing and if the Trustee has notice of such Default or Event of Default, the Trustee shall mail to each Securityholder in the manner and to the extent provided in Section 313(c) of the Trust Indenture Act notice of the Default or Event of Default within 90 days after it occurs (or, the Trustee does not have notice of such Default or Event of Default until after that time, 15 days after the Trustee has notice of such Default or Event of Default), unless such Default or Event of Default has been cured; provided, however, that, except in the case of a default in the payment of the principal of (or premium, if any) or interest on any Security, the Trustee shall be protected in withholding such notice if and so long as the Trustee in good faith determines that the withholding of such notice is in the interest of the Securityholders.</w:t>
      </w:r>
    </w:p>
    <w:p>
      <w:pPr>
        <w:spacing w:after="0" w:line="174"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7.15</w:t>
      </w:r>
      <w:r>
        <w:rPr>
          <w:sz w:val="20"/>
          <w:szCs w:val="20"/>
          <w:color w:val="auto"/>
        </w:rPr>
        <w:tab/>
      </w:r>
      <w:r>
        <w:rPr>
          <w:rFonts w:ascii="Arial" w:cs="Arial" w:eastAsia="Arial" w:hAnsi="Arial"/>
          <w:sz w:val="18"/>
          <w:szCs w:val="18"/>
          <w:b w:val="1"/>
          <w:bCs w:val="1"/>
          <w:color w:val="auto"/>
        </w:rPr>
        <w:t>LIMITATION OF LIABILITY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Trustee is entering into this Indenture and the other documents contemplated hereby and related hereto to which it is a party solely in its capacity as trustee under the Indenture and not in its individual capacity (except as expressly stated herein) and in no case shall the Trustee (or any Person acting as successor trustee under this Indenture) be personally liable for or on account of any of the statements, representations, warranties, covenants or obligations stated to be those of the Company hereunder or thereunder, all such liability, if any, being expressly waived by the parties hereto and any person claiming by, through or under such party.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CONCERNING THE SECURITYHOLDERS</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8"/>
          <w:szCs w:val="18"/>
          <w:b w:val="1"/>
          <w:bCs w:val="1"/>
          <w:color w:val="auto"/>
        </w:rPr>
        <w:t>EVIDENCE OF ACTION BY SECURITYHOLDERS.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jc w:val="both"/>
        <w:spacing w:after="0" w:line="289" w:lineRule="auto"/>
        <w:rPr>
          <w:sz w:val="20"/>
          <w:szCs w:val="20"/>
          <w:color w:val="auto"/>
        </w:rPr>
      </w:pPr>
      <w:r>
        <w:rPr>
          <w:rFonts w:ascii="Arial" w:cs="Arial" w:eastAsia="Arial" w:hAnsi="Arial"/>
          <w:sz w:val="16"/>
          <w:szCs w:val="16"/>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62"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8"/>
          <w:szCs w:val="18"/>
          <w:b w:val="1"/>
          <w:bCs w:val="1"/>
          <w:color w:val="auto"/>
        </w:rPr>
        <w:t>PROOF OF EXECUTION BY SECURITYHOLDERS.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provisions of Section 7.1,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70" w:lineRule="exact"/>
        <w:rPr>
          <w:sz w:val="20"/>
          <w:szCs w:val="20"/>
          <w:color w:val="auto"/>
        </w:rPr>
      </w:pPr>
    </w:p>
    <w:p>
      <w:pPr>
        <w:ind w:left="900" w:hanging="244"/>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fact and date of the execution by any such Person of any instrument may be proved in any reasonable manner acceptable to the Trustee.</w:t>
      </w:r>
    </w:p>
    <w:p>
      <w:pPr>
        <w:spacing w:after="0" w:line="248" w:lineRule="exact"/>
        <w:rPr>
          <w:rFonts w:ascii="Arial" w:cs="Arial" w:eastAsia="Arial" w:hAnsi="Arial"/>
          <w:sz w:val="16"/>
          <w:szCs w:val="16"/>
          <w:color w:val="auto"/>
        </w:rPr>
      </w:pPr>
    </w:p>
    <w:p>
      <w:pPr>
        <w:ind w:right="340" w:firstLine="656"/>
        <w:spacing w:after="0" w:line="498" w:lineRule="auto"/>
        <w:tabs>
          <w:tab w:leader="none" w:pos="90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8.3</w:t>
      </w:r>
      <w:r>
        <w:rPr>
          <w:sz w:val="20"/>
          <w:szCs w:val="20"/>
          <w:color w:val="auto"/>
        </w:rPr>
        <w:tab/>
      </w:r>
      <w:r>
        <w:rPr>
          <w:rFonts w:ascii="Arial" w:cs="Arial" w:eastAsia="Arial" w:hAnsi="Arial"/>
          <w:sz w:val="17"/>
          <w:szCs w:val="17"/>
          <w:b w:val="1"/>
          <w:bCs w:val="1"/>
          <w:color w:val="auto"/>
        </w:rPr>
        <w:t>WHO MAY BE DEEMED OWNERS.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2.3) interest on such Security and for all other purposes; and neither the Company nor the Trustee nor any Paying Agent nor any Security Registrar shall be affected by any notice to the contrary.</w:t>
      </w:r>
    </w:p>
    <w:p>
      <w:pPr>
        <w:spacing w:after="0" w:line="18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8.4</w:t>
      </w:r>
      <w:r>
        <w:rPr>
          <w:sz w:val="20"/>
          <w:szCs w:val="20"/>
          <w:color w:val="auto"/>
        </w:rPr>
        <w:tab/>
      </w:r>
      <w:r>
        <w:rPr>
          <w:rFonts w:ascii="Arial" w:cs="Arial" w:eastAsia="Arial" w:hAnsi="Arial"/>
          <w:sz w:val="18"/>
          <w:szCs w:val="18"/>
          <w:b w:val="1"/>
          <w:bCs w:val="1"/>
          <w:color w:val="auto"/>
        </w:rPr>
        <w:t>CERTAIN SECURITIES OWNED BY COMPANY DISREGARDED.</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62"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8.5</w:t>
      </w:r>
      <w:r>
        <w:rPr>
          <w:sz w:val="20"/>
          <w:szCs w:val="20"/>
          <w:color w:val="auto"/>
        </w:rPr>
        <w:tab/>
      </w:r>
      <w:r>
        <w:rPr>
          <w:rFonts w:ascii="Arial" w:cs="Arial" w:eastAsia="Arial" w:hAnsi="Arial"/>
          <w:sz w:val="18"/>
          <w:szCs w:val="18"/>
          <w:b w:val="1"/>
          <w:bCs w:val="1"/>
          <w:color w:val="auto"/>
        </w:rPr>
        <w:t>ACTIONS BINDING ON FUTURE SECURITYHOLDERS.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8"/>
          <w:szCs w:val="18"/>
          <w:b w:val="1"/>
          <w:bCs w:val="1"/>
          <w:color w:val="auto"/>
        </w:rPr>
        <w:t>SUPPLEMENTAL INDENTURES WITHOUT THE CONSENT OF SECURITYHOLDERS.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comply with the provisions of the Trust Indenture Act as then in effect), without the consent of the Securityholders, for one or more of the following purposes:</w:t>
      </w:r>
    </w:p>
    <w:p>
      <w:pPr>
        <w:spacing w:after="0" w:line="184" w:lineRule="exact"/>
        <w:rPr>
          <w:sz w:val="20"/>
          <w:szCs w:val="20"/>
          <w:color w:val="auto"/>
        </w:rPr>
      </w:pPr>
    </w:p>
    <w:p>
      <w:pPr>
        <w:ind w:firstLine="656"/>
        <w:spacing w:after="0" w:line="277" w:lineRule="auto"/>
        <w:tabs>
          <w:tab w:leader="none" w:pos="9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cure any ambiguity, defect, omission or inconsistency herein or in the Securities of any series (with such ambiguity, defect, omission or inconsistency being evidenced by an Officer’s Certificate);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comply with Article X, including to evidence the succession of another Person to the Company and the assumption by any such successor of the covenants of the Company herein and in the Securities contained or to provide for the assumption of a guarantor’s obligations to holders of the Securities in the case of a merger or consolidation or sale of all or substantially all of the guarantor’s assets;</w:t>
      </w:r>
    </w:p>
    <w:p>
      <w:pPr>
        <w:spacing w:after="0" w:line="183" w:lineRule="exact"/>
        <w:rPr>
          <w:rFonts w:ascii="Arial" w:cs="Arial" w:eastAsia="Arial" w:hAnsi="Arial"/>
          <w:sz w:val="18"/>
          <w:szCs w:val="18"/>
          <w:color w:val="auto"/>
        </w:rPr>
      </w:pPr>
    </w:p>
    <w:p>
      <w:pPr>
        <w:ind w:firstLine="656"/>
        <w:spacing w:after="0" w:line="277" w:lineRule="auto"/>
        <w:tabs>
          <w:tab w:leader="none" w:pos="8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uncertificated Securities are issued in registered form for purposes of Section 163(f) of the Code;</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for the benefit of the holders of the Securities of any series or to surrender any right or power conferred upon the Company or any guarantor;</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provide for the issuance of additional Securities of any series in accordance with the terms of this Indenture;</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225" w:lineRule="exact"/>
        <w:rPr>
          <w:rFonts w:ascii="Arial" w:cs="Arial" w:eastAsia="Arial" w:hAnsi="Arial"/>
          <w:sz w:val="18"/>
          <w:szCs w:val="18"/>
          <w:color w:val="auto"/>
        </w:rPr>
      </w:pPr>
    </w:p>
    <w:p>
      <w:pPr>
        <w:ind w:firstLine="656"/>
        <w:spacing w:after="0" w:line="277" w:lineRule="auto"/>
        <w:tabs>
          <w:tab w:leader="none" w:pos="9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provide security for the Securities of any series or to provide for any guarantee of the Securities of any series or to confirm or evidence the release, termination or discharge of any guarantee of or lien securing the Securities of any series when such release, termination or discharge is permitted by this Indenture;</w:t>
      </w:r>
    </w:p>
    <w:p>
      <w:pPr>
        <w:spacing w:after="0" w:line="183" w:lineRule="exact"/>
        <w:rPr>
          <w:rFonts w:ascii="Arial" w:cs="Arial" w:eastAsia="Arial" w:hAnsi="Arial"/>
          <w:sz w:val="18"/>
          <w:szCs w:val="18"/>
          <w:color w:val="auto"/>
        </w:rPr>
      </w:pPr>
    </w:p>
    <w:p>
      <w:pPr>
        <w:ind w:firstLine="656"/>
        <w:spacing w:after="0" w:line="277" w:lineRule="auto"/>
        <w:tabs>
          <w:tab w:leader="none" w:pos="86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the Securities of any series or that does not adversely affect the legal rights under this Indenture of any holder;</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8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make any amendment to the provision of this Indenture relating to the transfer and legending of the Securities of any series; provided, however, that (1) compliance with this Indenture as so amended would not result in Securities of such series being transferred in violation of the Securities Act or any other applicable securities law and (2) such amendment does not materially and adversely affect the rights of holders to transfer Securities of such series; or</w:t>
      </w:r>
    </w:p>
    <w:p>
      <w:pPr>
        <w:spacing w:after="0" w:line="186" w:lineRule="exact"/>
        <w:rPr>
          <w:rFonts w:ascii="Arial" w:cs="Arial" w:eastAsia="Arial" w:hAnsi="Arial"/>
          <w:sz w:val="18"/>
          <w:szCs w:val="18"/>
          <w:color w:val="auto"/>
        </w:rPr>
      </w:pPr>
    </w:p>
    <w:p>
      <w:pPr>
        <w:jc w:val="both"/>
        <w:ind w:firstLine="656"/>
        <w:spacing w:after="0" w:line="255" w:lineRule="auto"/>
        <w:tabs>
          <w:tab w:leader="none" w:pos="91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conform the text of this Indenture, any guarantee of the Securities of any series or the notes to any provision of the “Description of Debt Securities and Guarantees” included in the prospectus forming a part of the registration statement filed by the Company with the Commission on Form S-3 on August 4, 2016 or any subsequent description of Securities contained in any prospectus supplement, to the extent that such provision in that “Description of Debt Securities and Guarantees” or any subsequent description of Securities contained in any prospectus supplement was intended by the Company to be a verbatim recitation of a provision of this Indenture, any guarantee of the Securities of any series or the Securities, as applicable (with such intention being evidenced by an Officer’s Certificate).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9.2.</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tabs>
          <w:tab w:leader="none" w:pos="168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8"/>
          <w:szCs w:val="18"/>
          <w:b w:val="1"/>
          <w:bCs w:val="1"/>
          <w:color w:val="auto"/>
        </w:rPr>
        <w:t>SUPPLEMENTAL INDENTURES WITH THE CONSENT OF SECURITYHOLDERS.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consent (evidenced as provided in Section 8.1) of the holders of not less than a majority in aggregate principal amount of the Securities of each series affected by such supplemental indenture or indentures at the time Outstanding (including consents obtained in connection with a tender offer or exchange offer for the Securities), the Company, when authorized by a Board Resolution, and the Trustee may from time to time and at any time enter into an indenture or indentures supplemental hereto (which shall comply with the provisions of the Trust Indenture Act as then in effect) for the purpose of adding any provisions to or changing in any manner or eliminating (or waiving any past default or compliance with) any of the provisions of this Indenture or of any supplemental indenture or of modifying in any manner not covered by Section 9.1 the rights of the holders of the Securities of such series under this Indenture; provided, however, that no such supplemental indenture shall, without the consent of the holders of each Security then Outstanding and affected thereby,</w:t>
      </w:r>
    </w:p>
    <w:p>
      <w:pPr>
        <w:spacing w:after="0" w:line="192" w:lineRule="exact"/>
        <w:rPr>
          <w:sz w:val="20"/>
          <w:szCs w:val="20"/>
          <w:color w:val="auto"/>
        </w:rPr>
      </w:pPr>
    </w:p>
    <w:p>
      <w:pPr>
        <w:ind w:right="20" w:firstLine="656"/>
        <w:spacing w:after="0" w:line="277" w:lineRule="auto"/>
        <w:tabs>
          <w:tab w:leader="none" w:pos="9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reduce the percentage or aggregate principal amount of Securities, the holders of which are required to consent to any modification, amendment, supplement or waiver;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reduce the principal amount of, or premium, if any, or rate of interest on, such Securities;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extend the fixed maturity of such Securities;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extend the time for payment of interest on such Securities;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reduce the redemption or repurchase price of such Securities or change the time at which the Securities may or must be redeemed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repurchased;</w:t>
      </w:r>
    </w:p>
    <w:p>
      <w:pPr>
        <w:spacing w:after="0" w:line="210" w:lineRule="exact"/>
        <w:rPr>
          <w:rFonts w:ascii="Arial" w:cs="Arial" w:eastAsia="Arial" w:hAnsi="Arial"/>
          <w:sz w:val="17"/>
          <w:szCs w:val="17"/>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 the currency of payment of principal of, or premium, if any, or interest on, such Securities;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waive a default in the payment of principal of, premium, if any, or interest on such Securities (except as provided in Section 6.1(c));</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voluntarily release a guarantor of such Securities other than in accordance with this Indenture;</w:t>
      </w:r>
    </w:p>
    <w:p>
      <w:pPr>
        <w:spacing w:after="0" w:line="225" w:lineRule="exact"/>
        <w:rPr>
          <w:rFonts w:ascii="Arial" w:cs="Arial" w:eastAsia="Arial" w:hAnsi="Arial"/>
          <w:sz w:val="18"/>
          <w:szCs w:val="18"/>
          <w:color w:val="auto"/>
        </w:rPr>
      </w:pPr>
    </w:p>
    <w:p>
      <w:pPr>
        <w:ind w:firstLine="656"/>
        <w:spacing w:after="0" w:line="277" w:lineRule="auto"/>
        <w:tabs>
          <w:tab w:leader="none" w:pos="897"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reduce the percentage or aggregate principal amount of Outstanding Securities the consent of whose holders is necessary for waiver of compliance with certain provisions of this Indenture or for waiver of certain defaults; or</w:t>
      </w:r>
    </w:p>
    <w:p>
      <w:pPr>
        <w:spacing w:after="0" w:line="170" w:lineRule="exact"/>
        <w:rPr>
          <w:rFonts w:ascii="Arial" w:cs="Arial" w:eastAsia="Arial" w:hAnsi="Arial"/>
          <w:sz w:val="18"/>
          <w:szCs w:val="18"/>
          <w:color w:val="auto"/>
        </w:rPr>
      </w:pPr>
    </w:p>
    <w:p>
      <w:pPr>
        <w:ind w:firstLine="656"/>
        <w:spacing w:after="0" w:line="277" w:lineRule="auto"/>
        <w:tabs>
          <w:tab w:leader="none" w:pos="8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after the stated maturity (or, in the case of a redemption, on or after the redemption date) of such Securities.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7"/>
          <w:szCs w:val="17"/>
          <w:b w:val="1"/>
          <w:bCs w:val="1"/>
          <w:color w:val="auto"/>
        </w:rPr>
        <w:t>EFFECT OF SUPPLEMENTAL INDENTURES.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the execution of any supplemental indenture pursuant to the provisions of this Article IX or of Section 10.1,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2"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9.4</w:t>
      </w:r>
      <w:r>
        <w:rPr>
          <w:sz w:val="20"/>
          <w:szCs w:val="20"/>
          <w:color w:val="auto"/>
        </w:rPr>
        <w:tab/>
      </w:r>
      <w:r>
        <w:rPr>
          <w:rFonts w:ascii="Arial" w:cs="Arial" w:eastAsia="Arial" w:hAnsi="Arial"/>
          <w:sz w:val="17"/>
          <w:szCs w:val="17"/>
          <w:b w:val="1"/>
          <w:bCs w:val="1"/>
          <w:color w:val="auto"/>
        </w:rPr>
        <w:t>SECURITIES AFFECTED BY SUPPLEMENTAL INDENTURES.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IX or of Section 10.1,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9.5</w:t>
      </w:r>
      <w:r>
        <w:rPr>
          <w:sz w:val="20"/>
          <w:szCs w:val="20"/>
          <w:color w:val="auto"/>
        </w:rPr>
        <w:tab/>
      </w:r>
      <w:r>
        <w:rPr>
          <w:rFonts w:ascii="Arial" w:cs="Arial" w:eastAsia="Arial" w:hAnsi="Arial"/>
          <w:sz w:val="18"/>
          <w:szCs w:val="18"/>
          <w:b w:val="1"/>
          <w:bCs w:val="1"/>
          <w:color w:val="auto"/>
        </w:rPr>
        <w:t>EXECUTION OF SUPPLEMENTAL INDENTURES.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in addition to the documents required by Section 14.7(a), an Officer’s Certificate and an Opinion of Counsel stating that and as conclusive evidence that any supplemental indenture executed pursuant to this Article IX is authorized or permitted by, and conforms to, the terms of this Article IX, constitutes the legal, valid and binding obligation of the Company, enforceable against it in accordance with its terms (subject to customary exceptions) and that it is proper for the Trustee under the provisions of this Article IX to join in the execution thereof.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both"/>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Company shall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such notice, or any defect therein, shall not, however, in any way impair or affect the validity of any such supplemental indenture.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SUCCESSOR ENTITY</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7"/>
          <w:szCs w:val="17"/>
          <w:b w:val="1"/>
          <w:bCs w:val="1"/>
          <w:color w:val="auto"/>
        </w:rPr>
        <w:t>COMPANY MAY CONSOLIDATE, ETC.</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Except as provided pursuant to Section 2.1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(a)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2.1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7"/>
          <w:szCs w:val="17"/>
          <w:b w:val="1"/>
          <w:bCs w:val="1"/>
          <w:color w:val="auto"/>
        </w:rPr>
        <w:t>SUCCESSOR ENTITY SUBSTITUTED.</w:t>
      </w:r>
    </w:p>
    <w:p>
      <w:pPr>
        <w:spacing w:after="0" w:line="256" w:lineRule="exact"/>
        <w:rPr>
          <w:sz w:val="20"/>
          <w:szCs w:val="20"/>
          <w:color w:val="auto"/>
        </w:rPr>
      </w:pPr>
    </w:p>
    <w:p>
      <w:pPr>
        <w:jc w:val="both"/>
        <w:ind w:firstLine="656"/>
        <w:spacing w:after="0" w:line="257" w:lineRule="auto"/>
        <w:tabs>
          <w:tab w:leader="none" w:pos="902"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7" w:lineRule="exact"/>
        <w:rPr>
          <w:rFonts w:ascii="Arial" w:cs="Arial" w:eastAsia="Arial" w:hAnsi="Arial"/>
          <w:sz w:val="18"/>
          <w:szCs w:val="18"/>
          <w:color w:val="auto"/>
        </w:rPr>
      </w:pPr>
    </w:p>
    <w:p>
      <w:pPr>
        <w:ind w:firstLine="656"/>
        <w:spacing w:after="0" w:line="277" w:lineRule="auto"/>
        <w:tabs>
          <w:tab w:leader="none" w:pos="9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Nothing contained in this Article X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8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8"/>
          <w:szCs w:val="18"/>
          <w:b w:val="1"/>
          <w:bCs w:val="1"/>
          <w:color w:val="auto"/>
        </w:rPr>
        <w:t>EVIDENCE OF CONSOLIDATION, ETC. TO TRUSTEE.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Trustee, subject to the provisions of Section 7.1, shall receive an Officer’s Certificate and an Opinion of Counsel stating that and as conclusive evidence that any such consolidation, merger, sale, conveyance, transfer or other disposition, and any such assumption, comply with the provisions of this Article X.</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7"/>
          <w:szCs w:val="17"/>
          <w:b w:val="1"/>
          <w:bCs w:val="1"/>
          <w:color w:val="auto"/>
        </w:rPr>
        <w:t>SATISFACTION AND DISCHARGE OF INDENTURE.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Indenture shall upon Company Request cease to be of further effect with respect to any series of Securities (except as to any surviving rights of registration of transfer or exchange of Securities of such series herein expressly provided for or in the form of Security for such series and any right to receive additional amounts), and the Trustee, at the expense of the Company, shall execute proper instruments acknowledging satisfaction and discharge of this Indenture as to such series, when</w:t>
      </w:r>
    </w:p>
    <w:p>
      <w:pPr>
        <w:spacing w:after="0" w:line="187" w:lineRule="exact"/>
        <w:rPr>
          <w:sz w:val="20"/>
          <w:szCs w:val="20"/>
          <w:color w:val="auto"/>
        </w:rPr>
      </w:pPr>
    </w:p>
    <w:p>
      <w:pPr>
        <w:ind w:left="900" w:hanging="244"/>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660" w:firstLine="644"/>
        <w:spacing w:after="0" w:line="301" w:lineRule="auto"/>
        <w:tabs>
          <w:tab w:leader="none" w:pos="1527"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Securities of such series theretofore authenticated and delivered (other than (i) Securities which have been destroyed, lost or stolen and which have been replaced or paid as provided in Section 2.7 and (ii) Securities for whose payment cash, Governmental Obligations or a combination thereof has theretofore been deposited in trust or segregated and held in trust by the Company and thereafter repaid to the Company or discharged from such trust, as provided in Sections 12.5 and 12.6) have been delivered to the Trustee for cancellation; or</w:t>
      </w:r>
    </w:p>
    <w:p>
      <w:pPr>
        <w:spacing w:after="0" w:line="157" w:lineRule="exact"/>
        <w:rPr>
          <w:rFonts w:ascii="Arial" w:cs="Arial" w:eastAsia="Arial" w:hAnsi="Arial"/>
          <w:sz w:val="16"/>
          <w:szCs w:val="16"/>
          <w:color w:val="auto"/>
        </w:rPr>
      </w:pPr>
    </w:p>
    <w:p>
      <w:pPr>
        <w:ind w:left="1560" w:hanging="256"/>
        <w:spacing w:after="0"/>
        <w:tabs>
          <w:tab w:leader="none" w:pos="15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 or</w:t>
      </w:r>
    </w:p>
    <w:p>
      <w:pPr>
        <w:spacing w:after="0" w:line="225" w:lineRule="exact"/>
        <w:rPr>
          <w:sz w:val="20"/>
          <w:szCs w:val="20"/>
          <w:color w:val="auto"/>
        </w:rPr>
      </w:pPr>
    </w:p>
    <w:p>
      <w:pPr>
        <w:ind w:left="1600" w:hanging="296"/>
        <w:spacing w:after="0"/>
        <w:tabs>
          <w:tab w:leader="none" w:pos="1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have become due and payable by reason of the mailing of a notice of redemption or otherwise, or</w:t>
      </w:r>
    </w:p>
    <w:p>
      <w:pPr>
        <w:spacing w:after="0" w:line="225" w:lineRule="exact"/>
        <w:rPr>
          <w:rFonts w:ascii="Arial" w:cs="Arial" w:eastAsia="Arial" w:hAnsi="Arial"/>
          <w:sz w:val="18"/>
          <w:szCs w:val="18"/>
          <w:color w:val="auto"/>
        </w:rPr>
      </w:pPr>
    </w:p>
    <w:p>
      <w:pPr>
        <w:ind w:left="1580" w:hanging="276"/>
        <w:spacing w:after="0"/>
        <w:tabs>
          <w:tab w:leader="none" w:pos="1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will become due and payable within one year,</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and the Company, in the case of (A) or (B) above, has deposited or caused to be deposited with the Trustee as trust funds in trust specifically pledged as security for, and dedicated solely to, the benefit of the Securityholders of the Securities of that series, cash in U.S. dollars, Governmental Obligations or a combination thereof in such amount as will be sufficient, without consideration of any reinvestment of interest,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the Redemption Date, as the case may be;</w:t>
      </w:r>
    </w:p>
    <w:p>
      <w:pPr>
        <w:spacing w:after="0" w:line="161" w:lineRule="exact"/>
        <w:rPr>
          <w:sz w:val="20"/>
          <w:szCs w:val="20"/>
          <w:color w:val="auto"/>
        </w:rPr>
      </w:pPr>
    </w:p>
    <w:p>
      <w:pPr>
        <w:jc w:val="both"/>
        <w:ind w:firstLine="656"/>
        <w:spacing w:after="0" w:line="263" w:lineRule="auto"/>
        <w:tabs>
          <w:tab w:leader="none" w:pos="909"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respect of clause (a)(ii), no Event of Default has occurred and is continuing on the date of deposit (other than an Event of Default resulting from the borrowing of funds to be applied to such deposit and any similar deposit relating to other indebtedness and, in each case, the granting of certain liens to secure such borrowing);</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or any guarantor has paid or caused to be paid all other sums payable hereunder by the Company with respect to such series; and</w:t>
      </w:r>
    </w:p>
    <w:p>
      <w:pPr>
        <w:spacing w:after="0" w:line="248" w:lineRule="exact"/>
        <w:rPr>
          <w:rFonts w:ascii="Arial" w:cs="Arial" w:eastAsia="Arial" w:hAnsi="Arial"/>
          <w:sz w:val="16"/>
          <w:szCs w:val="16"/>
          <w:color w:val="auto"/>
        </w:rPr>
      </w:pPr>
    </w:p>
    <w:p>
      <w:pPr>
        <w:ind w:right="20" w:firstLine="656"/>
        <w:spacing w:after="0" w:line="277" w:lineRule="auto"/>
        <w:tabs>
          <w:tab w:leader="none" w:pos="91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towards the payment of the notes at maturity or on the redemption date, as the case may be.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satisfaction and discharge of this Indenture with respect to such series, the obligations of the Company to the Trustee with respect to such series under this Section 11.1 and Sections 7.6 and 7.10, the obligations of the Company to any Authenticating Agent under Section 2.10, and, if cash, Governmental Obligations or a combination thereof shall have been deposited with the Trustee pursuant to subclause (ii) of clause (a) of this Section, the obligations of the Trustee under Section 11.2, shall survive.</w:t>
      </w:r>
    </w:p>
    <w:p>
      <w:pPr>
        <w:spacing w:after="0" w:line="18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8"/>
          <w:szCs w:val="18"/>
          <w:b w:val="1"/>
          <w:bCs w:val="1"/>
          <w:color w:val="auto"/>
        </w:rPr>
        <w:t>APPLICATION OF TRUST MONEY.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the provisions of Section 12.6, all cash and Governmental Obligations deposited with the Trustee pursuant to Section 11.1 shall be held in trust and applied by the Trustee, in accordance with the provisions of the series of Securities and this Indenture, to the payment, either directly or through any Paying Agent (including the Company or any of its Subsidiaries acting as Paying Agent) as the Trustee may determine, to the Persons entitled thereto, of all sums due and to become due thereon in respect of the principal of (and premium, if any) and interest, if any, on the Securities for which payment of such cash and Governmental Obligations has been deposited with the Trustee.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Trustee or Paying Agent is unable to apply any cash or Governmental Obligations in accordance with this Article XI by reason of any legal proceeding or by reason of any order or judgment of any court or governmental authority enjoining, restraining or otherwise prohibiting such application, then the obligations of the Company under this Indenture and the Securities of such series shall be revived and reinstated as though no deposit had occurred pursuant to this Article XI until such time as the Trustee or Paying Agent is permitted to apply all such cash and Governmental Obligations in accordance with this Article XI; provided, however, that, if the Company has made any payment of principal, premium, if any, interest on or principal of any Securities because of the reinstatement of its obligations, the Company shall be subrogated to the rights of the holders of such Securities to receive such payment from the cash and Governmental Obligations held by the Trustee or Paying Agent.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7"/>
          <w:szCs w:val="17"/>
          <w:b w:val="1"/>
          <w:bCs w:val="1"/>
          <w:color w:val="auto"/>
        </w:rPr>
        <w:t>OPTION TO EFFECT LEGAL DEFEASANCE OR COVENANT DEFEASANCE</w:t>
      </w:r>
      <w:r>
        <w:rPr>
          <w:rFonts w:ascii="Arial" w:cs="Arial" w:eastAsia="Arial" w:hAnsi="Arial"/>
          <w:sz w:val="17"/>
          <w:szCs w:val="17"/>
          <w:b w:val="1"/>
          <w:bCs w:val="1"/>
          <w:i w:val="1"/>
          <w:iCs w:val="1"/>
          <w:color w:val="auto"/>
        </w:rPr>
        <w:t>.</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may at any time, at the option of its Board of Directors evidenced by a Board Resolution set forth in an Officer’s Certificate, elect to have either Section 12.2 or 12.3 hereof be applied to all outstanding Securities of a series upon compliance with the conditions set forth below in this Article XII.</w:t>
      </w:r>
    </w:p>
    <w:p>
      <w:pPr>
        <w:spacing w:after="0" w:line="12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12.2</w:t>
      </w:r>
      <w:r>
        <w:rPr>
          <w:sz w:val="20"/>
          <w:szCs w:val="20"/>
          <w:color w:val="auto"/>
        </w:rPr>
        <w:tab/>
      </w:r>
      <w:r>
        <w:rPr>
          <w:rFonts w:ascii="Arial" w:cs="Arial" w:eastAsia="Arial" w:hAnsi="Arial"/>
          <w:sz w:val="17"/>
          <w:szCs w:val="17"/>
          <w:b w:val="1"/>
          <w:bCs w:val="1"/>
          <w:color w:val="auto"/>
        </w:rPr>
        <w:t>LEGAL DEFEASANCE AND DISCHARGE</w:t>
      </w:r>
      <w:r>
        <w:rPr>
          <w:rFonts w:ascii="Arial" w:cs="Arial" w:eastAsia="Arial" w:hAnsi="Arial"/>
          <w:sz w:val="17"/>
          <w:szCs w:val="17"/>
          <w:b w:val="1"/>
          <w:bCs w:val="1"/>
          <w:i w:val="1"/>
          <w:iCs w:val="1"/>
          <w:color w:val="auto"/>
        </w:rPr>
        <w:t>.</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Upon the Company’s exercise under Section 12.1 hereof of the option applicable to this Section 12.2 with respect to a series of Securities, the Company will, subject to the satisfaction of the conditions set forth in Section 12.4 hereof, be deemed to have been discharged from its obligations with respect to all outstanding Securities of such series on the date the conditions set forth below are satisfied (hereinafter, “</w:t>
      </w:r>
      <w:r>
        <w:rPr>
          <w:rFonts w:ascii="Arial" w:cs="Arial" w:eastAsia="Arial" w:hAnsi="Arial"/>
          <w:sz w:val="17"/>
          <w:szCs w:val="17"/>
          <w:b w:val="1"/>
          <w:bCs w:val="1"/>
          <w:color w:val="auto"/>
        </w:rPr>
        <w:t>Legal Defeasance</w:t>
      </w:r>
      <w:r>
        <w:rPr>
          <w:rFonts w:ascii="Arial" w:cs="Arial" w:eastAsia="Arial" w:hAnsi="Arial"/>
          <w:sz w:val="17"/>
          <w:szCs w:val="17"/>
          <w:color w:val="auto"/>
        </w:rPr>
        <w:t>”). For this purpose, Legal Defeasance means that the Company will be deemed to have paid and discharged the entire Indebtedness represented by the Outstanding Securities of such series, which will thereafter be deemed to be Outstanding only for the purposes of Section 12.5 hereof and the Articles and other Sections of this Indenture referred to in clauses (1) and (2) below, and to have satisfied all their other obligations under such Securities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78" w:lineRule="exact"/>
        <w:rPr>
          <w:sz w:val="20"/>
          <w:szCs w:val="20"/>
          <w:color w:val="auto"/>
        </w:rPr>
      </w:pPr>
    </w:p>
    <w:p>
      <w:pPr>
        <w:ind w:firstLine="656"/>
        <w:spacing w:after="0" w:line="277" w:lineRule="auto"/>
        <w:tabs>
          <w:tab w:leader="none" w:pos="90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rights of holders of Outstanding Securities of such series to receive payments in respect of the principal of, premium on, if any, or interest on such Securities when such payments are due from the trust referred to in Section 12.4 hereof;</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Issuers’ obligations with respect to such Securities under Article 2 and Section 4.2 hereof;</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hereunder and the Company’s obligations in connection therewith; and</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Article XII.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compliance with this Article XII, the Company may exercise its option under this Section 12.2 with respect to a series of Securities, notwithstanding the prior exercise of its option under Section 12.3 hereof with respect to such series of Securities.</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12.3</w:t>
      </w:r>
      <w:r>
        <w:rPr>
          <w:sz w:val="20"/>
          <w:szCs w:val="20"/>
          <w:color w:val="auto"/>
        </w:rPr>
        <w:tab/>
      </w:r>
      <w:r>
        <w:rPr>
          <w:rFonts w:ascii="Arial" w:cs="Arial" w:eastAsia="Arial" w:hAnsi="Arial"/>
          <w:sz w:val="17"/>
          <w:szCs w:val="17"/>
          <w:b w:val="1"/>
          <w:bCs w:val="1"/>
          <w:color w:val="auto"/>
        </w:rPr>
        <w:t>COVENANT DEFEASANCE</w:t>
      </w:r>
      <w:r>
        <w:rPr>
          <w:rFonts w:ascii="Arial" w:cs="Arial" w:eastAsia="Arial" w:hAnsi="Arial"/>
          <w:sz w:val="17"/>
          <w:szCs w:val="17"/>
          <w:b w:val="1"/>
          <w:bCs w:val="1"/>
          <w:i w:val="1"/>
          <w:iCs w:val="1"/>
          <w:color w:val="auto"/>
        </w:rPr>
        <w:t>.</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Upon the Company’s exercise under Section 12.1 hereof of the option applicable to this Section 12.3 with respect to a series of Securities, the Company will, subject to the satisfaction of the conditions set forth in Section 12.4 hereof, be released from its obligations under Section 5.3 and Article X and any additional covenants specified in any Board Resolution or indenture supplemental hereto with respect to the Outstanding Securities of such series on and after the date the conditions set forth in Section 12.4 hereof are satisfied (hereinafter, “</w:t>
      </w:r>
      <w:r>
        <w:rPr>
          <w:rFonts w:ascii="Arial" w:cs="Arial" w:eastAsia="Arial" w:hAnsi="Arial"/>
          <w:sz w:val="16"/>
          <w:szCs w:val="16"/>
          <w:b w:val="1"/>
          <w:bCs w:val="1"/>
          <w:color w:val="auto"/>
        </w:rPr>
        <w:t>Covenant Defeasance</w:t>
      </w:r>
      <w:r>
        <w:rPr>
          <w:rFonts w:ascii="Arial" w:cs="Arial" w:eastAsia="Arial" w:hAnsi="Arial"/>
          <w:sz w:val="16"/>
          <w:szCs w:val="16"/>
          <w:color w:val="auto"/>
        </w:rPr>
        <w:t>”), and the Securities of such series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Securities will not be deemed Outstanding for accounting purposes). For this purpose, Covenant Defeasance means that, with respect to the Outstanding Securities of such series, the Company may omit to comply with and shall have no liability in respect of any term, condition or limitation set forth in Section 5.3 or Article X and any additional covenants specified in any Board Resolution or indenture supplemental hereto, whether directly or indirectly, by reason of any reference elsewhere herein to any such Section or Article or by reason of any reference in any such Section or Article to any other provision herein or in any other document and such omission to comply shall not constitute a Default or an Event of Default under Section 6.1 hereof with respect to Outstanding Securities of such series, but, except as specified above, the remainder of this Indenture and such Securities shall be unaffected thereby.</w:t>
      </w:r>
    </w:p>
    <w:p>
      <w:pPr>
        <w:spacing w:after="0" w:line="164"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12.4</w:t>
      </w:r>
      <w:r>
        <w:rPr>
          <w:sz w:val="20"/>
          <w:szCs w:val="20"/>
          <w:color w:val="auto"/>
        </w:rPr>
        <w:tab/>
      </w:r>
      <w:r>
        <w:rPr>
          <w:rFonts w:ascii="Arial" w:cs="Arial" w:eastAsia="Arial" w:hAnsi="Arial"/>
          <w:sz w:val="18"/>
          <w:szCs w:val="18"/>
          <w:b w:val="1"/>
          <w:bCs w:val="1"/>
          <w:color w:val="auto"/>
        </w:rPr>
        <w:t>CONDITIONS TO LEGAL OR COVENANT DEFEASANCE</w:t>
      </w:r>
      <w:r>
        <w:rPr>
          <w:rFonts w:ascii="Arial" w:cs="Arial" w:eastAsia="Arial" w:hAnsi="Arial"/>
          <w:sz w:val="18"/>
          <w:szCs w:val="18"/>
          <w:b w:val="1"/>
          <w:bCs w:val="1"/>
          <w:i w:val="1"/>
          <w:iCs w:val="1"/>
          <w:color w:val="auto"/>
        </w:rPr>
        <w: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exercise either Legal Defeasance or Covenant Defeasance under either Section 12.2 or 12.3 hereof with respect to the Outstanding Securities of a particular series:</w:t>
      </w:r>
    </w:p>
    <w:p>
      <w:pPr>
        <w:spacing w:after="0" w:line="170" w:lineRule="exact"/>
        <w:rPr>
          <w:sz w:val="20"/>
          <w:szCs w:val="20"/>
          <w:color w:val="auto"/>
        </w:rPr>
      </w:pPr>
    </w:p>
    <w:p>
      <w:pPr>
        <w:jc w:val="both"/>
        <w:ind w:firstLine="656"/>
        <w:spacing w:after="0" w:line="275" w:lineRule="auto"/>
        <w:tabs>
          <w:tab w:leader="none" w:pos="912"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in trust, for the benefit of the Securityholders of the Securities of that series, cash in U.S. dollars, Governmental Obligations, or a combination thereof, in such amounts as will be sufficient, in the opinion of a nationally recognized investment bank, appraisal firm, or firm of independent public accountants, to pay the principal of, premium on, if any, and interest on, the Outstanding Securities of such series on the stated date for payment thereof or on the applicable redemption date, as the case may be, and the Company must specify whether the Securities of such series are being defeased to such stated date for payment or to a particular redemption date;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ind w:firstLine="656"/>
        <w:spacing w:after="0" w:line="277" w:lineRule="auto"/>
        <w:tabs>
          <w:tab w:leader="none" w:pos="9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an election under Section 12.2 hereof, the Company must deliver to the Trustee an Opinion of Counsel reasonably acceptable to the Trustee confirming that:</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225" w:lineRule="exact"/>
        <w:rPr>
          <w:rFonts w:ascii="Arial" w:cs="Arial" w:eastAsia="Arial" w:hAnsi="Arial"/>
          <w:sz w:val="18"/>
          <w:szCs w:val="18"/>
          <w:color w:val="auto"/>
        </w:rPr>
      </w:pPr>
    </w:p>
    <w:p>
      <w:pPr>
        <w:ind w:left="1580" w:hanging="276"/>
        <w:spacing w:after="0"/>
        <w:tabs>
          <w:tab w:leader="none" w:pos="15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federal income tax law,</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49" w:lineRule="exact"/>
        <w:rPr>
          <w:sz w:val="20"/>
          <w:szCs w:val="20"/>
          <w:color w:val="auto"/>
        </w:rPr>
      </w:pPr>
    </w:p>
    <w:p>
      <w:pPr>
        <w:jc w:val="both"/>
        <w:ind w:firstLine="656"/>
        <w:spacing w:after="0" w:line="259" w:lineRule="auto"/>
        <w:tabs>
          <w:tab w:leader="none" w:pos="9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an election under Section 12.3 hereof, the Company must deliver to the Trustee an Opinion of Counsel reasonably acceptable to the Trustee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12"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is a party or by which the Company is bound; and</w:t>
      </w:r>
    </w:p>
    <w:p>
      <w:pPr>
        <w:spacing w:after="0" w:line="183" w:lineRule="exact"/>
        <w:rPr>
          <w:rFonts w:ascii="Arial" w:cs="Arial" w:eastAsia="Arial" w:hAnsi="Arial"/>
          <w:sz w:val="18"/>
          <w:szCs w:val="18"/>
          <w:color w:val="auto"/>
        </w:rPr>
      </w:pPr>
    </w:p>
    <w:p>
      <w:pPr>
        <w:ind w:firstLine="656"/>
        <w:spacing w:after="0" w:line="277" w:lineRule="auto"/>
        <w:tabs>
          <w:tab w:leader="none" w:pos="90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66" w:lineRule="exact"/>
        <w:rPr>
          <w:sz w:val="20"/>
          <w:szCs w:val="20"/>
          <w:color w:val="auto"/>
        </w:rPr>
      </w:pPr>
    </w:p>
    <w:p>
      <w:pPr>
        <w:jc w:val="both"/>
        <w:ind w:left="1700" w:hanging="1686"/>
        <w:spacing w:after="0" w:line="282" w:lineRule="auto"/>
        <w:tabs>
          <w:tab w:leader="none" w:pos="1680" w:val="left"/>
        </w:tabs>
        <w:rPr>
          <w:sz w:val="20"/>
          <w:szCs w:val="20"/>
          <w:color w:val="auto"/>
        </w:rPr>
      </w:pPr>
      <w:r>
        <w:rPr>
          <w:rFonts w:ascii="Arial" w:cs="Arial" w:eastAsia="Arial" w:hAnsi="Arial"/>
          <w:sz w:val="18"/>
          <w:szCs w:val="18"/>
          <w:b w:val="1"/>
          <w:bCs w:val="1"/>
          <w:color w:val="auto"/>
        </w:rPr>
        <w:t>SECTION 12.5</w:t>
      </w:r>
      <w:r>
        <w:rPr>
          <w:sz w:val="20"/>
          <w:szCs w:val="20"/>
          <w:color w:val="auto"/>
        </w:rPr>
        <w:tab/>
      </w:r>
      <w:r>
        <w:rPr>
          <w:rFonts w:ascii="Arial" w:cs="Arial" w:eastAsia="Arial" w:hAnsi="Arial"/>
          <w:sz w:val="18"/>
          <w:szCs w:val="18"/>
          <w:b w:val="1"/>
          <w:bCs w:val="1"/>
          <w:color w:val="auto"/>
        </w:rPr>
        <w:t>DEPOSITED MONEY AND GOVERNMENT SECURITIES TO BE HELD IN TRUST; OTHER MISCELLANEOUS PROVISIONS</w:t>
      </w:r>
      <w:r>
        <w:rPr>
          <w:rFonts w:ascii="Arial" w:cs="Arial" w:eastAsia="Arial" w:hAnsi="Arial"/>
          <w:sz w:val="18"/>
          <w:szCs w:val="18"/>
          <w:b w:val="1"/>
          <w:bCs w:val="1"/>
          <w:i w:val="1"/>
          <w:iCs w:val="1"/>
          <w:color w:val="auto"/>
        </w:rPr>
        <w:t>.</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Subject to Section 12.6 hereof, all cash and Governmental Obligations (including the proceeds thereof) deposited with the Trustee pursuant to Section 12.4 hereof in respect of the Outstanding Securities of a particular series shall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if any, and interest, but such money need not be segregated from other funds except to the extent required by law.</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will pay and indemnify the Trustee against any tax, fee or other charge imposed on or assessed against the cash or Governmental Obligations deposited pursuant to Section 12.4 hereof or the principal and interest received in respect thereof other than any such tax, fee or other charge which by law is for the account of the holders of the Outstanding Securities of the applicable series.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Notwithstanding anything in this Article XII to the contrary, the Trustee shall deliver or pay to the Company from time to time upon Company Request any cash or Governmental Obligations held by it as provided in Section 12.4 hereof which, in the opinion of a nationally recognized firm of independent public accountants expressed in a written certification thereof delivered to the Trustee (which may be the opinion delivered under Section 12.4(1) hereof), are in excess of the amount thereof that would then be required to be deposited to effect an equivalent Legal Defeasance or Covenant Defeasance.</w:t>
      </w:r>
    </w:p>
    <w:p>
      <w:pPr>
        <w:spacing w:after="0" w:line="15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12.6</w:t>
      </w:r>
      <w:r>
        <w:rPr>
          <w:sz w:val="20"/>
          <w:szCs w:val="20"/>
          <w:color w:val="auto"/>
        </w:rPr>
        <w:tab/>
      </w:r>
      <w:r>
        <w:rPr>
          <w:rFonts w:ascii="Arial" w:cs="Arial" w:eastAsia="Arial" w:hAnsi="Arial"/>
          <w:sz w:val="17"/>
          <w:szCs w:val="17"/>
          <w:b w:val="1"/>
          <w:bCs w:val="1"/>
          <w:color w:val="auto"/>
        </w:rPr>
        <w:t>REPAYMENT TO COMPANY</w:t>
      </w:r>
      <w:r>
        <w:rPr>
          <w:rFonts w:ascii="Arial" w:cs="Arial" w:eastAsia="Arial" w:hAnsi="Arial"/>
          <w:sz w:val="17"/>
          <w:szCs w:val="17"/>
          <w:b w:val="1"/>
          <w:bCs w:val="1"/>
          <w:i w:val="1"/>
          <w:iCs w:val="1"/>
          <w:color w:val="auto"/>
        </w:rPr>
        <w:t>.</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Any money deposited with the Trustee or any Paying Agent, or then held by the Company, in trust for the payment of the principal of, premium on, if any, or interest on any Security and remaining unclaimed for two years after such principal, premium, if any, or interest, has become due and payable shall, unless otherwise required by mandatory provisions of applicable escheat or abandoned or unclaimed property law, be paid to the Company on its request or (if then held by the Company) will be discharged from such trust; and the holder of such Security will thereafter, as an unsecured general creditor,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Trustee or such Paying Agent, before being required to make any such repayment, may give written notice to the holder of such Security, at such holder’s address as it appears upon the Security Register, that such money remains unclaimed and that, after a date specified therein, which will not be less than 30 days from the date of such notification, any unclaimed balance of such money then remaining will, unless otherwise required by mandatory provisions of applicable escheat or abandoned or unclaimed property law, be repaid to the Company.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spacing w:after="0"/>
        <w:tabs>
          <w:tab w:leader="none" w:pos="1680" w:val="left"/>
        </w:tabs>
        <w:rPr>
          <w:sz w:val="20"/>
          <w:szCs w:val="20"/>
          <w:color w:val="auto"/>
        </w:rPr>
      </w:pPr>
      <w:r>
        <w:rPr>
          <w:rFonts w:ascii="Arial" w:cs="Arial" w:eastAsia="Arial" w:hAnsi="Arial"/>
          <w:sz w:val="18"/>
          <w:szCs w:val="18"/>
          <w:b w:val="1"/>
          <w:bCs w:val="1"/>
          <w:color w:val="auto"/>
        </w:rPr>
        <w:t>SECTION 12.7</w:t>
      </w:r>
      <w:r>
        <w:rPr>
          <w:sz w:val="20"/>
          <w:szCs w:val="20"/>
          <w:color w:val="auto"/>
        </w:rPr>
        <w:tab/>
      </w:r>
      <w:r>
        <w:rPr>
          <w:rFonts w:ascii="Arial" w:cs="Arial" w:eastAsia="Arial" w:hAnsi="Arial"/>
          <w:sz w:val="17"/>
          <w:szCs w:val="17"/>
          <w:b w:val="1"/>
          <w:bCs w:val="1"/>
          <w:color w:val="auto"/>
        </w:rPr>
        <w:t>REINSTATEMENT.</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If the Trustee or Paying Agent is unable to apply any cash or Governmental Obligations in accordance with Section 12.2 or 12.3 hereof, as the case may be, by reason of any order or judgment of any court or governmental authority enjoining, restraining or otherwise prohibiting such application, then the Company’s obligations under this Indenture and the Securities of the particular series shall be revived and reinstated as though no deposit had occurred pursuant to Section 12.2 or 12.3 hereof until such time as the Trustee or Paying Agent is permitted to apply all such cash or Governmental Obligations in accordance with Section 12.2 or 12.3 hereof,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on, if any, or interest on, any Security of the particular series following the reinstatement of its obligations, the Company shall be subrogated to the rights of the holders of such Securities to receive such payment from the cash or Governmental Obligations held by the Trustee or Paying Agent.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 OF INCORPORATORS,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AND DIRECTORS</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13.1</w:t>
      </w:r>
      <w:r>
        <w:rPr>
          <w:sz w:val="20"/>
          <w:szCs w:val="20"/>
          <w:color w:val="auto"/>
        </w:rPr>
        <w:tab/>
      </w:r>
      <w:r>
        <w:rPr>
          <w:rFonts w:ascii="Arial" w:cs="Arial" w:eastAsia="Arial" w:hAnsi="Arial"/>
          <w:sz w:val="17"/>
          <w:szCs w:val="17"/>
          <w:b w:val="1"/>
          <w:bCs w:val="1"/>
          <w:color w:val="auto"/>
        </w:rPr>
        <w:t>NO RECOURSE.</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14.1</w:t>
      </w:r>
      <w:r>
        <w:rPr>
          <w:sz w:val="20"/>
          <w:szCs w:val="20"/>
          <w:color w:val="auto"/>
        </w:rPr>
        <w:tab/>
      </w:r>
      <w:r>
        <w:rPr>
          <w:rFonts w:ascii="Arial" w:cs="Arial" w:eastAsia="Arial" w:hAnsi="Arial"/>
          <w:sz w:val="17"/>
          <w:szCs w:val="17"/>
          <w:b w:val="1"/>
          <w:bCs w:val="1"/>
          <w:color w:val="auto"/>
        </w:rPr>
        <w:t>EFFECT ON SUCCESSORS AND ASSIGNS.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 All the covenants, stipulations, promises and agreements in this Indenture made by or on behalf of the Trustee shall bind its successors and assigns, whether so expressed or not.</w:t>
      </w:r>
    </w:p>
    <w:p>
      <w:pPr>
        <w:spacing w:after="0" w:line="18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14.2</w:t>
      </w:r>
      <w:r>
        <w:rPr>
          <w:sz w:val="20"/>
          <w:szCs w:val="20"/>
          <w:color w:val="auto"/>
        </w:rPr>
        <w:tab/>
      </w:r>
      <w:r>
        <w:rPr>
          <w:rFonts w:ascii="Arial" w:cs="Arial" w:eastAsia="Arial" w:hAnsi="Arial"/>
          <w:sz w:val="17"/>
          <w:szCs w:val="17"/>
          <w:b w:val="1"/>
          <w:bCs w:val="1"/>
          <w:color w:val="auto"/>
        </w:rPr>
        <w:t>ACTIONS BY SUCCESSOR.</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14.3</w:t>
      </w:r>
      <w:r>
        <w:rPr>
          <w:sz w:val="20"/>
          <w:szCs w:val="20"/>
          <w:color w:val="auto"/>
        </w:rPr>
        <w:tab/>
      </w:r>
      <w:r>
        <w:rPr>
          <w:rFonts w:ascii="Arial" w:cs="Arial" w:eastAsia="Arial" w:hAnsi="Arial"/>
          <w:sz w:val="17"/>
          <w:szCs w:val="17"/>
          <w:b w:val="1"/>
          <w:bCs w:val="1"/>
          <w:color w:val="auto"/>
        </w:rPr>
        <w:t>SURRENDER OF COMPANY POWERS.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42"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14.4</w:t>
      </w:r>
      <w:r>
        <w:rPr>
          <w:sz w:val="20"/>
          <w:szCs w:val="20"/>
          <w:color w:val="auto"/>
        </w:rPr>
        <w:tab/>
      </w:r>
      <w:r>
        <w:rPr>
          <w:rFonts w:ascii="Arial" w:cs="Arial" w:eastAsia="Arial" w:hAnsi="Arial"/>
          <w:sz w:val="18"/>
          <w:szCs w:val="18"/>
          <w:b w:val="1"/>
          <w:bCs w:val="1"/>
          <w:color w:val="auto"/>
        </w:rPr>
        <w:t>NOTICES.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as follows: Arcturus Therapeutics Holdings Inc., 10628 Science Center Drive, Suite 250, San Diego, California 92121, Attention: Secretary.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tabs>
          <w:tab w:leader="none" w:pos="1680" w:val="left"/>
        </w:tabs>
        <w:rPr>
          <w:sz w:val="20"/>
          <w:szCs w:val="20"/>
          <w:color w:val="auto"/>
        </w:rPr>
      </w:pPr>
      <w:r>
        <w:rPr>
          <w:rFonts w:ascii="Arial" w:cs="Arial" w:eastAsia="Arial" w:hAnsi="Arial"/>
          <w:sz w:val="18"/>
          <w:szCs w:val="18"/>
          <w:b w:val="1"/>
          <w:bCs w:val="1"/>
          <w:color w:val="auto"/>
        </w:rPr>
        <w:t>SECTION 14.5</w:t>
      </w:r>
      <w:r>
        <w:rPr>
          <w:sz w:val="20"/>
          <w:szCs w:val="20"/>
          <w:color w:val="auto"/>
        </w:rPr>
        <w:tab/>
      </w:r>
      <w:r>
        <w:rPr>
          <w:rFonts w:ascii="Arial" w:cs="Arial" w:eastAsia="Arial" w:hAnsi="Arial"/>
          <w:sz w:val="18"/>
          <w:szCs w:val="18"/>
          <w:b w:val="1"/>
          <w:bCs w:val="1"/>
          <w:color w:val="auto"/>
        </w:rPr>
        <w:t>GOVERNING LAW/WAIVER OF JURY TRIAL.</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 EACH PARTY HERETO HEREBY WAIVES, TO THE FULLEST EXTENT PERMITTED BY APPLICABLE LAW, ANY RIGHT IT MAY HAVE TO A TRIAL BY JURY IN RESPECT OF ANY LITIGATION DIRECTLY OR INDIRECTLY ARISING OUT OF, UNDER OR IN CONNECTION WITH THIS AGREEMENT.</w:t>
      </w:r>
    </w:p>
    <w:p>
      <w:pPr>
        <w:spacing w:after="0" w:line="167"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14.6</w:t>
      </w:r>
      <w:r>
        <w:rPr>
          <w:sz w:val="20"/>
          <w:szCs w:val="20"/>
          <w:color w:val="auto"/>
        </w:rPr>
        <w:tab/>
      </w:r>
      <w:r>
        <w:rPr>
          <w:rFonts w:ascii="Arial" w:cs="Arial" w:eastAsia="Arial" w:hAnsi="Arial"/>
          <w:sz w:val="17"/>
          <w:szCs w:val="17"/>
          <w:b w:val="1"/>
          <w:bCs w:val="1"/>
          <w:color w:val="auto"/>
        </w:rPr>
        <w:t>TREATMENT OF SECURITIES AS DEBT.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14.7</w:t>
      </w:r>
      <w:r>
        <w:rPr>
          <w:sz w:val="20"/>
          <w:szCs w:val="20"/>
          <w:color w:val="auto"/>
        </w:rPr>
        <w:tab/>
      </w:r>
      <w:r>
        <w:rPr>
          <w:rFonts w:ascii="Arial" w:cs="Arial" w:eastAsia="Arial" w:hAnsi="Arial"/>
          <w:sz w:val="18"/>
          <w:szCs w:val="18"/>
          <w:b w:val="1"/>
          <w:bCs w:val="1"/>
          <w:color w:val="auto"/>
        </w:rPr>
        <w:t>COMPLIANCE CERTIFICATES AND OPINIONS.</w:t>
      </w:r>
    </w:p>
    <w:p>
      <w:pPr>
        <w:spacing w:after="0" w:line="256" w:lineRule="exact"/>
        <w:rPr>
          <w:sz w:val="20"/>
          <w:szCs w:val="20"/>
          <w:color w:val="auto"/>
        </w:rPr>
      </w:pPr>
    </w:p>
    <w:p>
      <w:pPr>
        <w:jc w:val="both"/>
        <w:ind w:firstLine="656"/>
        <w:spacing w:after="0" w:line="275" w:lineRule="auto"/>
        <w:tabs>
          <w:tab w:leader="none" w:pos="896"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76" w:lineRule="exact"/>
        <w:rPr>
          <w:rFonts w:ascii="Arial" w:cs="Arial" w:eastAsia="Arial" w:hAnsi="Arial"/>
          <w:sz w:val="17"/>
          <w:szCs w:val="17"/>
          <w:color w:val="auto"/>
        </w:rPr>
      </w:pPr>
    </w:p>
    <w:p>
      <w:pPr>
        <w:jc w:val="both"/>
        <w:ind w:firstLine="656"/>
        <w:spacing w:after="0" w:line="273" w:lineRule="auto"/>
        <w:tabs>
          <w:tab w:leader="none" w:pos="908"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74"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14.8</w:t>
      </w:r>
      <w:r>
        <w:rPr>
          <w:sz w:val="20"/>
          <w:szCs w:val="20"/>
          <w:color w:val="auto"/>
        </w:rPr>
        <w:tab/>
      </w:r>
      <w:r>
        <w:rPr>
          <w:rFonts w:ascii="Arial" w:cs="Arial" w:eastAsia="Arial" w:hAnsi="Arial"/>
          <w:sz w:val="17"/>
          <w:szCs w:val="17"/>
          <w:b w:val="1"/>
          <w:bCs w:val="1"/>
          <w:color w:val="auto"/>
        </w:rPr>
        <w:t>PAYMENTS ON BUSINESS DAYS.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Except as provided pursuant to Section 2.1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5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14.9</w:t>
      </w:r>
      <w:r>
        <w:rPr>
          <w:sz w:val="20"/>
          <w:szCs w:val="20"/>
          <w:color w:val="auto"/>
        </w:rPr>
        <w:tab/>
      </w:r>
      <w:r>
        <w:rPr>
          <w:rFonts w:ascii="Arial" w:cs="Arial" w:eastAsia="Arial" w:hAnsi="Arial"/>
          <w:sz w:val="18"/>
          <w:szCs w:val="18"/>
          <w:b w:val="1"/>
          <w:bCs w:val="1"/>
          <w:color w:val="auto"/>
        </w:rPr>
        <w:t>CONFLICT WITH TRUST INDENTURE ACT.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any provision of the Trust Indenture Act, such Trust Indenture Act provision shall control.</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14.10</w:t>
      </w:r>
      <w:r>
        <w:rPr>
          <w:sz w:val="20"/>
          <w:szCs w:val="20"/>
          <w:color w:val="auto"/>
        </w:rPr>
        <w:tab/>
      </w:r>
      <w:r>
        <w:rPr>
          <w:rFonts w:ascii="Arial" w:cs="Arial" w:eastAsia="Arial" w:hAnsi="Arial"/>
          <w:sz w:val="17"/>
          <w:szCs w:val="17"/>
          <w:b w:val="1"/>
          <w:bCs w:val="1"/>
          <w:color w:val="auto"/>
        </w:rPr>
        <w:t>COUNTERPARTS.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deemed an original, but such counterparts shall together constitute but one and the same instrument.</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14.11</w:t>
      </w:r>
      <w:r>
        <w:rPr>
          <w:sz w:val="20"/>
          <w:szCs w:val="20"/>
          <w:color w:val="auto"/>
        </w:rPr>
        <w:tab/>
      </w:r>
      <w:r>
        <w:rPr>
          <w:rFonts w:ascii="Arial" w:cs="Arial" w:eastAsia="Arial" w:hAnsi="Arial"/>
          <w:sz w:val="18"/>
          <w:szCs w:val="18"/>
          <w:b w:val="1"/>
          <w:bCs w:val="1"/>
          <w:color w:val="auto"/>
        </w:rPr>
        <w:t>SEVERABILITY.</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14.12</w:t>
      </w:r>
      <w:r>
        <w:rPr>
          <w:sz w:val="20"/>
          <w:szCs w:val="20"/>
          <w:color w:val="auto"/>
        </w:rPr>
        <w:tab/>
      </w:r>
      <w:r>
        <w:rPr>
          <w:rFonts w:ascii="Arial" w:cs="Arial" w:eastAsia="Arial" w:hAnsi="Arial"/>
          <w:sz w:val="18"/>
          <w:szCs w:val="18"/>
          <w:b w:val="1"/>
          <w:bCs w:val="1"/>
          <w:color w:val="auto"/>
        </w:rPr>
        <w:t>COMPLIANCE CERTIFICATES.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shall deliver to the Trustee, within 120 days after the end of each fiscal year during which any Securities of any series were outstanding, an Officer’s Certificate stating whether or not the signers know of any Default or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14.12, such compliance shall be determined without regard to any period of grace or requirement of notice provided under this Indenture. If any of the officers of the Company signing such certificate has knowledge of such a Default or Event of Default, the certificate shall describe any such Default or Event of Default and its status.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tabs>
          <w:tab w:leader="none" w:pos="1680" w:val="left"/>
        </w:tabs>
        <w:rPr>
          <w:sz w:val="20"/>
          <w:szCs w:val="20"/>
          <w:color w:val="auto"/>
        </w:rPr>
      </w:pPr>
      <w:r>
        <w:rPr>
          <w:rFonts w:ascii="Arial" w:cs="Arial" w:eastAsia="Arial" w:hAnsi="Arial"/>
          <w:sz w:val="18"/>
          <w:szCs w:val="18"/>
          <w:b w:val="1"/>
          <w:bCs w:val="1"/>
          <w:color w:val="auto"/>
        </w:rPr>
        <w:t>SECTION 14.13</w:t>
      </w:r>
      <w:r>
        <w:rPr>
          <w:sz w:val="20"/>
          <w:szCs w:val="20"/>
          <w:color w:val="auto"/>
        </w:rPr>
        <w:tab/>
      </w:r>
      <w:r>
        <w:rPr>
          <w:rFonts w:ascii="Arial" w:cs="Arial" w:eastAsia="Arial" w:hAnsi="Arial"/>
          <w:sz w:val="17"/>
          <w:szCs w:val="17"/>
          <w:b w:val="1"/>
          <w:bCs w:val="1"/>
          <w:color w:val="auto"/>
        </w:rPr>
        <w:t>USA PATRIOT ACT</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parties hereto acknowledge that, in accordance with Section 326 of the USA Patriot Act (Title III of Pub. L. 107-56 (signed into law October 26, 2001)) (as amended, modified or supplemented from time to time, the “</w:t>
      </w:r>
      <w:r>
        <w:rPr>
          <w:rFonts w:ascii="Arial" w:cs="Arial" w:eastAsia="Arial" w:hAnsi="Arial"/>
          <w:sz w:val="17"/>
          <w:szCs w:val="17"/>
          <w:b w:val="1"/>
          <w:bCs w:val="1"/>
          <w:color w:val="auto"/>
        </w:rPr>
        <w:t>USA Patriot Act</w:t>
      </w:r>
      <w:r>
        <w:rPr>
          <w:rFonts w:ascii="Arial" w:cs="Arial" w:eastAsia="Arial" w:hAnsi="Arial"/>
          <w:sz w:val="17"/>
          <w:szCs w:val="17"/>
          <w:color w:val="auto"/>
        </w:rPr>
        <w:t>”), the Trustee, like all financial institutions, is required to obtain, verify, and record information that identifies each Person or legal entity that opens an account. The parties to this Indenture agree that they will provide the Trustee with such information as the Trustee may request in order for the Trustee to satisfy the requirements of the USA Patriot Act.</w:t>
      </w:r>
    </w:p>
    <w:p>
      <w:pPr>
        <w:spacing w:after="0" w:line="167"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14.14</w:t>
      </w:r>
      <w:r>
        <w:rPr>
          <w:sz w:val="20"/>
          <w:szCs w:val="20"/>
          <w:color w:val="auto"/>
        </w:rPr>
        <w:tab/>
      </w:r>
      <w:r>
        <w:rPr>
          <w:rFonts w:ascii="Arial" w:cs="Arial" w:eastAsia="Arial" w:hAnsi="Arial"/>
          <w:sz w:val="18"/>
          <w:szCs w:val="18"/>
          <w:b w:val="1"/>
          <w:bCs w:val="1"/>
          <w:color w:val="auto"/>
        </w:rPr>
        <w:t>CONSENT TO JURISDICTION AND SERVICE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the fullest extent permitted by applicable law, each party hereby irrevocably submits to the non-exclusive jurisdiction of any Federal or State court located in the Borough of Manhattan in The City of New York, New York in any suit, action or proceeding based on or arising out of or relating to this Indenture or any Securities and irrevocably agrees that all claims in respect of such suit or proceeding may be determined in any such court. Each party irrevocably waives, to the fullest extent permitted by law, any objection which it may have to the laying of the venue of any such suit, action or proceeding brought in an inconvenient forum. Each party agrees that final judgment in any such suit, action or proceeding brought in such a court shall be conclusive and binding upon such party, and may be enforced in any courts to the jurisdiction of which such party is subject by a suit upon such judgment, provided, that service of process is effected upon such party in the manner specified herein or as otherwise permitted by law.</w:t>
      </w:r>
    </w:p>
    <w:p>
      <w:pPr>
        <w:spacing w:after="0" w:line="17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SECTION 14.15</w:t>
      </w:r>
      <w:r>
        <w:rPr>
          <w:sz w:val="20"/>
          <w:szCs w:val="20"/>
          <w:color w:val="auto"/>
        </w:rPr>
        <w:tab/>
      </w:r>
      <w:r>
        <w:rPr>
          <w:rFonts w:ascii="Arial" w:cs="Arial" w:eastAsia="Arial" w:hAnsi="Arial"/>
          <w:sz w:val="17"/>
          <w:szCs w:val="17"/>
          <w:b w:val="1"/>
          <w:bCs w:val="1"/>
          <w:color w:val="auto"/>
        </w:rPr>
        <w:t>FORCE MAJEURE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follows</w:t>
      </w:r>
      <w:r>
        <w:rPr>
          <w:rFonts w:ascii="Arial" w:cs="Arial" w:eastAsia="Arial" w:hAnsi="Arial"/>
          <w:sz w:val="18"/>
          <w:szCs w:val="18"/>
          <w:color w:val="auto"/>
        </w:rPr>
        <w: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t>IN WITNESS WHEREOF, the parties hereto have caused this Indenture to be duly executed all as of the day and year first above written.</w:t>
      </w:r>
    </w:p>
    <w:p>
      <w:pPr>
        <w:spacing w:after="0" w:line="24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ARCTURUS THERAPEUTICS HOLDINGS INC.</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1375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as Trustee</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1375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900"/>
          </w:cols>
          <w:pgMar w:left="980" w:top="341" w:right="101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-121920</wp:posOffset>
            </wp:positionV>
            <wp:extent cx="1183005" cy="2482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83005" cy="24828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United States</w:t>
      </w:r>
    </w:p>
    <w:p>
      <w:pPr>
        <w:spacing w:after="0" w:line="224" w:lineRule="exact"/>
        <w:rPr>
          <w:sz w:val="20"/>
          <w:szCs w:val="20"/>
          <w:color w:val="auto"/>
        </w:rPr>
      </w:pPr>
    </w:p>
    <w:p>
      <w:pPr>
        <w:jc w:val="right"/>
        <w:spacing w:after="0" w:line="219" w:lineRule="exact"/>
        <w:rPr>
          <w:sz w:val="20"/>
          <w:szCs w:val="20"/>
          <w:color w:val="auto"/>
        </w:rPr>
      </w:pPr>
      <w:r>
        <w:rPr>
          <w:rFonts w:ascii="SimSun" w:cs="SimSun" w:eastAsia="SimSun" w:hAnsi="SimSun"/>
          <w:sz w:val="18"/>
          <w:szCs w:val="18"/>
          <w:color w:val="6E2D91"/>
        </w:rPr>
        <w:t>大 成</w:t>
      </w:r>
      <w:r>
        <w:rPr>
          <w:rFonts w:ascii="Arial" w:cs="Arial" w:eastAsia="Arial" w:hAnsi="Arial"/>
          <w:sz w:val="18"/>
          <w:szCs w:val="18"/>
          <w:color w:val="6E2D91"/>
        </w:rPr>
        <w:t xml:space="preserve"> Salans FMC SNR Denton McKenna Long</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May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Arcturus Therapeutics Holdings Inc.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acted as counsel to Arcturus Therapeutics Holdings Inc., a Delaware corporation (the “Company”), in connection with the preparation and filing of a Registration Statement on Form S-3 (the “Registration Statement”) with the Securities and Exchange Commission (the “Commission”) under the Securities Act of 1933, as amended (the “Securities Act”), relating to the registration under the Securities Act and the proposed issuance and sale from time to time by the Company of up to an aggregate initial offering amount of $200,000,000 of the following securities (each a “Company Security” and collectively, or in any combination, the “Company Securities”):</w:t>
      </w:r>
    </w:p>
    <w:p>
      <w:pPr>
        <w:spacing w:after="0" w:line="188" w:lineRule="exact"/>
        <w:rPr>
          <w:sz w:val="20"/>
          <w:szCs w:val="20"/>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of the Company’s common stock, no par value per share (the “Common Stock”);</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one or more classes or series of shares of the Company’s preferred stock, no par value per share (the “Preferred Stock”);</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one or more series of debt securities, which may be senior or subordinated debt or senior or subordinated convertible debt (the “Debt Securities”);</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warrants representing the rights to purchase shares of Common Stock, Preferred Stock, or Debt Securities (the “Warrants”);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units comprised of one or more of the Company Securities in one or more series and in any combination (the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opinion letter is being furnished to the Company in accordance with the requirements of Item 601(b)(5) of Regulation S-K.</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Securities may be issued and sold by the Company from time to time on a delayed or continuous basis pursuant to applicable provisions of Rule 415 under the Securities Act, in amounts, at prices and on terms to be determined in light of market conditions at the time of sale, and as set forth in the Registration Statement, any amendment thereto, the prospectus contained therein (the “Base Prospectus”) and any supplements to the Prospectus (each, together with the Base Prospectus, a “Prospectus”). This opinion letter is limited to the laws, including the rules and regulations, as in effect on the date hereof. We are basing this opinion on our understanding that, prior to issuing any Company Securities in connection with the Registration Statement, the Company will advise us in writing of the terms thereof and other information material thereto, will afford us an opportunity to review the operative documents pursuant to which such Company Securities are to be issued (including the Registration Statement, the Prospectus and the applicable supplement to the Prospectus, as then in effect) and will file such supplement or amendment to this opinion letter (if any) as we may reasonably consider necessary or appropriate with respect to such Company Securities. However, we undertake no responsibility to monitor the Company’s future compliance with applicable laws, rules or regulations of the Commission or other governmental body.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rendering this opinion, we have examined originals, certified copies or copies otherwise identified as being true copies of the following:</w:t>
      </w:r>
    </w:p>
    <w:p>
      <w:pPr>
        <w:spacing w:after="0" w:line="248"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Certificate of Incorporation of the Company (the “Certificate of Incorporation”);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Bylaws of the Company, as amended to date (the “Bylaws”);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corporate proceedings of the Company relating to its proposed issuance of the Company Securities;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other instruments and documents as we have deemed relevant or necessary in connection with our opinions set forth herein.</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Unless otherwise provided in any Prospectus relating to a particular series of Debt Securities, the Debt Securities will be issued pursuant to an indenture (the “Indenture”) between the Company and a trustee to be named in the applicable supplement to the Prospectus (the “Trustee”). Any Debt Securities may be convertible into shares of Common Stock or other Company Securities. The Company Securities are to be sold pursuant to a purchase, underwriting or similar agreement in substantially the form to be filed under a Current Report on Form 8-K. The Warrants will be issued under one or more warrant agreements (each, a “Warrant Agreement”). The Units will be issued under one or more unit purchase agreements (each a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-121920</wp:posOffset>
            </wp:positionV>
            <wp:extent cx="1183005" cy="2489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83005" cy="24892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United States</w:t>
      </w:r>
    </w:p>
    <w:p>
      <w:pPr>
        <w:spacing w:after="0" w:line="224" w:lineRule="exact"/>
        <w:rPr>
          <w:sz w:val="20"/>
          <w:szCs w:val="20"/>
          <w:color w:val="auto"/>
        </w:rPr>
      </w:pPr>
    </w:p>
    <w:p>
      <w:pPr>
        <w:jc w:val="right"/>
        <w:spacing w:after="0" w:line="219" w:lineRule="exact"/>
        <w:rPr>
          <w:sz w:val="20"/>
          <w:szCs w:val="20"/>
          <w:color w:val="auto"/>
        </w:rPr>
      </w:pPr>
      <w:r>
        <w:rPr>
          <w:rFonts w:ascii="SimSun" w:cs="SimSun" w:eastAsia="SimSun" w:hAnsi="SimSun"/>
          <w:sz w:val="18"/>
          <w:szCs w:val="18"/>
          <w:color w:val="6E2D91"/>
        </w:rPr>
        <w:t>大 成</w:t>
      </w:r>
      <w:r>
        <w:rPr>
          <w:rFonts w:ascii="Arial" w:cs="Arial" w:eastAsia="Arial" w:hAnsi="Arial"/>
          <w:sz w:val="18"/>
          <w:szCs w:val="18"/>
          <w:color w:val="6E2D91"/>
        </w:rPr>
        <w:t xml:space="preserve"> Salans FMC SNR Denton McKenna Long</w:t>
      </w:r>
    </w:p>
    <w:p>
      <w:pPr>
        <w:spacing w:after="0" w:line="12" w:lineRule="exact"/>
        <w:rPr>
          <w:sz w:val="20"/>
          <w:szCs w:val="20"/>
          <w:color w:val="auto"/>
        </w:rPr>
      </w:pPr>
    </w:p>
    <w:p>
      <w:pPr>
        <w:ind w:left="10320"/>
        <w:spacing w:after="0"/>
        <w:rPr>
          <w:sz w:val="20"/>
          <w:szCs w:val="20"/>
          <w:color w:val="auto"/>
        </w:rPr>
      </w:pPr>
      <w:r>
        <w:rPr>
          <w:rFonts w:ascii="Arial" w:cs="Arial" w:eastAsia="Arial" w:hAnsi="Arial"/>
          <w:sz w:val="16"/>
          <w:szCs w:val="16"/>
          <w:color w:val="auto"/>
        </w:rPr>
        <w:t>dentons.com</w:t>
      </w:r>
    </w:p>
    <w:p>
      <w:pPr>
        <w:spacing w:after="0" w:line="27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making the aforesaid examinations, we have assumed the genuineness and authenticity of all documents examined by us and all signatures therein and the conformity to originals of all copies of all documents examined by us. We have also assumed that the corporate records furnished to us by the Company include all corporate proceedings taken by it to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Based on and subject to the assumptions, qualifications and limitations set forth herein, we are of the opinion that:</w:t>
      </w:r>
    </w:p>
    <w:p>
      <w:pPr>
        <w:spacing w:after="0" w:line="225" w:lineRule="exact"/>
        <w:rPr>
          <w:sz w:val="20"/>
          <w:szCs w:val="20"/>
          <w:color w:val="auto"/>
        </w:rPr>
      </w:pPr>
    </w:p>
    <w:p>
      <w:pPr>
        <w:ind w:right="20" w:firstLine="8"/>
        <w:spacing w:after="0" w:line="253"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With respect to shares of Common Stock, when all necessary corporate action of the Company has been taken to approve an issuance of shares of Common Stock, and certificates representing the shares of Common Stock have been duly executed, countersigned, registered and delivered (or non-certificated shares of Common Stock shall have been properly issued), either (i) in accordance with the applicable definitive purchase, underwriting or similar agreement approved by the Board of Directors of the Company (the “Board of Directors”), upon payment of the consideration therefor (which consideration shall not be less than the par value of the Common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therefor set forth in the applicable agreement and approved by the Board of Directors, which consideration shall not be less than the par value of the Common Stock, such shares of Common Stock, including the shares of Common Stock that form a part of any Units, will be validly issued, fully paid and non-assessable.</w:t>
      </w:r>
    </w:p>
    <w:p>
      <w:pPr>
        <w:spacing w:after="0" w:line="194" w:lineRule="exact"/>
        <w:rPr>
          <w:rFonts w:ascii="Arial" w:cs="Arial" w:eastAsia="Arial" w:hAnsi="Arial"/>
          <w:sz w:val="18"/>
          <w:szCs w:val="18"/>
          <w:color w:val="auto"/>
        </w:rPr>
      </w:pPr>
    </w:p>
    <w:p>
      <w:pPr>
        <w:ind w:right="20" w:firstLine="8"/>
        <w:spacing w:after="0" w:line="269" w:lineRule="auto"/>
        <w:tabs>
          <w:tab w:leader="none" w:pos="2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With respect to shares of any series of Preferred Stock, when all necessary corporate action of the Company has been taken to approve an issuance of shares of Preferred Stock and the terms of the shares of such series, including the adoption of a certificate of designation or amendment to the Certificate of Incorporation fixing and determining the terms of such Preferred Stock conforming to the Delaware General Corporation Law, the filing of a certificate or amendment, as applicable, with the Secretary of State of the State of Delaware, the payment in full of any filing fees attendant thereto, and the due reservation of any Common Stock and Preferred Stock for issuance, and certificates representing the shares of the series of Preferred Stock have been duly executed, countersigned, registered and delivered, either (i) in accordance with the applicable definitive purchase, underwriting or similar agreement approved by the Board of Directors, upon payment of the consideration therefor (which consideration shall not be less than the par value of the Preferred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approved by the Board of Directors, which consideration shall not be less than the par value of the Preferred Stock, the shares of such series of Preferred Stock, including the shares of Preferred Stock that form a part of any Units, will be validly issued, fully paid and non-assessable.</w:t>
      </w:r>
    </w:p>
    <w:p>
      <w:pPr>
        <w:spacing w:after="0" w:line="178" w:lineRule="exact"/>
        <w:rPr>
          <w:rFonts w:ascii="Arial" w:cs="Arial" w:eastAsia="Arial" w:hAnsi="Arial"/>
          <w:sz w:val="17"/>
          <w:szCs w:val="17"/>
          <w:color w:val="auto"/>
        </w:rPr>
      </w:pPr>
    </w:p>
    <w:p>
      <w:pPr>
        <w:ind w:firstLine="8"/>
        <w:spacing w:after="0" w:line="254"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With respect to any series of Debt Securities, when (a) the Indenture and the applicable supplement, if any, to the Indenture have been duly authorized and validly executed and delivered by the Company and any Trustee named in the Prospectus relating to such series, (b) the Indenture, as then and theretofore amended or supplemented, has been duly qualified under the Trust Indenture Act of 1939, as amended (the “TIA”), (c) the Company has taken all necessary corporate action to authorize and approve the issuance and terms of such series of Debt Securities, (d) the terms of such Debt Securities and of their issuance and sale have been duly established in conformity with the applicable Indenture, and (e) such Debt Securities have been duly executed, authenticated, issued and delivered in accordance with the provisions of the Indenture and the applicable supplement, the Debt Securities of such series, including the Debt Securities that form a part of any Units, will constitute valid and binding obligations of the Company, enforceable against the Company in accordance with their terms.</w:t>
      </w:r>
    </w:p>
    <w:p>
      <w:pPr>
        <w:spacing w:after="0" w:line="191" w:lineRule="exact"/>
        <w:rPr>
          <w:rFonts w:ascii="Arial" w:cs="Arial" w:eastAsia="Arial" w:hAnsi="Arial"/>
          <w:sz w:val="18"/>
          <w:szCs w:val="18"/>
          <w:color w:val="auto"/>
        </w:rPr>
      </w:pPr>
    </w:p>
    <w:p>
      <w:pPr>
        <w:ind w:right="80" w:firstLine="8"/>
        <w:spacing w:after="0" w:line="273" w:lineRule="auto"/>
        <w:tabs>
          <w:tab w:leader="none" w:pos="2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With respect to Warrants to be issued under a Warrant Agreement, when all necessary corporate action of the Company has been taken to approve the issuance and terms of such Warrants, the terms of the offering thereof and related matters, the Warrant Agreement has been duly executed and delivered by the Company, and such Warrants have been duly executed, issued and delivered in accordance with the terms of the Warrant Agreement and the applicable definitive purchase, underwriting or similar agreement approved by the Board of Directors, upon payment (or delivery) of the consideration therefor provided for therein, such Warrants, including the Warrants that form a part of any Units, will constitute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-121920</wp:posOffset>
            </wp:positionV>
            <wp:extent cx="1183005" cy="2489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83005" cy="24892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United States</w:t>
      </w:r>
    </w:p>
    <w:p>
      <w:pPr>
        <w:spacing w:after="0" w:line="224" w:lineRule="exact"/>
        <w:rPr>
          <w:sz w:val="20"/>
          <w:szCs w:val="20"/>
          <w:color w:val="auto"/>
        </w:rPr>
      </w:pPr>
    </w:p>
    <w:p>
      <w:pPr>
        <w:jc w:val="right"/>
        <w:spacing w:after="0" w:line="219" w:lineRule="exact"/>
        <w:rPr>
          <w:sz w:val="20"/>
          <w:szCs w:val="20"/>
          <w:color w:val="auto"/>
        </w:rPr>
      </w:pPr>
      <w:r>
        <w:rPr>
          <w:rFonts w:ascii="SimSun" w:cs="SimSun" w:eastAsia="SimSun" w:hAnsi="SimSun"/>
          <w:sz w:val="18"/>
          <w:szCs w:val="18"/>
          <w:color w:val="6E2D91"/>
        </w:rPr>
        <w:t>大 成</w:t>
      </w:r>
      <w:r>
        <w:rPr>
          <w:rFonts w:ascii="Arial" w:cs="Arial" w:eastAsia="Arial" w:hAnsi="Arial"/>
          <w:sz w:val="18"/>
          <w:szCs w:val="18"/>
          <w:color w:val="6E2D91"/>
        </w:rPr>
        <w:t xml:space="preserve"> Salans FMC SNR Denton McKenna Long</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pacing w:after="0" w:line="251" w:lineRule="exact"/>
        <w:rPr>
          <w:sz w:val="20"/>
          <w:szCs w:val="20"/>
          <w:color w:val="auto"/>
        </w:rPr>
      </w:pPr>
    </w:p>
    <w:p>
      <w:pPr>
        <w:ind w:right="260" w:firstLine="8"/>
        <w:spacing w:after="0" w:line="254"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 respect to the Units, when all necessary corporate action of the Company has been taken to approve and establish the terms of the Units and to authorize and approve the issuance of the Company Securities comprising the Units, the terms of the offering and related matters, the Unit Purchase Agreement has been duly authorized, validly executed and delivered by the parties thereto, and the Units and/or the Company Securities comprising the Units have been duly executed and delivered in accordance with the applicable definitive purchase, underwriting or similar agreement approved by the board of directors of the Company, upon payment of the consideration provided therefor in the definitive purchase, underwriting or similar agreement as applicable and approved by the Board of Directors, which consideration shall not be less than the aggregate par value of any Common Stock and/or Preferred Stock included in the Units, the Units will constitute valid and binding obligations of the Company, enforceable against the Company in accordance with their terms.</w:t>
      </w:r>
    </w:p>
    <w:p>
      <w:pPr>
        <w:spacing w:after="0" w:line="19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Our opinions are subject to the effect of federal and state bankruptcy, insolvency, reorganization, arrangement, moratorium, fraudulent conveyance and other laws relating to or affecting the rights of secured or unsecured creditors generally (or affecting the rights of only creditors of specific types of debtors), with respect to which we express no opinion.</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Our opinions are subject to the effect of general principals of equity, whether applied by a court of law or equity, including, without limitation, concepts of materiality, good faith and fair dealing and upon the availability of injunctive relief or other equitable remedies, and the application of principles of equity (regardless of whether enforcement is considered in proceedings at law or in equity).</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informed us that it intends to issue Company Securities from time to time on a delayed or continuous basis. The opinions set forth above are limited to applicable laws as in effect on the date hereof. Prior to issuing any Company Securities pursuant to the Registration Statement (i) the Company will advise us in writing of the terms thereof, and (ii) the Company will afford us an opportunity to review the documents pursuant to which such Company Securities are to be issued or sold (including the applicable offering documents), and the Company will file such supplement or amendment to this opinion (if any) as we may reasonably consider necessary or appropriate.</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express no opinion as to the laws of any jurisdiction other than (i) the corporate laws of the State of Delaware (including the Delaware General Corporation Law and applicable provisions of the Delaware constitution, but excluding local laws), (ii) with respect to opinion paragraphs 3 through 6, the laws of the State of New York, and (iii) the federal laws of the United States of America.</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hereby consent to the use of our opinion as herein set forth as an exhibit to the Registration Statement and to the use of our name under the caption “Legal Matters” in the prospectus forming a part of the Registration Statement. We do not, by giving such consent, admit that we are within the category of persons whose consent is required under Section 7 of the Act.</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Dentons US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Dentons US LLP</w:t>
      </w:r>
    </w:p>
    <w:p>
      <w:pPr>
        <w:sectPr>
          <w:pgSz w:w="11900" w:h="16838" w:orient="portrait"/>
          <w:cols w:equalWidth="0" w:num="1">
            <w:col w:w="11240"/>
          </w:cols>
          <w:pgMar w:left="320" w:top="34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333333"/>
        </w:rPr>
        <w:t>We consent to the reference to our firm under the caption "Experts" in the Registration Statement (Form S-3) and related Prospectus of Arcturus Therapeutics Holdings Inc. for the registration of common stock, preferred stock, debt securities, warrants and/or units and to the incorporation by reference therein of our reports dated March 16, 2020, with respect to the consolidated financial statements of Arcturus Therapeutics Holdings Inc. and its Subsidiaries, and the effectiveness of internal control over financial reporting of Arcturus Therapeutics Holdings Inc. and its Subsidiaries included in its Annual Report (Form 10-K) for the year ended December 31, 2019, filed with the Securities and Exchange Commission.</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333333"/>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33333"/>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May 8, 2020</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lvl w:ilvl="1">
      <w:lvlJc w:val="left"/>
      <w:lvlText w:val="·"/>
      <w:numFmt w:val="bullet"/>
      <w:start w:val="1"/>
    </w:lvl>
  </w:abstractNum>
  <w:abstractNum w:abstractNumId="6">
    <w:nsid w:val="79A1DEAA"/>
    <w:multiLevelType w:val="hybridMultilevel"/>
    <w:lvl w:ilvl="0">
      <w:lvlJc w:val="left"/>
      <w:lvlText w:val="·"/>
      <w:numFmt w:val="bullet"/>
      <w:start w:val="1"/>
    </w:lvl>
    <w:lvl w:ilvl="1">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1)"/>
      <w:numFmt w:val="decimal"/>
      <w:start w:val="2"/>
    </w:lvl>
  </w:abstractNum>
  <w:abstractNum w:abstractNumId="23">
    <w:nsid w:val="741226BB"/>
    <w:multiLevelType w:val="hybridMultilevel"/>
    <w:lvl w:ilvl="0">
      <w:lvlJc w:val="left"/>
      <w:lvlText w:val="(%1)"/>
      <w:numFmt w:val="lowerRoman"/>
      <w:start w:val="2"/>
    </w:lvl>
  </w:abstractNum>
  <w:abstractNum w:abstractNumId="24">
    <w:nsid w:val="D34B6A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10233C99"/>
    <w:multiLevelType w:val="hybridMultilevel"/>
    <w:lvl w:ilvl="0">
      <w:lvlJc w:val="left"/>
      <w:lvlText w:val="(%1)"/>
      <w:numFmt w:val="lowerRoman"/>
      <w:start w:val="3"/>
    </w:lvl>
  </w:abstractNum>
  <w:abstractNum w:abstractNumId="26">
    <w:nsid w:val="3F6AB60F"/>
    <w:multiLevelType w:val="hybridMultilevel"/>
    <w:lvl w:ilvl="0">
      <w:lvlJc w:val="left"/>
      <w:lvlText w:val="(%1)"/>
      <w:numFmt w:val="decimal"/>
      <w:start w:val="2"/>
    </w:lvl>
    <w:lvl w:ilvl="1">
      <w:lvlJc w:val="left"/>
      <w:lvlText w:val="(%2)"/>
      <w:numFmt w:val="lowerRoman"/>
      <w:start w:val="1"/>
    </w:lvl>
  </w:abstractNum>
  <w:abstractNum w:abstractNumId="27">
    <w:nsid w:val="61574095"/>
    <w:multiLevelType w:val="hybridMultilevel"/>
    <w:lvl w:ilvl="0">
      <w:lvlJc w:val="left"/>
      <w:lvlText w:val="(%1)"/>
      <w:numFmt w:val="lowerLetter"/>
      <w:start w:val="2"/>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1"/>
      <w:numFmt w:val="decimal"/>
      <w:start w:val="1"/>
    </w:lvl>
    <w:lvl w:ilvl="1">
      <w:lvlJc w:val="left"/>
      <w:lvlText w:val="(%2)"/>
      <w:numFmt w:val="lowerLetter"/>
      <w:start w:val="1"/>
    </w:lvl>
  </w:abstractNum>
  <w:abstractNum w:abstractNumId="31">
    <w:nsid w:val="310C50B3"/>
    <w:multiLevelType w:val="hybridMultilevel"/>
    <w:lvl w:ilvl="0">
      <w:lvlJc w:val="left"/>
      <w:lvlText w:val="(%1)"/>
      <w:numFmt w:val="decimal"/>
      <w:start w:val="30"/>
    </w:lvl>
    <w:lvl w:ilvl="1">
      <w:lvlJc w:val="left"/>
      <w:lvlText w:val="%2"/>
      <w:numFmt w:val="lowerLetter"/>
      <w:start w:val="1"/>
    </w:lvl>
  </w:abstractNum>
  <w:abstractNum w:abstractNumId="32">
    <w:nsid w:val="5FF87E05"/>
    <w:multiLevelType w:val="hybridMultilevel"/>
    <w:lvl w:ilvl="0">
      <w:lvlJc w:val="left"/>
      <w:lvlText w:val="(%1)"/>
      <w:numFmt w:val="decimal"/>
      <w:start w:val="10"/>
    </w:lvl>
  </w:abstractNum>
  <w:abstractNum w:abstractNumId="33">
    <w:nsid w:val="2F305DEF"/>
    <w:multiLevelType w:val="hybridMultilevel"/>
    <w:lvl w:ilvl="0">
      <w:lvlJc w:val="left"/>
      <w:lvlText w:val="(%1)"/>
      <w:numFmt w:val="lowerLetter"/>
      <w:start w:val="3"/>
    </w:lvl>
    <w:lvl w:ilvl="1">
      <w:lvlJc w:val="left"/>
      <w:lvlText w:val="(%2)"/>
      <w:numFmt w:val="lowerRoman"/>
      <w:start w:val="1"/>
    </w:lvl>
  </w:abstractNum>
  <w:abstractNum w:abstractNumId="34">
    <w:nsid w:val="25A70BF7"/>
    <w:multiLevelType w:val="hybridMultilevel"/>
    <w:lvl w:ilvl="0">
      <w:lvlJc w:val="left"/>
      <w:lvlText w:val="(%1)"/>
      <w:numFmt w:val="lowerLetter"/>
      <w:start w:val="4"/>
    </w:lvl>
  </w:abstractNum>
  <w:abstractNum w:abstractNumId="35">
    <w:nsid w:val="1DBABF00"/>
    <w:multiLevelType w:val="hybridMultilevel"/>
    <w:lvl w:ilvl="0">
      <w:lvlJc w:val="left"/>
      <w:lvlText w:val="(%1)"/>
      <w:numFmt w:val="lowerLetter"/>
      <w:start w:val="6"/>
    </w:lvl>
  </w:abstractNum>
  <w:abstractNum w:abstractNumId="36">
    <w:nsid w:val="4AD084E9"/>
    <w:multiLevelType w:val="hybridMultilevel"/>
    <w:lvl w:ilvl="0">
      <w:lvlJc w:val="left"/>
      <w:lvlText w:val="(%1)"/>
      <w:numFmt w:val="lowerLetter"/>
      <w:start w:val="1"/>
    </w:lvl>
  </w:abstractNum>
  <w:abstractNum w:abstractNumId="37">
    <w:nsid w:val="1F48EAA1"/>
    <w:multiLevelType w:val="hybridMultilevel"/>
    <w:lvl w:ilvl="0">
      <w:lvlJc w:val="left"/>
      <w:lvlText w:val="(%1)"/>
      <w:numFmt w:val="lowerLetter"/>
      <w:start w:val="1"/>
    </w:lvl>
  </w:abstractNum>
  <w:abstractNum w:abstractNumId="38">
    <w:nsid w:val="1381823A"/>
    <w:multiLevelType w:val="hybridMultilevel"/>
    <w:lvl w:ilvl="0">
      <w:lvlJc w:val="left"/>
      <w:lvlText w:val="(%1)"/>
      <w:numFmt w:val="lowerLetter"/>
      <w:start w:val="1"/>
    </w:lvl>
  </w:abstractNum>
  <w:abstractNum w:abstractNumId="39">
    <w:nsid w:val="5DB70AE5"/>
    <w:multiLevelType w:val="hybridMultilevel"/>
    <w:lvl w:ilvl="0">
      <w:lvlJc w:val="left"/>
      <w:lvlText w:val="(%1)"/>
      <w:numFmt w:val="lowerLetter"/>
      <w:start w:val="1"/>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1"/>
      <w:numFmt w:val="decimal"/>
      <w:start w:val="1"/>
    </w:lvl>
    <w:lvl w:ilvl="1">
      <w:lvlJc w:val="left"/>
      <w:lvlText w:val="(%2)"/>
      <w:numFmt w:val="lowerLetter"/>
      <w:start w:val="2"/>
    </w:lvl>
  </w:abstractNum>
  <w:abstractNum w:abstractNumId="43">
    <w:nsid w:val="5F5E7FD0"/>
    <w:multiLevelType w:val="hybridMultilevel"/>
    <w:lvl w:ilvl="0">
      <w:lvlJc w:val="left"/>
      <w:lvlText w:val="(%1)"/>
      <w:numFmt w:val="decimal"/>
      <w:start w:val="10"/>
    </w:lvl>
    <w:lvl w:ilvl="1">
      <w:lvlJc w:val="left"/>
      <w:lvlText w:val="%2"/>
      <w:numFmt w:val="lowerLetter"/>
      <w:start w:val="1"/>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1)"/>
      <w:numFmt w:val="lowerLetter"/>
      <w:start w:val="4"/>
    </w:lvl>
  </w:abstractNum>
  <w:abstractNum w:abstractNumId="46">
    <w:nsid w:val="6B94764"/>
    <w:multiLevelType w:val="hybridMultilevel"/>
    <w:lvl w:ilvl="0">
      <w:lvlJc w:val="left"/>
      <w:lvlText w:val="(%1)"/>
      <w:numFmt w:val="decimal"/>
      <w:start w:val="1"/>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1)"/>
      <w:numFmt w:val="decimal"/>
      <w:start w:val="16"/>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lowerLetter"/>
      <w:start w:val="3"/>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Letter"/>
      <w:start w:val="2"/>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lowerLetter"/>
      <w:start w:val="1"/>
    </w:lvl>
  </w:abstractNum>
  <w:abstractNum w:abstractNumId="57">
    <w:nsid w:val="11447B73"/>
    <w:multiLevelType w:val="hybridMultilevel"/>
    <w:lvl w:ilvl="0">
      <w:lvlJc w:val="left"/>
      <w:lvlText w:val="(%1)"/>
      <w:numFmt w:val="lowerLetter"/>
      <w:start w:val="2"/>
    </w:lvl>
    <w:lvl w:ilvl="1">
      <w:lvlJc w:val="left"/>
      <w:lvlText w:val="(%2)"/>
      <w:numFmt w:val="decimal"/>
      <w:start w:val="1"/>
    </w:lvl>
  </w:abstractNum>
  <w:abstractNum w:abstractNumId="58">
    <w:nsid w:val="42963E5A"/>
    <w:multiLevelType w:val="hybridMultilevel"/>
    <w:lvl w:ilvl="0">
      <w:lvlJc w:val="left"/>
      <w:lvlText w:val="(%1)"/>
      <w:numFmt w:val="lowerLetter"/>
      <w:start w:val="5"/>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1)"/>
      <w:numFmt w:val="lowerLetter"/>
      <w:start w:val="1"/>
    </w:lvl>
  </w:abstractNum>
  <w:abstractNum w:abstractNumId="62">
    <w:nsid w:val="3B0FD379"/>
    <w:multiLevelType w:val="hybridMultilevel"/>
    <w:lvl w:ilvl="0">
      <w:lvlJc w:val="left"/>
      <w:lvlText w:val="(%1)"/>
      <w:numFmt w:val="lowerLetter"/>
      <w:start w:val="1"/>
    </w:lvl>
    <w:lvl w:ilvl="1">
      <w:lvlJc w:val="left"/>
      <w:lvlText w:val="(%2)"/>
      <w:numFmt w:val="decimal"/>
      <w:start w:val="1"/>
    </w:lvl>
  </w:abstractNum>
  <w:abstractNum w:abstractNumId="63">
    <w:nsid w:val="68EB2F63"/>
    <w:multiLevelType w:val="hybridMultilevel"/>
    <w:lvl w:ilvl="0">
      <w:lvlJc w:val="left"/>
      <w:lvlText w:val="(%1)"/>
      <w:numFmt w:val="lowerLetter"/>
      <w:start w:val="3"/>
    </w:lvl>
  </w:abstractNum>
  <w:abstractNum w:abstractNumId="64">
    <w:nsid w:val="4962813B"/>
    <w:multiLevelType w:val="hybridMultilevel"/>
    <w:lvl w:ilvl="0">
      <w:lvlJc w:val="left"/>
      <w:lvlText w:val="(%1)"/>
      <w:numFmt w:val="lowerLetter"/>
      <w:start w:val="4"/>
    </w:lvl>
  </w:abstractNum>
  <w:abstractNum w:abstractNumId="65">
    <w:nsid w:val="60B6DF70"/>
    <w:multiLevelType w:val="hybridMultilevel"/>
    <w:lvl w:ilvl="0">
      <w:lvlJc w:val="left"/>
      <w:lvlText w:val="(%1)"/>
      <w:numFmt w:val="lowerLetter"/>
      <w:start w:val="1"/>
    </w:lvl>
  </w:abstractNum>
  <w:abstractNum w:abstractNumId="66">
    <w:nsid w:val="6A5EE64"/>
    <w:multiLevelType w:val="hybridMultilevel"/>
    <w:lvl w:ilvl="0">
      <w:lvlJc w:val="left"/>
      <w:lvlText w:val="(%1)"/>
      <w:numFmt w:val="lowerLetter"/>
      <w:start w:val="4"/>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lowerLetter"/>
      <w:start w:val="2"/>
    </w:lvl>
    <w:lvl w:ilvl="1">
      <w:lvlJc w:val="left"/>
      <w:lvlText w:val="(%2)"/>
      <w:numFmt w:val="lowerRoman"/>
      <w:start w:val="1"/>
    </w:lvl>
  </w:abstractNum>
  <w:abstractNum w:abstractNumId="70">
    <w:nsid w:val="71EA1109"/>
    <w:multiLevelType w:val="hybridMultilevel"/>
    <w:lvl w:ilvl="0">
      <w:lvlJc w:val="left"/>
      <w:lvlText w:val="(%1)"/>
      <w:numFmt w:val="lowerLetter"/>
      <w:start w:val="1"/>
    </w:lvl>
  </w:abstractNum>
  <w:abstractNum w:abstractNumId="71">
    <w:nsid w:val="100F59DC"/>
    <w:multiLevelType w:val="hybridMultilevel"/>
    <w:lvl w:ilvl="0">
      <w:lvlJc w:val="left"/>
      <w:lvlText w:val="(%1)"/>
      <w:numFmt w:val="lowerLetter"/>
      <w:start w:val="7"/>
    </w:lvl>
  </w:abstractNum>
  <w:abstractNum w:abstractNumId="72">
    <w:nsid w:val="7FB7E0AA"/>
    <w:multiLevelType w:val="hybridMultilevel"/>
    <w:lvl w:ilvl="0">
      <w:lvlJc w:val="left"/>
      <w:lvlText w:val="(%1)"/>
      <w:numFmt w:val="lowerLetter"/>
      <w:start w:val="1"/>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lowerLetter"/>
      <w:start w:val="2"/>
    </w:lvl>
  </w:abstractNum>
  <w:abstractNum w:abstractNumId="75">
    <w:nsid w:val="94211F2"/>
    <w:multiLevelType w:val="hybridMultilevel"/>
    <w:lvl w:ilvl="0">
      <w:lvlJc w:val="left"/>
      <w:lvlText w:val="(%1)"/>
      <w:numFmt w:val="lowerLetter"/>
      <w:start w:val="1"/>
    </w:lvl>
  </w:abstractNum>
  <w:abstractNum w:abstractNumId="76">
    <w:nsid w:val="885E1B"/>
    <w:multiLevelType w:val="hybridMultilevel"/>
    <w:lvl w:ilvl="0">
      <w:lvlJc w:val="left"/>
      <w:lvlText w:val="(%1)"/>
      <w:numFmt w:val="lowerLetter"/>
      <w:start w:val="2"/>
    </w:lvl>
    <w:lvl w:ilvl="1">
      <w:lvlJc w:val="left"/>
      <w:lvlText w:val="(%2)"/>
      <w:numFmt w:val="lowerRoman"/>
      <w:start w:val="1"/>
    </w:lvl>
  </w:abstractNum>
  <w:abstractNum w:abstractNumId="77">
    <w:nsid w:val="76272110"/>
    <w:multiLevelType w:val="hybridMultilevel"/>
    <w:lvl w:ilvl="0">
      <w:lvlJc w:val="left"/>
      <w:lvlText w:val="(%1)"/>
      <w:numFmt w:val="lowerLetter"/>
      <w:start w:val="3"/>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lowerLetter"/>
      <w:start w:val="3"/>
    </w:lvl>
  </w:abstractNum>
  <w:abstractNum w:abstractNumId="80">
    <w:nsid w:val="14E17E33"/>
    <w:multiLevelType w:val="hybridMultilevel"/>
    <w:lvl w:ilvl="0">
      <w:lvlJc w:val="left"/>
      <w:lvlText w:val="(%1)"/>
      <w:numFmt w:val="lowerLetter"/>
      <w:start w:val="1"/>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lowerLetter"/>
      <w:start w:val="1"/>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lowerLetter"/>
      <w:start w:val="1"/>
    </w:lvl>
    <w:lvl w:ilvl="1">
      <w:lvlJc w:val="left"/>
      <w:lvlText w:val="(%2)"/>
      <w:numFmt w:val="lowerRoman"/>
      <w:start w:val="1"/>
    </w:lvl>
  </w:abstractNum>
  <w:abstractNum w:abstractNumId="85">
    <w:nsid w:val="46B7D447"/>
    <w:multiLevelType w:val="hybridMultilevel"/>
    <w:lvl w:ilvl="0">
      <w:lvlJc w:val="left"/>
      <w:lvlText w:val="(%1)"/>
      <w:numFmt w:val="upperLetter"/>
      <w:start w:val="1"/>
    </w:lvl>
  </w:abstractNum>
  <w:abstractNum w:abstractNumId="86">
    <w:nsid w:val="4A2AC315"/>
    <w:multiLevelType w:val="hybridMultilevel"/>
    <w:lvl w:ilvl="0">
      <w:lvlJc w:val="left"/>
      <w:lvlText w:val="(%1)"/>
      <w:numFmt w:val="lowerLetter"/>
      <w:start w:val="2"/>
    </w:lvl>
  </w:abstractNum>
  <w:abstractNum w:abstractNumId="87">
    <w:nsid w:val="39EE015C"/>
    <w:multiLevelType w:val="hybridMultilevel"/>
    <w:lvl w:ilvl="0">
      <w:lvlJc w:val="left"/>
      <w:lvlText w:val="(%1)"/>
      <w:numFmt w:val="decimal"/>
      <w:start w:val="1"/>
    </w:lvl>
  </w:abstractNum>
  <w:abstractNum w:abstractNumId="88">
    <w:nsid w:val="57FC4FBB"/>
    <w:multiLevelType w:val="hybridMultilevel"/>
    <w:lvl w:ilvl="0">
      <w:lvlJc w:val="left"/>
      <w:lvlText w:val="(%1)"/>
      <w:numFmt w:val="decimal"/>
      <w:start w:val="1"/>
    </w:lvl>
  </w:abstractNum>
  <w:abstractNum w:abstractNumId="89">
    <w:nsid w:val="CC1016F"/>
    <w:multiLevelType w:val="hybridMultilevel"/>
    <w:lvl w:ilvl="0">
      <w:lvlJc w:val="left"/>
      <w:lvlText w:val="(%1)"/>
      <w:numFmt w:val="decimal"/>
      <w:start w:val="2"/>
    </w:lvl>
    <w:lvl w:ilvl="1">
      <w:lvlJc w:val="left"/>
      <w:lvlText w:val="(%2)"/>
      <w:numFmt w:val="upperLetter"/>
      <w:start w:val="1"/>
    </w:lvl>
  </w:abstractNum>
  <w:abstractNum w:abstractNumId="90">
    <w:nsid w:val="43F18422"/>
    <w:multiLevelType w:val="hybridMultilevel"/>
    <w:lvl w:ilvl="0">
      <w:lvlJc w:val="left"/>
      <w:lvlText w:val="(%1)"/>
      <w:numFmt w:val="decimal"/>
      <w:start w:val="3"/>
    </w:lvl>
  </w:abstractNum>
  <w:abstractNum w:abstractNumId="91">
    <w:nsid w:val="60EF0119"/>
    <w:multiLevelType w:val="hybridMultilevel"/>
    <w:lvl w:ilvl="0">
      <w:lvlJc w:val="left"/>
      <w:lvlText w:val="(%1)"/>
      <w:numFmt w:val="lowerLetter"/>
      <w:start w:val="1"/>
    </w:lvl>
  </w:abstractNum>
  <w:abstractNum w:abstractNumId="92">
    <w:nsid w:val="26F324BA"/>
    <w:multiLevelType w:val="hybridMultilevel"/>
    <w:lvl w:ilvl="0">
      <w:lvlJc w:val="left"/>
      <w:lvlText w:val="(%1)"/>
      <w:numFmt w:val="lowerRoman"/>
      <w:start w:val="1"/>
    </w:lvl>
  </w:abstractNum>
  <w:abstractNum w:abstractNumId="93">
    <w:nsid w:val="7F01579B"/>
    <w:multiLevelType w:val="hybridMultilevel"/>
    <w:lvl w:ilvl="0">
      <w:lvlJc w:val="left"/>
      <w:lvlText w:val="(%1)"/>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2020-05-08T16:24:10Z</dcterms:created>
  <dcterms:modified xsi:type="dcterms:W3CDTF">2020-05-08T16:24:10Z</dcterms:modified>
</cp:coreProperties>
</file>