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August 9, 2021</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ARCTURUS THERAPEUTICS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148" w:type="dxa"/>
        <w:tblCellMar>
          <w:top w:w="0" w:type="dxa"/>
          <w:left w:w="0" w:type="dxa"/>
          <w:bottom w:w="0" w:type="dxa"/>
          <w:right w:w="0" w:type="dxa"/>
        </w:tblCellMar>
      </w:tblPr>
      <w:tr>
        <w:trPr>
          <w:trHeight w:val="144"/>
        </w:trPr>
        <w:tc>
          <w:tcPr>
            <w:tcW w:w="2080" w:type="dxa"/>
            <w:vAlign w:val="bottom"/>
          </w:tcPr>
          <w:p>
            <w:pPr>
              <w:jc w:val="center"/>
              <w:ind w:right="620"/>
              <w:spacing w:after="0"/>
              <w:rPr>
                <w:sz w:val="20"/>
                <w:szCs w:val="20"/>
                <w:color w:val="auto"/>
              </w:rPr>
            </w:pPr>
            <w:r>
              <w:rPr>
                <w:rFonts w:ascii="Arial" w:cs="Arial" w:eastAsia="Arial" w:hAnsi="Arial"/>
                <w:sz w:val="12"/>
                <w:szCs w:val="12"/>
                <w:b w:val="1"/>
                <w:bCs w:val="1"/>
                <w:color w:val="auto"/>
                <w:w w:val="91"/>
              </w:rPr>
              <w:t>Delaware</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001-38942</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0"/>
              </w:rPr>
              <w:t>32-0595345</w:t>
            </w:r>
          </w:p>
        </w:tc>
      </w:tr>
      <w:tr>
        <w:trPr>
          <w:trHeight w:val="144"/>
        </w:trPr>
        <w:tc>
          <w:tcPr>
            <w:tcW w:w="2080" w:type="dxa"/>
            <w:vAlign w:val="bottom"/>
          </w:tcPr>
          <w:p>
            <w:pPr>
              <w:jc w:val="center"/>
              <w:ind w:right="640"/>
              <w:spacing w:after="0"/>
              <w:rPr>
                <w:sz w:val="20"/>
                <w:szCs w:val="20"/>
                <w:color w:val="auto"/>
              </w:rPr>
            </w:pPr>
            <w:r>
              <w:rPr>
                <w:rFonts w:ascii="Arial" w:cs="Arial" w:eastAsia="Arial" w:hAnsi="Arial"/>
                <w:sz w:val="12"/>
                <w:szCs w:val="12"/>
                <w:b w:val="1"/>
                <w:bCs w:val="1"/>
                <w:color w:val="auto"/>
                <w:w w:val="91"/>
              </w:rPr>
              <w:t>(State or other jurisdiction</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(Commission</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3"/>
              </w:rPr>
              <w:t>(I.R.S. Employer</w:t>
            </w:r>
          </w:p>
        </w:tc>
      </w:tr>
      <w:tr>
        <w:trPr>
          <w:trHeight w:val="157"/>
        </w:trPr>
        <w:tc>
          <w:tcPr>
            <w:tcW w:w="2080" w:type="dxa"/>
            <w:vAlign w:val="bottom"/>
          </w:tcPr>
          <w:p>
            <w:pPr>
              <w:jc w:val="center"/>
              <w:ind w:right="620"/>
              <w:spacing w:after="0"/>
              <w:rPr>
                <w:sz w:val="20"/>
                <w:szCs w:val="20"/>
                <w:color w:val="auto"/>
              </w:rPr>
            </w:pPr>
            <w:r>
              <w:rPr>
                <w:rFonts w:ascii="Arial" w:cs="Arial" w:eastAsia="Arial" w:hAnsi="Arial"/>
                <w:sz w:val="12"/>
                <w:szCs w:val="12"/>
                <w:b w:val="1"/>
                <w:bCs w:val="1"/>
                <w:color w:val="auto"/>
                <w:w w:val="91"/>
              </w:rPr>
              <w:t>of incorporation)</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File Number)</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2"/>
              </w:rPr>
              <w:t>Identification No.)</w:t>
            </w:r>
          </w:p>
        </w:tc>
      </w:tr>
      <w:tr>
        <w:trPr>
          <w:trHeight w:val="275"/>
        </w:trPr>
        <w:tc>
          <w:tcPr>
            <w:tcW w:w="2080" w:type="dxa"/>
            <w:vAlign w:val="bottom"/>
          </w:tcPr>
          <w:p>
            <w:pPr>
              <w:spacing w:after="0"/>
              <w:rPr>
                <w:sz w:val="23"/>
                <w:szCs w:val="23"/>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10628 Science Center Drive, Suite 250</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San Diego, California 92121</w:t>
            </w:r>
          </w:p>
        </w:tc>
        <w:tc>
          <w:tcPr>
            <w:tcW w:w="1740" w:type="dxa"/>
            <w:vAlign w:val="bottom"/>
          </w:tcPr>
          <w:p>
            <w:pPr>
              <w:spacing w:after="0"/>
              <w:rPr>
                <w:sz w:val="12"/>
                <w:szCs w:val="12"/>
                <w:color w:val="auto"/>
              </w:rPr>
            </w:pPr>
          </w:p>
        </w:tc>
      </w:tr>
      <w:tr>
        <w:trPr>
          <w:trHeight w:val="157"/>
        </w:trPr>
        <w:tc>
          <w:tcPr>
            <w:tcW w:w="2080" w:type="dxa"/>
            <w:vAlign w:val="bottom"/>
          </w:tcPr>
          <w:p>
            <w:pPr>
              <w:spacing w:after="0"/>
              <w:rPr>
                <w:sz w:val="13"/>
                <w:szCs w:val="13"/>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Registrant’s telephone number, including area code: (858) 900-2660</w:t>
            </w:r>
          </w:p>
        </w:tc>
        <w:tc>
          <w:tcPr>
            <w:tcW w:w="1740" w:type="dxa"/>
            <w:vAlign w:val="bottom"/>
          </w:tcPr>
          <w:p>
            <w:pPr>
              <w:spacing w:after="0"/>
              <w:rPr>
                <w:sz w:val="24"/>
                <w:szCs w:val="24"/>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740" w:type="dxa"/>
            <w:vAlign w:val="bottom"/>
          </w:tcPr>
          <w:p>
            <w:pPr>
              <w:spacing w:after="0"/>
              <w:rPr>
                <w:sz w:val="24"/>
                <w:szCs w:val="24"/>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275"/>
        </w:trPr>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Trading</w:t>
            </w:r>
          </w:p>
        </w:tc>
        <w:tc>
          <w:tcPr>
            <w:tcW w:w="432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44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Title of each class</w:t>
            </w:r>
          </w:p>
        </w:tc>
        <w:tc>
          <w:tcPr>
            <w:tcW w:w="2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Symbol(s)</w:t>
            </w:r>
          </w:p>
        </w:tc>
        <w:tc>
          <w:tcPr>
            <w:tcW w:w="432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120" w:type="dxa"/>
            <w:vAlign w:val="bottom"/>
          </w:tcPr>
          <w:p>
            <w:pPr>
              <w:spacing w:after="0"/>
              <w:rPr>
                <w:sz w:val="12"/>
                <w:szCs w:val="12"/>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ARCT</w:t>
            </w:r>
          </w:p>
        </w:tc>
        <w:tc>
          <w:tcPr>
            <w:tcW w:w="120" w:type="dxa"/>
            <w:vAlign w:val="bottom"/>
          </w:tcPr>
          <w:p>
            <w:pPr>
              <w:spacing w:after="0"/>
              <w:rPr>
                <w:sz w:val="12"/>
                <w:szCs w:val="12"/>
                <w:color w:val="auto"/>
              </w:rPr>
            </w:pPr>
          </w:p>
        </w:tc>
        <w:tc>
          <w:tcPr>
            <w:tcW w:w="43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August 9, 2021, Arcturus Therapeutics Holdings Inc. (the “Company” or “Arcturus”) issued a press release, a copy of which is furnished herewith as Exhibit 99.1, announcing the Company’s financial results for the quarter ended June 30, 2021 and providing a corporate update (the “Press Release”).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Company has made available a presentation about its business (the “Presentation”), a copy of which is furnished herewith as Exhibit 99.2 to this Current Report on Form 8-K and is hereby incorporated by reference.</w:t>
      </w:r>
    </w:p>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furnishing of the Presentation is not an admission as to the materiality of any information therein. The information contained in the Presentation is summary information that should be considered in the context of the Company’s filings with the SEC and other public announcements the Company may make by press release or otherwise from time to time.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Cautionary Note Regarding Forward-Looking Statements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Certain statements in this Current Report on Form 8-K, the Press Release and the Presentation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the Press Release and the Presentation, are forward-looking statements, including those regarding strategy, future operations, collaborations, the planned initiation, design or completion of clinical trials, anticipated sponsorship and/or funding of clinical trials of our candidates, the likelihood that the Company will obtain clearance from regulatory authorities to proceed with planned clinical trials, the ability to enroll subjects in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anticipated timing for regulatory submissions, the timing of, and expectations for, any results of any preclinical or clinical studies or regulatory approvals, the likelihood of success (including safety and efficacy) of the Company’s pipeline, including ARCT-021, ARCT-154 and ARCT-810, the potential administration regimen or dosage, or ability to administer multiple doses of, any of the Company’s drug candidates, the Company’s efforts to develop a vaccine against COVID-19 and therapeutic potential thereof based on the Company’s mRNA therapeutics, the Company’s manufacturing methods and technologies, the likelihood that a patent will issue from any patent application, its current cash position and adequacy of its capital to support future operations, and the impact of general business and economic conditions. Actual results and performance could differ materially from those projected in any forward-looking statements as a result of many factors including, without limitation, the ability to enroll subjects in clinical trials as a result of the COVID-19 pandemic, the impact of commercialization of third-party COVID-19 vaccines on the design, and ability to conduct, clinical trials, the availability of manufacturing capacity and raw materials, unexpected clinical results, government regulations impacting the regulatory environment or intellectual property landscape, and general market conditions that may prevent such achievements or performance.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2020, and in subsequent filings with, or submissions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227965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 w:name="page3"/>
    <w:bookmarkEnd w:id="2"/>
    <w:p>
      <w:pPr>
        <w:jc w:val="both"/>
        <w:spacing w:after="0" w:line="298" w:lineRule="auto"/>
        <w:rPr>
          <w:sz w:val="20"/>
          <w:szCs w:val="20"/>
          <w:color w:val="auto"/>
        </w:rPr>
      </w:pPr>
      <w:r>
        <w:rPr>
          <w:rFonts w:ascii="Arial" w:cs="Arial" w:eastAsia="Arial" w:hAnsi="Arial"/>
          <w:sz w:val="11"/>
          <w:szCs w:val="11"/>
          <w:color w:val="auto"/>
        </w:rPr>
        <w:t>The statements made in this Current Report on Form 8-K, the Press Release and the Presentation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50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Exhibit No.</w:t>
            </w:r>
          </w:p>
        </w:tc>
        <w:tc>
          <w:tcPr>
            <w:tcW w:w="8800" w:type="dxa"/>
            <w:vAlign w:val="bottom"/>
            <w:tcBorders>
              <w:top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06"/>
        </w:trPr>
        <w:tc>
          <w:tcPr>
            <w:tcW w:w="2500" w:type="dxa"/>
            <w:vAlign w:val="bottom"/>
            <w:tcBorders>
              <w:left w:val="single" w:sz="8" w:color="auto"/>
              <w:right w:val="single" w:sz="8" w:color="auto"/>
            </w:tcBorders>
          </w:tcPr>
          <w:p>
            <w:pPr>
              <w:spacing w:after="0" w:line="106" w:lineRule="exact"/>
              <w:rPr>
                <w:sz w:val="20"/>
                <w:szCs w:val="20"/>
                <w:color w:val="auto"/>
              </w:rPr>
            </w:pPr>
            <w:r>
              <w:rPr>
                <w:rFonts w:ascii="Arial" w:cs="Arial" w:eastAsia="Arial" w:hAnsi="Arial"/>
                <w:sz w:val="12"/>
                <w:szCs w:val="12"/>
                <w:color w:val="auto"/>
              </w:rPr>
              <w:t>99.1</w:t>
            </w:r>
          </w:p>
        </w:tc>
        <w:tc>
          <w:tcPr>
            <w:tcW w:w="8800" w:type="dxa"/>
            <w:vAlign w:val="bottom"/>
            <w:tcBorders>
              <w:right w:val="single" w:sz="8" w:color="auto"/>
            </w:tcBorders>
            <w:gridSpan w:val="3"/>
          </w:tcPr>
          <w:p>
            <w:pPr>
              <w:spacing w:after="0" w:line="106" w:lineRule="exact"/>
              <w:rPr>
                <w:rFonts w:ascii="Arial" w:cs="Arial" w:eastAsia="Arial" w:hAnsi="Arial"/>
                <w:sz w:val="12"/>
                <w:szCs w:val="12"/>
                <w:color w:val="0000EE"/>
              </w:rPr>
            </w:pPr>
            <w:hyperlink w:anchor="page5">
              <w:r>
                <w:rPr>
                  <w:rFonts w:ascii="Arial" w:cs="Arial" w:eastAsia="Arial" w:hAnsi="Arial"/>
                  <w:sz w:val="12"/>
                  <w:szCs w:val="12"/>
                  <w:color w:val="0000EE"/>
                </w:rPr>
                <w:t>Press Release dated August 9, 2021</w:t>
              </w:r>
            </w:hyperlink>
          </w:p>
        </w:tc>
      </w:tr>
      <w:tr>
        <w:trPr>
          <w:trHeight w:val="20"/>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100" w:type="dxa"/>
            <w:vAlign w:val="bottom"/>
            <w:tcBorders>
              <w:bottom w:val="single" w:sz="8" w:color="auto"/>
              <w:right w:val="single" w:sz="8" w:color="auto"/>
            </w:tcBorders>
          </w:tcPr>
          <w:p>
            <w:pPr>
              <w:spacing w:after="0" w:line="20" w:lineRule="exact"/>
              <w:rPr>
                <w:sz w:val="1"/>
                <w:szCs w:val="1"/>
                <w:color w:val="auto"/>
              </w:rPr>
            </w:pPr>
          </w:p>
        </w:tc>
      </w:tr>
      <w:tr>
        <w:trPr>
          <w:trHeight w:val="93"/>
        </w:trPr>
        <w:tc>
          <w:tcPr>
            <w:tcW w:w="2500" w:type="dxa"/>
            <w:vAlign w:val="bottom"/>
            <w:tcBorders>
              <w:left w:val="single" w:sz="8" w:color="auto"/>
              <w:right w:val="single" w:sz="8" w:color="auto"/>
            </w:tcBorders>
          </w:tcPr>
          <w:p>
            <w:pPr>
              <w:spacing w:after="0" w:line="93" w:lineRule="exact"/>
              <w:rPr>
                <w:sz w:val="20"/>
                <w:szCs w:val="20"/>
                <w:color w:val="auto"/>
              </w:rPr>
            </w:pPr>
            <w:r>
              <w:rPr>
                <w:rFonts w:ascii="Arial" w:cs="Arial" w:eastAsia="Arial" w:hAnsi="Arial"/>
                <w:sz w:val="10"/>
                <w:szCs w:val="10"/>
                <w:color w:val="auto"/>
              </w:rPr>
              <w:t>99.2</w:t>
            </w:r>
          </w:p>
        </w:tc>
        <w:tc>
          <w:tcPr>
            <w:tcW w:w="8800" w:type="dxa"/>
            <w:vAlign w:val="bottom"/>
            <w:tcBorders>
              <w:right w:val="single" w:sz="8" w:color="auto"/>
            </w:tcBorders>
            <w:gridSpan w:val="3"/>
          </w:tcPr>
          <w:p>
            <w:pPr>
              <w:spacing w:after="0" w:line="93" w:lineRule="exact"/>
              <w:rPr>
                <w:rFonts w:ascii="Arial" w:cs="Arial" w:eastAsia="Arial" w:hAnsi="Arial"/>
                <w:sz w:val="10"/>
                <w:szCs w:val="10"/>
                <w:color w:val="0000EE"/>
              </w:rPr>
            </w:pPr>
            <w:hyperlink w:anchor="page12">
              <w:r>
                <w:rPr>
                  <w:rFonts w:ascii="Arial" w:cs="Arial" w:eastAsia="Arial" w:hAnsi="Arial"/>
                  <w:sz w:val="10"/>
                  <w:szCs w:val="10"/>
                  <w:color w:val="0000EE"/>
                </w:rPr>
                <w:t>Presentation dated August 9, 2021</w:t>
              </w:r>
            </w:hyperlink>
          </w:p>
        </w:tc>
      </w:tr>
      <w:tr>
        <w:trPr>
          <w:trHeight w:val="20"/>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10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2500" w:type="dxa"/>
            <w:vAlign w:val="bottom"/>
            <w:tcBorders>
              <w:left w:val="single" w:sz="8" w:color="auto"/>
              <w:bottom w:val="single" w:sz="8" w:color="auto"/>
              <w:right w:val="single" w:sz="8" w:color="auto"/>
            </w:tcBorders>
          </w:tcPr>
          <w:p>
            <w:pPr>
              <w:spacing w:after="0" w:line="120" w:lineRule="exact"/>
              <w:rPr>
                <w:sz w:val="20"/>
                <w:szCs w:val="20"/>
                <w:color w:val="auto"/>
              </w:rPr>
            </w:pPr>
            <w:r>
              <w:rPr>
                <w:rFonts w:ascii="Arial" w:cs="Arial" w:eastAsia="Arial" w:hAnsi="Arial"/>
                <w:sz w:val="12"/>
                <w:szCs w:val="12"/>
                <w:color w:val="auto"/>
              </w:rPr>
              <w:t>104</w:t>
            </w:r>
          </w:p>
        </w:tc>
        <w:tc>
          <w:tcPr>
            <w:tcW w:w="8800" w:type="dxa"/>
            <w:vAlign w:val="bottom"/>
            <w:tcBorders>
              <w:bottom w:val="single" w:sz="8" w:color="auto"/>
              <w:right w:val="single" w:sz="8" w:color="auto"/>
            </w:tcBorders>
            <w:gridSpan w:val="3"/>
          </w:tcPr>
          <w:p>
            <w:pPr>
              <w:spacing w:after="0" w:line="120" w:lineRule="exact"/>
              <w:rPr>
                <w:sz w:val="20"/>
                <w:szCs w:val="20"/>
                <w:color w:val="auto"/>
              </w:rPr>
            </w:pPr>
            <w:r>
              <w:rPr>
                <w:rFonts w:ascii="Arial" w:cs="Arial" w:eastAsia="Arial" w:hAnsi="Arial"/>
                <w:sz w:val="12"/>
                <w:szCs w:val="12"/>
                <w:color w:val="auto"/>
              </w:rPr>
              <w:t>Cover Page to this Current Report on Form 8-K in Inline XBRL</w:t>
            </w:r>
          </w:p>
        </w:tc>
      </w:tr>
      <w:tr>
        <w:trPr>
          <w:trHeight w:val="367"/>
        </w:trPr>
        <w:tc>
          <w:tcPr>
            <w:tcW w:w="2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5"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Arcturus Therapeutics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Date: August 9, 2021</w:t>
      </w:r>
    </w:p>
    <w:p>
      <w:pPr>
        <w:spacing w:after="0" w:line="141" w:lineRule="exact"/>
        <w:rPr>
          <w:sz w:val="20"/>
          <w:szCs w:val="20"/>
          <w:color w:val="auto"/>
        </w:rPr>
      </w:pPr>
    </w:p>
    <w:tbl>
      <w:tblPr>
        <w:tblLayout w:type="fixed"/>
        <w:tblInd w:w="5340" w:type="dxa"/>
        <w:tblCellMar>
          <w:top w:w="0" w:type="dxa"/>
          <w:left w:w="0" w:type="dxa"/>
          <w:bottom w:w="0" w:type="dxa"/>
          <w:right w:w="0" w:type="dxa"/>
        </w:tblCellMar>
      </w:tblPr>
      <w:tr>
        <w:trPr>
          <w:trHeight w:val="153"/>
        </w:trPr>
        <w:tc>
          <w:tcPr>
            <w:tcW w:w="700" w:type="dxa"/>
            <w:vAlign w:val="bottom"/>
          </w:tcPr>
          <w:p>
            <w:pPr>
              <w:spacing w:after="0"/>
              <w:rPr>
                <w:sz w:val="20"/>
                <w:szCs w:val="20"/>
                <w:color w:val="auto"/>
              </w:rPr>
            </w:pPr>
            <w:r>
              <w:rPr>
                <w:rFonts w:ascii="Arial" w:cs="Arial" w:eastAsia="Arial" w:hAnsi="Arial"/>
                <w:sz w:val="12"/>
                <w:szCs w:val="1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E. Payne</w:t>
            </w:r>
          </w:p>
        </w:tc>
      </w:tr>
      <w:tr>
        <w:trPr>
          <w:trHeight w:val="124"/>
        </w:trPr>
        <w:tc>
          <w:tcPr>
            <w:tcW w:w="70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5260" w:type="dxa"/>
            <w:vAlign w:val="bottom"/>
          </w:tcPr>
          <w:p>
            <w:pPr>
              <w:spacing w:after="0" w:line="124" w:lineRule="exact"/>
              <w:rPr>
                <w:sz w:val="20"/>
                <w:szCs w:val="20"/>
                <w:color w:val="auto"/>
              </w:rPr>
            </w:pPr>
            <w:r>
              <w:rPr>
                <w:rFonts w:ascii="Arial" w:cs="Arial" w:eastAsia="Arial" w:hAnsi="Arial"/>
                <w:sz w:val="12"/>
                <w:szCs w:val="12"/>
                <w:color w:val="auto"/>
              </w:rPr>
              <w:t>Joseph E. Payne</w:t>
            </w:r>
          </w:p>
        </w:tc>
      </w:tr>
      <w:tr>
        <w:trPr>
          <w:trHeight w:val="153"/>
        </w:trPr>
        <w:tc>
          <w:tcPr>
            <w:tcW w:w="700" w:type="dxa"/>
            <w:vAlign w:val="bottom"/>
          </w:tcPr>
          <w:p>
            <w:pPr>
              <w:spacing w:after="0"/>
              <w:rPr>
                <w:sz w:val="20"/>
                <w:szCs w:val="20"/>
                <w:color w:val="auto"/>
              </w:rPr>
            </w:pPr>
            <w:r>
              <w:rPr>
                <w:rFonts w:ascii="Arial" w:cs="Arial" w:eastAsia="Arial" w:hAnsi="Arial"/>
                <w:sz w:val="12"/>
                <w:szCs w:val="12"/>
                <w:color w:val="auto"/>
              </w:rPr>
              <w:t>Title:</w:t>
            </w:r>
          </w:p>
        </w:tc>
        <w:tc>
          <w:tcPr>
            <w:tcW w:w="526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300"/>
          </w:cols>
          <w:pgMar w:left="300" w:top="271"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333333"/>
        </w:rPr>
        <w:t>Arcturus Therapeutics Announces Second Quarter 2021 Financial Results and mRNA Vaccine and Therapeutics Pipeline Progress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ARCT-021, Arcturus’ single shot STARR™ mRNA COVID vaccine, to begin multinational placebo-controlled Phase 3 efficacy study funded and sponsored by a global entity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ARCT-154, Arcturus’ STARR™ mRNA vaccine candidate targeting COVID variants of concern, elicits robust neutralizing antibody titers against all variants tested in primates, including the Delta variant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ARCT-154 to begin staged Phase 3 study in Vietnam; potential for EUA in December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Investor conference call at 4:30 p.m. ET today</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San Diego, Calif, August 9, 2021 </w:t>
      </w:r>
      <w:r>
        <w:rPr>
          <w:rFonts w:ascii="Arial" w:cs="Arial" w:eastAsia="Arial" w:hAnsi="Arial"/>
          <w:sz w:val="12"/>
          <w:szCs w:val="12"/>
          <w:color w:val="auto"/>
        </w:rPr>
        <w:t>– Arcturus Therapeutics Holdings Inc. (the “Company”, “Arcturus”, Nasdaq: ARCT), a leading clinical-stage messenger RNA medicines company focused on the development of infectious disease</w:t>
      </w:r>
      <w:r>
        <w:rPr>
          <w:rFonts w:ascii="Arial" w:cs="Arial" w:eastAsia="Arial" w:hAnsi="Arial"/>
          <w:sz w:val="12"/>
          <w:szCs w:val="12"/>
          <w:b w:val="1"/>
          <w:bCs w:val="1"/>
          <w:color w:val="auto"/>
        </w:rPr>
        <w:t xml:space="preserve"> </w:t>
      </w:r>
      <w:r>
        <w:rPr>
          <w:rFonts w:ascii="Arial" w:cs="Arial" w:eastAsia="Arial" w:hAnsi="Arial"/>
          <w:sz w:val="12"/>
          <w:szCs w:val="12"/>
          <w:color w:val="auto"/>
        </w:rPr>
        <w:t>vaccines and significant opportunities within liver and respiratory rare diseases, today announced its financial results for the second quarter ended June 30, 2021 and provided corporate updates.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“This has been an exceptionally productive period where Arcturus has made substantial progress with our mRNA-based vaccine and therapeutic platforms. We are excited about the imminent initiation of the global Phase 3 vaccine trial of ARCT-021, which is funded by a global entity. We made excellent progress advancing and partnering ARCT-154, our next generation vaccine, which targets SARS-CoV-2 variants, including the rapidly expanding and highly transmissible Delta variant. In addition to the progress with our vaccine franchise, we’ve also advanced our therapeutics pipeline, with the approval of a multiple dose Phase 2 study with ARCT-810, our systemically administered mRNA therapeutic candidate for individuals with OTC deficiency,” said Joseph Payne, President and CEO of Arcturus.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Corporate Highlights</w:t>
      </w:r>
    </w:p>
    <w:p>
      <w:pPr>
        <w:spacing w:after="0" w:line="154" w:lineRule="exact"/>
        <w:rPr>
          <w:sz w:val="20"/>
          <w:szCs w:val="20"/>
          <w:color w:val="auto"/>
        </w:rPr>
      </w:pPr>
    </w:p>
    <w:p>
      <w:pPr>
        <w:ind w:left="420" w:right="20" w:hanging="212"/>
        <w:spacing w:after="0" w:line="276" w:lineRule="auto"/>
        <w:tabs>
          <w:tab w:leader="none" w:pos="420" w:val="left"/>
        </w:tabs>
        <w:numPr>
          <w:ilvl w:val="0"/>
          <w:numId w:val="2"/>
        </w:numPr>
        <w:rPr>
          <w:rFonts w:ascii="Arial" w:cs="Arial" w:eastAsia="Arial" w:hAnsi="Arial"/>
          <w:sz w:val="12"/>
          <w:szCs w:val="12"/>
          <w:color w:val="222222"/>
        </w:rPr>
      </w:pPr>
      <w:r>
        <w:rPr>
          <w:rFonts w:ascii="Arial" w:cs="Arial" w:eastAsia="Arial" w:hAnsi="Arial"/>
          <w:sz w:val="12"/>
          <w:szCs w:val="12"/>
          <w:color w:val="222222"/>
        </w:rPr>
        <w:t>ARCT-021 has been selected by a global entity for inclusion in a multinational Phase 3 vaccine trial against COVID-19. The placebo-controlled study plans to enroll tens of thousands of participants and will evaluate a 5-mcg dose of ARCT-021 administered as a single injection regimen. The Phase 3 study will be sponsored and funded by the entity.</w:t>
      </w:r>
    </w:p>
    <w:p>
      <w:pPr>
        <w:spacing w:after="0" w:line="114" w:lineRule="exact"/>
        <w:rPr>
          <w:rFonts w:ascii="Arial" w:cs="Arial" w:eastAsia="Arial" w:hAnsi="Arial"/>
          <w:sz w:val="12"/>
          <w:szCs w:val="12"/>
          <w:color w:val="222222"/>
        </w:rPr>
      </w:pPr>
    </w:p>
    <w:p>
      <w:pPr>
        <w:ind w:left="42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Arcturus announced an agreement with Vinbiocare, whereby Vinbiocare will fully fund and establish a facility in Vietnam for the manufacture of Arcturus’ investigational COVID-19 vaccines. In addition to the $40 million upfront payment, Vinbiocare will purchase the mRNA drug substance from Arcturus and pay a royalty on manufactured doses.</w:t>
      </w:r>
    </w:p>
    <w:p>
      <w:pPr>
        <w:spacing w:after="0" w:line="114" w:lineRule="exact"/>
        <w:rPr>
          <w:rFonts w:ascii="Arial" w:cs="Arial" w:eastAsia="Arial" w:hAnsi="Arial"/>
          <w:sz w:val="12"/>
          <w:szCs w:val="12"/>
          <w:color w:val="auto"/>
        </w:rPr>
      </w:pPr>
    </w:p>
    <w:p>
      <w:pPr>
        <w:jc w:val="both"/>
        <w:ind w:left="420" w:right="20" w:hanging="212"/>
        <w:spacing w:after="0" w:line="263"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Arcturus has advanced ARCT-154, our next generation STARR™ mRNA vaccine candidate targeting SARS-CoV-2 variants of concern, toward multiple clinical development studies. Preclinical data demonstrate strong neutralizing immunogenicity in non-human primates to SARS-CoV-2 Alpha, Beta, Gamma, and Delta variants. ARCT-154 elicits 14.4 to 25.9-fold higher neutralizing antibody titers than ARCT-021 in non-human primates, including an observed increase of 17.8-fold higher neutralizing antibody titers against the Delta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2"/>
          <w:szCs w:val="12"/>
          <w:color w:val="auto"/>
        </w:rPr>
        <w:t>ARCT-154 utilizes an optimized STARR™ mRNA with multiple improvements, including modifications for stability and translation, increased immunogenicity of the spike protein antigen via amino acid substitution, expressing the spike protein in a pre-fusion state, and inactivating the furin cleavage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78740</wp:posOffset>
            </wp:positionV>
            <wp:extent cx="2800350" cy="2274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227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Neutralizing Titers (Geo Mean NT50) Against Variants of Concern in Cynomolgus Macaques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829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b w:val="1"/>
          <w:bCs w:val="1"/>
          <w:color w:val="auto"/>
        </w:rPr>
        <w:t>One Month Post Dose 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400" w:type="dxa"/>
            <w:vAlign w:val="bottom"/>
            <w:tcBorders>
              <w:top w:val="single" w:sz="8" w:color="auto"/>
              <w:bottom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b w:val="1"/>
                <w:bCs w:val="1"/>
                <w:color w:val="auto"/>
              </w:rPr>
              <w:t>STARR™ Vaccine</w:t>
            </w:r>
          </w:p>
        </w:tc>
        <w:tc>
          <w:tcPr>
            <w:tcW w:w="1700" w:type="dxa"/>
            <w:vAlign w:val="bottom"/>
            <w:tcBorders>
              <w:top w:val="single" w:sz="8" w:color="auto"/>
              <w:bottom w:val="single" w:sz="8" w:color="auto"/>
              <w:right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rPr>
              <w:t>Ancestral</w:t>
            </w:r>
          </w:p>
        </w:tc>
        <w:tc>
          <w:tcPr>
            <w:tcW w:w="1480" w:type="dxa"/>
            <w:vAlign w:val="bottom"/>
            <w:tcBorders>
              <w:top w:val="single" w:sz="8" w:color="auto"/>
              <w:bottom w:val="single" w:sz="8" w:color="auto"/>
              <w:right w:val="single" w:sz="8" w:color="auto"/>
            </w:tcBorders>
          </w:tcPr>
          <w:p>
            <w:pPr>
              <w:ind w:left="560"/>
              <w:spacing w:after="0" w:line="133" w:lineRule="exact"/>
              <w:rPr>
                <w:sz w:val="20"/>
                <w:szCs w:val="20"/>
                <w:color w:val="auto"/>
              </w:rPr>
            </w:pPr>
            <w:r>
              <w:rPr>
                <w:rFonts w:ascii="Arial" w:cs="Arial" w:eastAsia="Arial" w:hAnsi="Arial"/>
                <w:sz w:val="12"/>
                <w:szCs w:val="12"/>
                <w:b w:val="1"/>
                <w:bCs w:val="1"/>
                <w:color w:val="auto"/>
              </w:rPr>
              <w:t>Alpha</w:t>
            </w:r>
          </w:p>
        </w:tc>
        <w:tc>
          <w:tcPr>
            <w:tcW w:w="1460" w:type="dxa"/>
            <w:vAlign w:val="bottom"/>
            <w:tcBorders>
              <w:top w:val="single" w:sz="8" w:color="auto"/>
              <w:bottom w:val="single" w:sz="8" w:color="auto"/>
              <w:right w:val="single" w:sz="8" w:color="auto"/>
            </w:tcBorders>
          </w:tcPr>
          <w:p>
            <w:pPr>
              <w:ind w:left="600"/>
              <w:spacing w:after="0" w:line="133" w:lineRule="exact"/>
              <w:rPr>
                <w:sz w:val="20"/>
                <w:szCs w:val="20"/>
                <w:color w:val="auto"/>
              </w:rPr>
            </w:pPr>
            <w:r>
              <w:rPr>
                <w:rFonts w:ascii="Arial" w:cs="Arial" w:eastAsia="Arial" w:hAnsi="Arial"/>
                <w:sz w:val="12"/>
                <w:szCs w:val="12"/>
                <w:b w:val="1"/>
                <w:bCs w:val="1"/>
                <w:color w:val="auto"/>
              </w:rPr>
              <w:t>Beta</w:t>
            </w:r>
          </w:p>
        </w:tc>
        <w:tc>
          <w:tcPr>
            <w:tcW w:w="1700" w:type="dxa"/>
            <w:vAlign w:val="bottom"/>
            <w:tcBorders>
              <w:top w:val="single" w:sz="8" w:color="auto"/>
              <w:bottom w:val="single" w:sz="8" w:color="auto"/>
              <w:right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rPr>
              <w:t>Gamma</w:t>
            </w:r>
          </w:p>
        </w:tc>
        <w:tc>
          <w:tcPr>
            <w:tcW w:w="1540" w:type="dxa"/>
            <w:vAlign w:val="bottom"/>
            <w:tcBorders>
              <w:top w:val="single" w:sz="8" w:color="auto"/>
              <w:bottom w:val="single" w:sz="8" w:color="auto"/>
            </w:tcBorders>
          </w:tcPr>
          <w:p>
            <w:pPr>
              <w:ind w:left="620"/>
              <w:spacing w:after="0" w:line="133" w:lineRule="exact"/>
              <w:rPr>
                <w:sz w:val="20"/>
                <w:szCs w:val="20"/>
                <w:color w:val="auto"/>
              </w:rPr>
            </w:pPr>
            <w:r>
              <w:rPr>
                <w:rFonts w:ascii="Arial" w:cs="Arial" w:eastAsia="Arial" w:hAnsi="Arial"/>
                <w:sz w:val="12"/>
                <w:szCs w:val="12"/>
                <w:b w:val="1"/>
                <w:bCs w:val="1"/>
                <w:color w:val="auto"/>
              </w:rPr>
              <w:t>Delta</w:t>
            </w:r>
          </w:p>
        </w:tc>
        <w:tc>
          <w:tcPr>
            <w:tcW w:w="20" w:type="dxa"/>
            <w:vAlign w:val="bottom"/>
            <w:tcBorders>
              <w:top w:val="single" w:sz="8" w:color="auto"/>
              <w:bottom w:val="single" w:sz="8" w:color="auto"/>
            </w:tcBorders>
          </w:tcPr>
          <w:p>
            <w:pPr>
              <w:spacing w:after="0"/>
              <w:rPr>
                <w:sz w:val="11"/>
                <w:szCs w:val="11"/>
                <w:color w:val="auto"/>
              </w:rPr>
            </w:pPr>
          </w:p>
        </w:tc>
      </w:tr>
      <w:tr>
        <w:trPr>
          <w:trHeight w:val="133"/>
        </w:trPr>
        <w:tc>
          <w:tcPr>
            <w:tcW w:w="3400" w:type="dxa"/>
            <w:vAlign w:val="bottom"/>
            <w:tcBorders>
              <w:bottom w:val="single" w:sz="8" w:color="auto"/>
              <w:right w:val="single" w:sz="8" w:color="auto"/>
            </w:tcBorders>
            <w:shd w:val="clear" w:color="auto" w:fill="CCEEFF"/>
          </w:tcPr>
          <w:p>
            <w:pPr>
              <w:ind w:left="1100"/>
              <w:spacing w:after="0" w:line="133" w:lineRule="exact"/>
              <w:rPr>
                <w:sz w:val="20"/>
                <w:szCs w:val="20"/>
                <w:color w:val="auto"/>
              </w:rPr>
            </w:pPr>
            <w:r>
              <w:rPr>
                <w:rFonts w:ascii="Arial" w:cs="Arial" w:eastAsia="Arial" w:hAnsi="Arial"/>
                <w:sz w:val="12"/>
                <w:szCs w:val="12"/>
                <w:color w:val="auto"/>
              </w:rPr>
              <w:t>ARCT-021 (7.5 mcg x 2)</w:t>
            </w:r>
          </w:p>
        </w:tc>
        <w:tc>
          <w:tcPr>
            <w:tcW w:w="17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1,438</w:t>
            </w:r>
          </w:p>
        </w:tc>
        <w:tc>
          <w:tcPr>
            <w:tcW w:w="14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603</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54</w:t>
            </w:r>
          </w:p>
        </w:tc>
        <w:tc>
          <w:tcPr>
            <w:tcW w:w="17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50</w:t>
            </w:r>
          </w:p>
        </w:tc>
        <w:tc>
          <w:tcPr>
            <w:tcW w:w="1540" w:type="dxa"/>
            <w:vAlign w:val="bottom"/>
            <w:tcBorders>
              <w:bottom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386</w:t>
            </w:r>
          </w:p>
        </w:tc>
        <w:tc>
          <w:tcPr>
            <w:tcW w:w="20" w:type="dxa"/>
            <w:vAlign w:val="bottom"/>
            <w:tcBorders>
              <w:bottom w:val="single" w:sz="8" w:color="auto"/>
            </w:tcBorders>
          </w:tcPr>
          <w:p>
            <w:pPr>
              <w:spacing w:after="0"/>
              <w:rPr>
                <w:sz w:val="11"/>
                <w:szCs w:val="11"/>
                <w:color w:val="auto"/>
              </w:rPr>
            </w:pPr>
          </w:p>
        </w:tc>
      </w:tr>
      <w:tr>
        <w:trPr>
          <w:trHeight w:val="133"/>
        </w:trPr>
        <w:tc>
          <w:tcPr>
            <w:tcW w:w="3400" w:type="dxa"/>
            <w:vAlign w:val="bottom"/>
            <w:tcBorders>
              <w:bottom w:val="single" w:sz="8" w:color="auto"/>
              <w:right w:val="single" w:sz="8" w:color="auto"/>
            </w:tcBorders>
          </w:tcPr>
          <w:p>
            <w:pPr>
              <w:ind w:left="1100"/>
              <w:spacing w:after="0" w:line="133" w:lineRule="exact"/>
              <w:rPr>
                <w:sz w:val="20"/>
                <w:szCs w:val="20"/>
                <w:color w:val="auto"/>
              </w:rPr>
            </w:pPr>
            <w:r>
              <w:rPr>
                <w:rFonts w:ascii="Arial" w:cs="Arial" w:eastAsia="Arial" w:hAnsi="Arial"/>
                <w:sz w:val="12"/>
                <w:szCs w:val="12"/>
                <w:color w:val="auto"/>
              </w:rPr>
              <w:t>ARCT-154 (7.5 mcg x 2)</w:t>
            </w:r>
          </w:p>
        </w:tc>
        <w:tc>
          <w:tcPr>
            <w:tcW w:w="17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20,773</w:t>
            </w:r>
          </w:p>
        </w:tc>
        <w:tc>
          <w:tcPr>
            <w:tcW w:w="14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9,080</w:t>
            </w:r>
          </w:p>
        </w:tc>
        <w:tc>
          <w:tcPr>
            <w:tcW w:w="14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874</w:t>
            </w:r>
          </w:p>
        </w:tc>
        <w:tc>
          <w:tcPr>
            <w:tcW w:w="17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6"/>
              </w:rPr>
              <w:t>1,297</w:t>
            </w:r>
          </w:p>
        </w:tc>
        <w:tc>
          <w:tcPr>
            <w:tcW w:w="15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6,876</w:t>
            </w:r>
          </w:p>
        </w:tc>
        <w:tc>
          <w:tcPr>
            <w:tcW w:w="20" w:type="dxa"/>
            <w:vAlign w:val="bottom"/>
            <w:tcBorders>
              <w:bottom w:val="single" w:sz="8" w:color="auto"/>
            </w:tcBorders>
          </w:tcPr>
          <w:p>
            <w:pPr>
              <w:spacing w:after="0"/>
              <w:rPr>
                <w:sz w:val="11"/>
                <w:szCs w:val="11"/>
                <w:color w:val="auto"/>
              </w:rPr>
            </w:pPr>
          </w:p>
        </w:tc>
      </w:tr>
      <w:tr>
        <w:trPr>
          <w:trHeight w:val="133"/>
        </w:trPr>
        <w:tc>
          <w:tcPr>
            <w:tcW w:w="3400" w:type="dxa"/>
            <w:vAlign w:val="bottom"/>
            <w:tcBorders>
              <w:bottom w:val="single" w:sz="8" w:color="auto"/>
              <w:right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b w:val="1"/>
                <w:bCs w:val="1"/>
                <w:color w:val="auto"/>
              </w:rPr>
              <w:t>Fold Improvement</w:t>
            </w:r>
          </w:p>
        </w:tc>
        <w:tc>
          <w:tcPr>
            <w:tcW w:w="17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b w:val="1"/>
                <w:bCs w:val="1"/>
                <w:color w:val="auto"/>
                <w:w w:val="85"/>
              </w:rPr>
              <w:t>14.4</w:t>
            </w:r>
          </w:p>
        </w:tc>
        <w:tc>
          <w:tcPr>
            <w:tcW w:w="14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b w:val="1"/>
                <w:bCs w:val="1"/>
                <w:color w:val="auto"/>
                <w:w w:val="85"/>
              </w:rPr>
              <w:t>15.1</w:t>
            </w:r>
          </w:p>
        </w:tc>
        <w:tc>
          <w:tcPr>
            <w:tcW w:w="146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b w:val="1"/>
                <w:bCs w:val="1"/>
                <w:color w:val="auto"/>
                <w:w w:val="93"/>
              </w:rPr>
              <w:t>16.2</w:t>
            </w:r>
          </w:p>
        </w:tc>
        <w:tc>
          <w:tcPr>
            <w:tcW w:w="17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b w:val="1"/>
                <w:bCs w:val="1"/>
                <w:color w:val="auto"/>
                <w:w w:val="93"/>
              </w:rPr>
              <w:t>25.9</w:t>
            </w:r>
          </w:p>
        </w:tc>
        <w:tc>
          <w:tcPr>
            <w:tcW w:w="1540" w:type="dxa"/>
            <w:vAlign w:val="bottom"/>
            <w:tcBorders>
              <w:bottom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b w:val="1"/>
                <w:bCs w:val="1"/>
                <w:color w:val="auto"/>
                <w:w w:val="85"/>
              </w:rPr>
              <w:t>17.8</w:t>
            </w:r>
          </w:p>
        </w:tc>
        <w:tc>
          <w:tcPr>
            <w:tcW w:w="20" w:type="dxa"/>
            <w:vAlign w:val="bottom"/>
            <w:tcBorders>
              <w:bottom w:val="single" w:sz="8" w:color="auto"/>
            </w:tcBorders>
          </w:tcPr>
          <w:p>
            <w:pPr>
              <w:spacing w:after="0"/>
              <w:rPr>
                <w:sz w:val="11"/>
                <w:szCs w:val="11"/>
                <w:color w:val="auto"/>
              </w:rPr>
            </w:pPr>
          </w:p>
        </w:tc>
      </w:tr>
    </w:tbl>
    <w:p>
      <w:pPr>
        <w:jc w:val="both"/>
        <w:spacing w:after="0" w:line="255" w:lineRule="auto"/>
        <w:rPr>
          <w:sz w:val="20"/>
          <w:szCs w:val="20"/>
          <w:color w:val="auto"/>
        </w:rPr>
      </w:pPr>
      <w:r>
        <w:rPr>
          <w:rFonts w:ascii="Arial" w:cs="Arial" w:eastAsia="Arial" w:hAnsi="Arial"/>
          <w:sz w:val="12"/>
          <w:szCs w:val="12"/>
          <w:color w:val="auto"/>
        </w:rPr>
        <w:t>Non-Human Primate (NHP) data collected one month after second dose of 7.5 mcg; analysis of NHP serum was performed using non-replicating vesicular stomatitis virus pseudo-typed with the spike protein of the SARS-CoV-2 variants of concern indicated. Titers (geometric mean) were determined by calculating the dilution that resulted in 50% inhibition of cells expressing GFP encoded by the pseudovirus, a surrogate of virus infection. Error bars indicate geometric standard deviation.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 w:name="page7"/>
    <w:bookmarkEnd w:id="6"/>
    <w:p>
      <w:pPr>
        <w:ind w:right="240"/>
        <w:spacing w:after="0" w:line="276" w:lineRule="auto"/>
        <w:rPr>
          <w:sz w:val="20"/>
          <w:szCs w:val="20"/>
          <w:color w:val="auto"/>
        </w:rPr>
      </w:pPr>
      <w:r>
        <w:rPr>
          <w:rFonts w:ascii="Arial" w:cs="Arial" w:eastAsia="Arial" w:hAnsi="Arial"/>
          <w:sz w:val="12"/>
          <w:szCs w:val="12"/>
          <w:color w:val="auto"/>
        </w:rPr>
        <w:t>T cell responses for ARCT-021 and ARCT-154 are robust and similar in non-human primates. Notably, STARR™ mRNA vaccines elicit similar T cell responses against all variants of concern tested. The robust T cell responses are attributed to the self-amplifying mRNA mechanism of antigen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78740</wp:posOffset>
            </wp:positionV>
            <wp:extent cx="2200275" cy="2034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0275" cy="203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460" w:right="1480"/>
        <w:spacing w:after="0" w:line="298" w:lineRule="auto"/>
        <w:rPr>
          <w:sz w:val="20"/>
          <w:szCs w:val="20"/>
          <w:color w:val="auto"/>
        </w:rPr>
      </w:pPr>
      <w:r>
        <w:rPr>
          <w:rFonts w:ascii="Arial" w:cs="Arial" w:eastAsia="Arial" w:hAnsi="Arial"/>
          <w:sz w:val="11"/>
          <w:szCs w:val="11"/>
          <w:color w:val="auto"/>
        </w:rPr>
        <w:t>T cell responses from non-human primates assessed one month after second dose of 7.5 mcg; SARS-CoV-2 spike specific T cell responses were analyzed by ELISpot assay using overlapping 15-mer peptides spanning the entire spike antigen from the ancestral SARS-CoV-2 strains or the Alpha, Beta, and Gamma variants of concern. Spot Forming Units (SFU) were determined after background subtraction of unstimulated controls. Bars indicate mean values and error bars indicate standard deviation.</w:t>
      </w:r>
    </w:p>
    <w:p>
      <w:pPr>
        <w:spacing w:after="0" w:line="105" w:lineRule="exact"/>
        <w:rPr>
          <w:sz w:val="20"/>
          <w:szCs w:val="20"/>
          <w:color w:val="auto"/>
        </w:rPr>
      </w:pPr>
    </w:p>
    <w:p>
      <w:pPr>
        <w:ind w:left="420" w:hanging="212"/>
        <w:spacing w:after="0" w:line="323"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Arcturus announced approval of a Clinical Trial Application (CTA) from the Singapore Health Sciences Authority (HSA) enabling the advancement of ARCT-154 into a Phase 1/2 clinical trial to evaluate the vaccine as a primary vaccination series and as a booster following initial vaccination with Comirnaty® (marketed by Pfizer and BioNTech). The Phase 1/2 trial costs are funded in part from a previously secured grant from Singapore.</w:t>
      </w:r>
    </w:p>
    <w:p>
      <w:pPr>
        <w:spacing w:after="0" w:line="91" w:lineRule="exact"/>
        <w:rPr>
          <w:rFonts w:ascii="Arial" w:cs="Arial" w:eastAsia="Arial" w:hAnsi="Arial"/>
          <w:sz w:val="11"/>
          <w:szCs w:val="11"/>
          <w:color w:val="auto"/>
        </w:rPr>
      </w:pPr>
    </w:p>
    <w:p>
      <w:pPr>
        <w:ind w:left="420" w:right="40" w:hanging="212"/>
        <w:spacing w:after="0" w:line="263"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Arcturus announced that the company’s partner Vinbiocare received approval for a CTA from the Vietnam Ministry of Health to advance ARCT-154 into a Phase 1/2/3 clinical study. The trial is a randomized, observer-blind, placebo-controlled design, and is sponsored and completely funded by Vinbiocare. The Phase 1/2/3 study will assess the safety, immunogenicity and efficacy in up to 21,000 adults, with potential Emergency Use Authorization (EUA) by the Vietnam Ministry of Health in December 2021.</w:t>
      </w:r>
    </w:p>
    <w:p>
      <w:pPr>
        <w:spacing w:after="0" w:line="122"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Arcturus announced approval from the UK Health Research Authority to initiate a multiple dose Phase 2 clinical study for ARCT-810, a novel mRNA-based therapeutic candidate for Ornithine Transcarbamylase (OTC) Deficiency. The ARCT-810 Phase 2 study is a randomized, double-blind, placebo-controlled, nested single and multiple ascending dose design for adolescents and adults with OTC deficiency. ARCT-810 Phase 2 study interim results in a subset of participants are expected in H2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2"/>
          <w:szCs w:val="12"/>
          <w:b w:val="1"/>
          <w:bCs w:val="1"/>
          <w:color w:val="auto"/>
        </w:rPr>
        <w:t>Financial Results for the Quarter Ended June 30, 2021</w:t>
      </w:r>
    </w:p>
    <w:p>
      <w:pPr>
        <w:spacing w:after="0" w:line="19" w:lineRule="exact"/>
        <w:rPr>
          <w:sz w:val="20"/>
          <w:szCs w:val="20"/>
          <w:color w:val="auto"/>
        </w:rPr>
      </w:pPr>
    </w:p>
    <w:p>
      <w:pPr>
        <w:ind w:left="8" w:right="20"/>
        <w:spacing w:after="0" w:line="306" w:lineRule="auto"/>
        <w:rPr>
          <w:sz w:val="20"/>
          <w:szCs w:val="20"/>
          <w:color w:val="auto"/>
        </w:rPr>
      </w:pPr>
      <w:r>
        <w:rPr>
          <w:rFonts w:ascii="Arial" w:cs="Arial" w:eastAsia="Arial" w:hAnsi="Arial"/>
          <w:sz w:val="11"/>
          <w:szCs w:val="11"/>
          <w:color w:val="auto"/>
        </w:rPr>
        <w:t>Revenues in conjunction with strategic alliances and collaborations: Arcturus’ primary sources of revenues were from license fees and collaborative payments received from research and development arrangements with pharmaceutical and biotechnology partners. For the three months ended June 30, 2021, the Company reported revenue of $2.0 million compared with $2.3 million for the three months ended June 30, 2020.</w:t>
      </w:r>
    </w:p>
    <w:p>
      <w:pPr>
        <w:spacing w:after="0" w:line="101"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Operating expenses: Total operating expenses for the three months ended June 30, 2021, were $55.7 million compared with $12.4 million for the three months ended June 30, 2020 and $59.8 million for the three months ended March 31, 2021.</w:t>
      </w:r>
    </w:p>
    <w:p>
      <w:pPr>
        <w:spacing w:after="0" w:line="115" w:lineRule="exact"/>
        <w:rPr>
          <w:sz w:val="20"/>
          <w:szCs w:val="20"/>
          <w:color w:val="auto"/>
        </w:rPr>
      </w:pPr>
    </w:p>
    <w:p>
      <w:pPr>
        <w:jc w:val="both"/>
        <w:ind w:left="8"/>
        <w:spacing w:after="0" w:line="379" w:lineRule="auto"/>
        <w:rPr>
          <w:sz w:val="20"/>
          <w:szCs w:val="20"/>
          <w:color w:val="auto"/>
        </w:rPr>
      </w:pPr>
      <w:r>
        <w:rPr>
          <w:rFonts w:ascii="Arial" w:cs="Arial" w:eastAsia="Arial" w:hAnsi="Arial"/>
          <w:sz w:val="10"/>
          <w:szCs w:val="10"/>
          <w:color w:val="auto"/>
        </w:rPr>
        <w:t>Research and development expenses increased by approximately $37.7 million year over year in the second quarter ended June 30, 2021 due to increased personnel costs as well as expenses related to our ARCT-810 and ARCT-021 programs. Research and development declined by approximately $5 million sequentially in the June 2021 quarter due primarily to the one-time $5 million exclusive license cost from Alexion Pharmaceuticals in the first quarter of 2021.</w:t>
      </w:r>
    </w:p>
    <w:p>
      <w:pPr>
        <w:spacing w:after="0" w:line="69"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For the three months ended June 30, 2021, Arcturus reported a net loss of approximately $54.6 million, or ($2.07) per basic and diluted share, compared with a net loss of $10.3 million, or ($0.55) per basic and diluted share in the three months ended June 30, 2020.</w:t>
      </w:r>
    </w:p>
    <w:p>
      <w:pPr>
        <w:spacing w:after="0" w:line="115"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Company’s cash balance totaled $433.6 million as of June 30, 2021, compared to a cash balance of $462.9 million at December 31, 2020. Subsequent to the end of the quarter, the company received the remaining $30 million of our upfront payment from Vinbiocare. Based on our current pipeline, the Company’s cash position is expected to be sufficient to support operations for more than two years.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Monday, August 9</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 4:30 p.m. ET</w:t>
      </w:r>
    </w:p>
    <w:p>
      <w:pPr>
        <w:ind w:left="8"/>
        <w:spacing w:after="0"/>
        <w:tabs>
          <w:tab w:leader="none" w:pos="2888" w:val="left"/>
        </w:tabs>
        <w:rPr>
          <w:sz w:val="20"/>
          <w:szCs w:val="20"/>
          <w:color w:val="auto"/>
        </w:rPr>
      </w:pPr>
      <w:r>
        <w:rPr>
          <w:rFonts w:ascii="Arial" w:cs="Arial" w:eastAsia="Arial" w:hAnsi="Arial"/>
          <w:sz w:val="12"/>
          <w:szCs w:val="12"/>
          <w:color w:val="auto"/>
        </w:rPr>
        <w:t>Domestic:</w:t>
      </w:r>
      <w:r>
        <w:rPr>
          <w:sz w:val="20"/>
          <w:szCs w:val="20"/>
          <w:color w:val="auto"/>
        </w:rPr>
        <w:tab/>
      </w:r>
      <w:r>
        <w:rPr>
          <w:rFonts w:ascii="Arial" w:cs="Arial" w:eastAsia="Arial" w:hAnsi="Arial"/>
          <w:sz w:val="12"/>
          <w:szCs w:val="12"/>
          <w:color w:val="auto"/>
        </w:rPr>
        <w:t>877-407-0784</w:t>
      </w:r>
    </w:p>
    <w:p>
      <w:pPr>
        <w:spacing w:after="0" w:line="5" w:lineRule="exact"/>
        <w:rPr>
          <w:sz w:val="20"/>
          <w:szCs w:val="20"/>
          <w:color w:val="auto"/>
        </w:rPr>
      </w:pPr>
    </w:p>
    <w:p>
      <w:pPr>
        <w:ind w:left="8"/>
        <w:spacing w:after="0"/>
        <w:tabs>
          <w:tab w:leader="none" w:pos="2888" w:val="left"/>
        </w:tabs>
        <w:rPr>
          <w:sz w:val="20"/>
          <w:szCs w:val="20"/>
          <w:color w:val="auto"/>
        </w:rPr>
      </w:pPr>
      <w:r>
        <w:rPr>
          <w:rFonts w:ascii="Arial" w:cs="Arial" w:eastAsia="Arial" w:hAnsi="Arial"/>
          <w:sz w:val="12"/>
          <w:szCs w:val="12"/>
          <w:color w:val="auto"/>
        </w:rPr>
        <w:t>International:</w:t>
      </w:r>
      <w:r>
        <w:rPr>
          <w:sz w:val="20"/>
          <w:szCs w:val="20"/>
          <w:color w:val="auto"/>
        </w:rPr>
        <w:tab/>
      </w:r>
      <w:r>
        <w:rPr>
          <w:rFonts w:ascii="Arial" w:cs="Arial" w:eastAsia="Arial" w:hAnsi="Arial"/>
          <w:sz w:val="12"/>
          <w:szCs w:val="12"/>
          <w:color w:val="auto"/>
        </w:rPr>
        <w:t>201-689-8560</w:t>
      </w:r>
    </w:p>
    <w:p>
      <w:pPr>
        <w:spacing w:after="0" w:line="6" w:lineRule="exact"/>
        <w:rPr>
          <w:sz w:val="20"/>
          <w:szCs w:val="20"/>
          <w:color w:val="auto"/>
        </w:rPr>
      </w:pPr>
    </w:p>
    <w:p>
      <w:pPr>
        <w:ind w:left="8"/>
        <w:spacing w:after="0"/>
        <w:tabs>
          <w:tab w:leader="none" w:pos="2888" w:val="left"/>
        </w:tabs>
        <w:rPr>
          <w:sz w:val="20"/>
          <w:szCs w:val="20"/>
          <w:color w:val="auto"/>
        </w:rPr>
      </w:pPr>
      <w:r>
        <w:rPr>
          <w:rFonts w:ascii="Arial" w:cs="Arial" w:eastAsia="Arial" w:hAnsi="Arial"/>
          <w:sz w:val="12"/>
          <w:szCs w:val="12"/>
          <w:color w:val="auto"/>
        </w:rPr>
        <w:t>Conference ID:</w:t>
      </w:r>
      <w:r>
        <w:rPr>
          <w:sz w:val="20"/>
          <w:szCs w:val="20"/>
          <w:color w:val="auto"/>
        </w:rPr>
        <w:tab/>
      </w:r>
      <w:r>
        <w:rPr>
          <w:rFonts w:ascii="Arial" w:cs="Arial" w:eastAsia="Arial" w:hAnsi="Arial"/>
          <w:sz w:val="10"/>
          <w:szCs w:val="10"/>
          <w:color w:val="auto"/>
        </w:rPr>
        <w:t>13721797</w:t>
      </w:r>
    </w:p>
    <w:p>
      <w:pPr>
        <w:spacing w:after="0" w:line="6" w:lineRule="exact"/>
        <w:rPr>
          <w:sz w:val="20"/>
          <w:szCs w:val="20"/>
          <w:color w:val="auto"/>
        </w:rPr>
      </w:pPr>
    </w:p>
    <w:p>
      <w:pPr>
        <w:ind w:left="8"/>
        <w:spacing w:after="0"/>
        <w:tabs>
          <w:tab w:leader="none" w:pos="2888" w:val="left"/>
        </w:tabs>
        <w:rPr>
          <w:sz w:val="20"/>
          <w:szCs w:val="20"/>
          <w:color w:val="auto"/>
        </w:rPr>
      </w:pPr>
      <w:r>
        <w:rPr>
          <w:rFonts w:ascii="Arial" w:cs="Arial" w:eastAsia="Arial" w:hAnsi="Arial"/>
          <w:sz w:val="12"/>
          <w:szCs w:val="12"/>
          <w:color w:val="auto"/>
        </w:rPr>
        <w:t>Webcast:</w:t>
      </w:r>
      <w:r>
        <w:rPr>
          <w:sz w:val="20"/>
          <w:szCs w:val="20"/>
          <w:color w:val="auto"/>
        </w:rPr>
        <w:tab/>
      </w:r>
      <w:r>
        <w:rPr>
          <w:rFonts w:ascii="Arial" w:cs="Arial" w:eastAsia="Arial" w:hAnsi="Arial"/>
          <w:sz w:val="12"/>
          <w:szCs w:val="12"/>
          <w:color w:val="0563C1"/>
        </w:rPr>
        <w:t>http://public.viavid.com/index.php?id=145873</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Arcturus Therapeutics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1"/>
          <w:szCs w:val="11"/>
          <w:color w:val="auto"/>
        </w:rPr>
        <w:t>Founded in 2013 and based in San Diego, California, Arcturus Therapeutics Holdings Inc. (Nasdaq: ARCT) is a clinical-stage mRNA medicines and vaccines company with enabling technologies: (i) LUNAR® lipid-mediated delivery,</w:t>
      </w:r>
    </w:p>
    <w:p>
      <w:pPr>
        <w:spacing w:after="0" w:line="18" w:lineRule="exact"/>
        <w:rPr>
          <w:sz w:val="20"/>
          <w:szCs w:val="20"/>
          <w:color w:val="auto"/>
        </w:rPr>
      </w:pPr>
    </w:p>
    <w:p>
      <w:pPr>
        <w:jc w:val="both"/>
        <w:ind w:left="8" w:hanging="8"/>
        <w:spacing w:after="0" w:line="252" w:lineRule="auto"/>
        <w:tabs>
          <w:tab w:leader="none" w:pos="18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(229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Medical School, and the Cystic Fibrosis Foundation. For more information visit </w:t>
      </w:r>
      <w:r>
        <w:rPr>
          <w:rFonts w:ascii="Arial" w:cs="Arial" w:eastAsia="Arial" w:hAnsi="Arial"/>
          <w:sz w:val="12"/>
          <w:szCs w:val="12"/>
          <w:color w:val="0563C1"/>
        </w:rPr>
        <w:t>www.ArcturusRx.com</w:t>
      </w:r>
      <w:r>
        <w:rPr>
          <w:rFonts w:ascii="Arial" w:cs="Arial" w:eastAsia="Arial" w:hAnsi="Arial"/>
          <w:sz w:val="12"/>
          <w:szCs w:val="12"/>
          <w:color w:val="auto"/>
        </w:rPr>
        <w:t xml:space="preserve">. In addition, please connect with us on </w:t>
      </w:r>
      <w:r>
        <w:rPr>
          <w:rFonts w:ascii="Arial" w:cs="Arial" w:eastAsia="Arial" w:hAnsi="Arial"/>
          <w:sz w:val="12"/>
          <w:szCs w:val="12"/>
          <w:color w:val="0563C1"/>
        </w:rPr>
        <w:t>Twitter</w:t>
      </w:r>
      <w:r>
        <w:rPr>
          <w:rFonts w:ascii="Arial" w:cs="Arial" w:eastAsia="Arial" w:hAnsi="Arial"/>
          <w:sz w:val="12"/>
          <w:szCs w:val="12"/>
          <w:color w:val="auto"/>
        </w:rPr>
        <w:t xml:space="preserve"> and </w:t>
      </w:r>
      <w:r>
        <w:rPr>
          <w:rFonts w:ascii="Arial" w:cs="Arial" w:eastAsia="Arial" w:hAnsi="Arial"/>
          <w:sz w:val="12"/>
          <w:szCs w:val="12"/>
          <w:color w:val="0563C1"/>
        </w:rPr>
        <w:t>LinkedIn</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333333"/>
        </w:rPr>
        <w:t>Forward Looking Statements</w:t>
      </w:r>
    </w:p>
    <w:p>
      <w:pPr>
        <w:spacing w:after="0" w:line="19" w:lineRule="exact"/>
        <w:rPr>
          <w:sz w:val="20"/>
          <w:szCs w:val="20"/>
          <w:color w:val="auto"/>
        </w:rPr>
      </w:pPr>
    </w:p>
    <w:p>
      <w:pPr>
        <w:jc w:val="both"/>
        <w:spacing w:after="0" w:line="275" w:lineRule="auto"/>
        <w:rPr>
          <w:sz w:val="20"/>
          <w:szCs w:val="20"/>
          <w:color w:val="auto"/>
        </w:rPr>
      </w:pPr>
      <w:r>
        <w:rPr>
          <w:rFonts w:ascii="Arial" w:cs="Arial" w:eastAsia="Arial" w:hAnsi="Arial"/>
          <w:sz w:val="11"/>
          <w:szCs w:val="11"/>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collaborations, the planned initiation, design or completion of clinical trials, anticipated sponsorship and/or funding of clinical trials of our candidates, the likelihood that the Company will obtain clearance from regulatory authorities to proceed with planned clinical trials, the ability to enroll subjects in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anticipated timing for regulatory submissions, the timing of, and expectations for, any results of any preclinical or clinical studies or regulatory approvals, the likelihood of success (including safety and efficacy) of the Company’s pipeline, including ARCT-021, ARCT-154 and ARCT-810, the potential administration regimen or dosage, or ability to administer multiple doses of, any of the Company’s drug candidates, the Company’s efforts to develop a vaccine against COVID-19 and therapeutic potential thereof based on the Company’s mRNA therapeutics, the Company’s manufacturing methods and technologies, the likelihood that a patent will issue from any patent application, its current cash position and adequacy of its capital to support future operations, and the impact of general business and economic conditions. Actual results and performance could differ materially from those projected in any forward-looking statements as a result of many factors including, without limitation, the ability to enroll subjects in clinical trials as a result of the COVID-19 pandemic, the impact of commercialization of third-party COVID-19 vaccines on the design, and ability to conduct, clinical trials, the availability of manufacturing capacity and raw materials, unexpected clinical results, government regulations impacting the regulatory environment or intellectual property landscape, and general market conditions that may prevent such achievements or performance.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Trademark Acknowledgements</w:t>
      </w:r>
    </w:p>
    <w:p>
      <w:pPr>
        <w:spacing w:after="0" w:line="19" w:lineRule="exact"/>
        <w:rPr>
          <w:sz w:val="20"/>
          <w:szCs w:val="20"/>
          <w:color w:val="auto"/>
        </w:rPr>
      </w:pPr>
    </w:p>
    <w:p>
      <w:pPr>
        <w:jc w:val="both"/>
        <w:ind w:right="20"/>
        <w:spacing w:after="0" w:line="212" w:lineRule="auto"/>
        <w:rPr>
          <w:sz w:val="20"/>
          <w:szCs w:val="20"/>
          <w:color w:val="auto"/>
        </w:rPr>
      </w:pPr>
      <w:r>
        <w:rPr>
          <w:rFonts w:ascii="Arial" w:cs="Arial" w:eastAsia="Arial" w:hAnsi="Arial"/>
          <w:sz w:val="12"/>
          <w:szCs w:val="12"/>
          <w:color w:val="auto"/>
        </w:rPr>
        <w:t>The Arcturus logo and other trademarks of Arcturus appearing in this announcement, including LUNAR</w:t>
      </w:r>
      <w:r>
        <w:rPr>
          <w:rFonts w:ascii="Arial" w:cs="Arial" w:eastAsia="Arial" w:hAnsi="Arial"/>
          <w:sz w:val="19"/>
          <w:szCs w:val="19"/>
          <w:color w:val="auto"/>
          <w:vertAlign w:val="superscript"/>
        </w:rPr>
        <w:t>®</w:t>
      </w:r>
      <w:r>
        <w:rPr>
          <w:rFonts w:ascii="Arial" w:cs="Arial" w:eastAsia="Arial" w:hAnsi="Arial"/>
          <w:sz w:val="12"/>
          <w:szCs w:val="12"/>
          <w:color w:val="auto"/>
        </w:rPr>
        <w:t xml:space="preserve">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7"/>
        </w:trPr>
        <w:tc>
          <w:tcPr>
            <w:tcW w:w="2940" w:type="dxa"/>
            <w:vAlign w:val="bottom"/>
          </w:tcPr>
          <w:p>
            <w:pPr>
              <w:spacing w:after="0"/>
              <w:rPr>
                <w:sz w:val="13"/>
                <w:szCs w:val="13"/>
                <w:color w:val="auto"/>
              </w:rPr>
            </w:pPr>
          </w:p>
        </w:tc>
        <w:tc>
          <w:tcPr>
            <w:tcW w:w="5220" w:type="dxa"/>
            <w:vAlign w:val="bottom"/>
            <w:gridSpan w:val="4"/>
          </w:tcPr>
          <w:p>
            <w:pPr>
              <w:jc w:val="center"/>
              <w:ind w:left="120"/>
              <w:spacing w:after="0"/>
              <w:rPr>
                <w:sz w:val="20"/>
                <w:szCs w:val="20"/>
                <w:color w:val="auto"/>
              </w:rPr>
            </w:pPr>
            <w:r>
              <w:rPr>
                <w:rFonts w:ascii="Arial" w:cs="Arial" w:eastAsia="Arial" w:hAnsi="Arial"/>
                <w:sz w:val="12"/>
                <w:szCs w:val="12"/>
                <w:b w:val="1"/>
                <w:bCs w:val="1"/>
                <w:color w:val="auto"/>
              </w:rPr>
              <w:t>ARCTURUS THERAPEUTICS HOLDINGS INC. AND ITS SUBSIDIARIES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88"/>
        </w:trPr>
        <w:tc>
          <w:tcPr>
            <w:tcW w:w="2940" w:type="dxa"/>
            <w:vAlign w:val="bottom"/>
          </w:tcPr>
          <w:p>
            <w:pPr>
              <w:spacing w:after="0"/>
              <w:rPr>
                <w:sz w:val="24"/>
                <w:szCs w:val="24"/>
                <w:color w:val="auto"/>
              </w:rPr>
            </w:pPr>
          </w:p>
        </w:tc>
        <w:tc>
          <w:tcPr>
            <w:tcW w:w="5220" w:type="dxa"/>
            <w:vAlign w:val="bottom"/>
            <w:gridSpan w:val="4"/>
          </w:tcPr>
          <w:p>
            <w:pPr>
              <w:jc w:val="center"/>
              <w:ind w:left="14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8"/>
        </w:trPr>
        <w:tc>
          <w:tcPr>
            <w:tcW w:w="2940" w:type="dxa"/>
            <w:vAlign w:val="bottom"/>
          </w:tcPr>
          <w:p>
            <w:pPr>
              <w:spacing w:after="0"/>
              <w:rPr>
                <w:sz w:val="24"/>
                <w:szCs w:val="24"/>
                <w:color w:val="auto"/>
              </w:rPr>
            </w:pPr>
          </w:p>
        </w:tc>
        <w:tc>
          <w:tcPr>
            <w:tcW w:w="3900" w:type="dxa"/>
            <w:vAlign w:val="bottom"/>
            <w:gridSpan w:val="2"/>
          </w:tcPr>
          <w:p>
            <w:pPr>
              <w:jc w:val="center"/>
              <w:ind w:left="1440"/>
              <w:spacing w:after="0"/>
              <w:rPr>
                <w:sz w:val="20"/>
                <w:szCs w:val="20"/>
                <w:color w:val="auto"/>
              </w:rPr>
            </w:pPr>
            <w:r>
              <w:rPr>
                <w:rFonts w:ascii="Arial" w:cs="Arial" w:eastAsia="Arial" w:hAnsi="Arial"/>
                <w:sz w:val="12"/>
                <w:szCs w:val="12"/>
                <w:color w:val="auto"/>
                <w:w w:val="90"/>
              </w:rPr>
              <w:t>(in thousands, except par value information)</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5"/>
        </w:trPr>
        <w:tc>
          <w:tcPr>
            <w:tcW w:w="29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23"/>
                <w:szCs w:val="23"/>
                <w:color w:val="auto"/>
              </w:rPr>
            </w:pPr>
          </w:p>
        </w:tc>
        <w:tc>
          <w:tcPr>
            <w:tcW w:w="1420" w:type="dxa"/>
            <w:vAlign w:val="bottom"/>
            <w:gridSpan w:val="2"/>
          </w:tcPr>
          <w:p>
            <w:pPr>
              <w:ind w:left="200"/>
              <w:spacing w:after="0"/>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23"/>
                <w:szCs w:val="23"/>
                <w:color w:val="auto"/>
              </w:rPr>
            </w:pPr>
          </w:p>
        </w:tc>
        <w:tc>
          <w:tcPr>
            <w:tcW w:w="1240" w:type="dxa"/>
            <w:vAlign w:val="bottom"/>
          </w:tcPr>
          <w:p>
            <w:pPr>
              <w:jc w:val="right"/>
              <w:ind w:right="320"/>
              <w:spacing w:after="0"/>
              <w:rPr>
                <w:sz w:val="20"/>
                <w:szCs w:val="20"/>
                <w:color w:val="auto"/>
              </w:rPr>
            </w:pPr>
            <w:r>
              <w:rPr>
                <w:rFonts w:ascii="Arial" w:cs="Arial" w:eastAsia="Arial" w:hAnsi="Arial"/>
                <w:sz w:val="12"/>
                <w:szCs w:val="12"/>
                <w:b w:val="1"/>
                <w:bCs w:val="1"/>
                <w:color w:val="auto"/>
              </w:rPr>
              <w:t>December 31,</w:t>
            </w:r>
          </w:p>
        </w:tc>
      </w:tr>
      <w:tr>
        <w:trPr>
          <w:trHeight w:val="157"/>
        </w:trPr>
        <w:tc>
          <w:tcPr>
            <w:tcW w:w="2940" w:type="dxa"/>
            <w:vAlign w:val="bottom"/>
            <w:tcBorders>
              <w:bottom w:val="single" w:sz="8" w:color="CCEEFF"/>
            </w:tcBorders>
          </w:tcPr>
          <w:p>
            <w:pPr>
              <w:spacing w:after="0"/>
              <w:rPr>
                <w:sz w:val="13"/>
                <w:szCs w:val="13"/>
                <w:color w:val="auto"/>
              </w:rPr>
            </w:pPr>
          </w:p>
        </w:tc>
        <w:tc>
          <w:tcPr>
            <w:tcW w:w="35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r>
      <w:tr>
        <w:trPr>
          <w:trHeight w:val="133"/>
        </w:trPr>
        <w:tc>
          <w:tcPr>
            <w:tcW w:w="294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b w:val="1"/>
                <w:bCs w:val="1"/>
                <w:color w:val="auto"/>
              </w:rPr>
              <w:t>(unaudited)</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b w:val="1"/>
                <w:bCs w:val="1"/>
                <w:color w:val="auto"/>
              </w:rPr>
              <w:t>(unaudited)</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44"/>
        </w:trPr>
        <w:tc>
          <w:tcPr>
            <w:tcW w:w="29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assets:</w:t>
            </w:r>
          </w:p>
        </w:tc>
        <w:tc>
          <w:tcPr>
            <w:tcW w:w="3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Cash and cash equivalents</w:t>
            </w:r>
          </w:p>
        </w:tc>
        <w:tc>
          <w:tcPr>
            <w:tcW w:w="3900" w:type="dxa"/>
            <w:vAlign w:val="bottom"/>
            <w:gridSpan w:val="2"/>
          </w:tcPr>
          <w:p>
            <w:pPr>
              <w:jc w:val="right"/>
              <w:ind w:right="292"/>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433,574</w:t>
            </w:r>
          </w:p>
        </w:tc>
        <w:tc>
          <w:tcPr>
            <w:tcW w:w="24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466,839</w:t>
            </w:r>
          </w:p>
        </w:tc>
        <w:tc>
          <w:tcPr>
            <w:tcW w:w="22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462,895</w:t>
            </w: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w:t>
            </w:r>
          </w:p>
        </w:tc>
        <w:tc>
          <w:tcPr>
            <w:tcW w:w="3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2,163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2,125</w:t>
            </w:r>
          </w:p>
        </w:tc>
      </w:tr>
      <w:tr>
        <w:trPr>
          <w:trHeight w:val="153"/>
        </w:trPr>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35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2,301</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1,150</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2,769</w:t>
            </w: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current assets</w:t>
            </w:r>
          </w:p>
        </w:tc>
        <w:tc>
          <w:tcPr>
            <w:tcW w:w="3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438,038</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469,996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467,789</w:t>
            </w: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3,407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3,427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3,378</w:t>
            </w: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right-of-use asset, net</w:t>
            </w:r>
          </w:p>
        </w:tc>
        <w:tc>
          <w:tcPr>
            <w:tcW w:w="3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6,341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6,690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5,182</w:t>
            </w: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Equity-method investment</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920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1,248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Non-current restricted cash</w:t>
            </w:r>
          </w:p>
        </w:tc>
        <w:tc>
          <w:tcPr>
            <w:tcW w:w="35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107</w:t>
            </w:r>
          </w:p>
        </w:tc>
        <w:tc>
          <w:tcPr>
            <w:tcW w:w="2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107</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107</w:t>
            </w:r>
          </w:p>
        </w:tc>
      </w:tr>
      <w:tr>
        <w:trPr>
          <w:trHeight w:val="149"/>
        </w:trPr>
        <w:tc>
          <w:tcPr>
            <w:tcW w:w="2940" w:type="dxa"/>
            <w:vAlign w:val="bottom"/>
          </w:tcPr>
          <w:p>
            <w:pPr>
              <w:spacing w:after="0" w:line="137" w:lineRule="exact"/>
              <w:rPr>
                <w:sz w:val="20"/>
                <w:szCs w:val="20"/>
                <w:color w:val="auto"/>
              </w:rPr>
            </w:pPr>
            <w:r>
              <w:rPr>
                <w:rFonts w:ascii="Arial" w:cs="Arial" w:eastAsia="Arial" w:hAnsi="Arial"/>
                <w:sz w:val="12"/>
                <w:szCs w:val="12"/>
                <w:b w:val="1"/>
                <w:bCs w:val="1"/>
                <w:color w:val="auto"/>
              </w:rPr>
              <w:t>Total assets</w:t>
            </w:r>
          </w:p>
        </w:tc>
        <w:tc>
          <w:tcPr>
            <w:tcW w:w="3900" w:type="dxa"/>
            <w:vAlign w:val="bottom"/>
            <w:gridSpan w:val="2"/>
          </w:tcPr>
          <w:p>
            <w:pPr>
              <w:jc w:val="right"/>
              <w:ind w:right="292"/>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448,813</w:t>
            </w:r>
          </w:p>
        </w:tc>
        <w:tc>
          <w:tcPr>
            <w:tcW w:w="24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481,468</w:t>
            </w:r>
          </w:p>
        </w:tc>
        <w:tc>
          <w:tcPr>
            <w:tcW w:w="22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476,456</w:t>
            </w:r>
          </w:p>
        </w:tc>
      </w:tr>
      <w:tr>
        <w:trPr>
          <w:trHeight w:val="144"/>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35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r>
      <w:tr>
        <w:trPr>
          <w:trHeight w:val="144"/>
        </w:trPr>
        <w:tc>
          <w:tcPr>
            <w:tcW w:w="294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4"/>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3900" w:type="dxa"/>
            <w:vAlign w:val="bottom"/>
            <w:gridSpan w:val="2"/>
            <w:shd w:val="clear" w:color="auto" w:fill="CCEEFF"/>
          </w:tcPr>
          <w:p>
            <w:pPr>
              <w:jc w:val="right"/>
              <w:ind w:right="292"/>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10,084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5,597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10,774</w:t>
            </w: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Accrued liabilities</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42,614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29,800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20,639</w:t>
            </w:r>
          </w:p>
        </w:tc>
      </w:tr>
      <w:tr>
        <w:trPr>
          <w:trHeight w:val="153"/>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Deferred revenue</w:t>
            </w:r>
          </w:p>
        </w:tc>
        <w:tc>
          <w:tcPr>
            <w:tcW w:w="35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18,071</w:t>
            </w:r>
          </w:p>
        </w:tc>
        <w:tc>
          <w:tcPr>
            <w:tcW w:w="2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17,936</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18,108</w:t>
            </w: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2"/>
                <w:szCs w:val="12"/>
                <w:b w:val="1"/>
                <w:bCs w:val="1"/>
                <w:color w:val="auto"/>
              </w:rPr>
              <w:t>Total current liabilities</w:t>
            </w:r>
          </w:p>
        </w:tc>
        <w:tc>
          <w:tcPr>
            <w:tcW w:w="3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0"/>
              <w:spacing w:after="0" w:line="133" w:lineRule="exact"/>
              <w:rPr>
                <w:sz w:val="20"/>
                <w:szCs w:val="20"/>
                <w:color w:val="auto"/>
              </w:rPr>
            </w:pPr>
            <w:r>
              <w:rPr>
                <w:rFonts w:ascii="Arial" w:cs="Arial" w:eastAsia="Arial" w:hAnsi="Arial"/>
                <w:sz w:val="12"/>
                <w:szCs w:val="12"/>
                <w:color w:val="auto"/>
              </w:rPr>
              <w:t>70,769</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53,333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60"/>
              <w:spacing w:after="0" w:line="133" w:lineRule="exact"/>
              <w:rPr>
                <w:sz w:val="20"/>
                <w:szCs w:val="20"/>
                <w:color w:val="auto"/>
              </w:rPr>
            </w:pPr>
            <w:r>
              <w:rPr>
                <w:rFonts w:ascii="Arial" w:cs="Arial" w:eastAsia="Arial" w:hAnsi="Arial"/>
                <w:sz w:val="12"/>
                <w:szCs w:val="12"/>
                <w:color w:val="auto"/>
              </w:rPr>
              <w:t>49,521</w:t>
            </w: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 net of current portion</w:t>
            </w:r>
          </w:p>
        </w:tc>
        <w:tc>
          <w:tcPr>
            <w:tcW w:w="3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9,850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11,313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12,512</w:t>
            </w:r>
          </w:p>
        </w:tc>
      </w:tr>
      <w:tr>
        <w:trPr>
          <w:trHeight w:val="144"/>
        </w:trPr>
        <w:tc>
          <w:tcPr>
            <w:tcW w:w="294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56,309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58,147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13,845</w:t>
            </w:r>
          </w:p>
        </w:tc>
      </w:tr>
      <w:tr>
        <w:trPr>
          <w:trHeight w:val="144"/>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liability, net of current portion</w:t>
            </w:r>
          </w:p>
        </w:tc>
        <w:tc>
          <w:tcPr>
            <w:tcW w:w="3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5,359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5,710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4,025</w:t>
            </w:r>
          </w:p>
        </w:tc>
      </w:tr>
      <w:tr>
        <w:trPr>
          <w:trHeight w:val="153"/>
        </w:trPr>
        <w:tc>
          <w:tcPr>
            <w:tcW w:w="2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long-term liabilities</w:t>
            </w:r>
          </w:p>
        </w:tc>
        <w:tc>
          <w:tcPr>
            <w:tcW w:w="35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878</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358</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33"/>
        </w:trPr>
        <w:tc>
          <w:tcPr>
            <w:tcW w:w="29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35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143,165</w:t>
            </w:r>
          </w:p>
        </w:tc>
        <w:tc>
          <w:tcPr>
            <w:tcW w:w="2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128,861</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79,903</w:t>
            </w: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2"/>
                <w:szCs w:val="12"/>
                <w:b w:val="1"/>
                <w:bCs w:val="1"/>
                <w:color w:val="auto"/>
              </w:rPr>
              <w:t>Stockholders’ equity</w:t>
            </w:r>
          </w:p>
        </w:tc>
        <w:tc>
          <w:tcPr>
            <w:tcW w:w="3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5"/>
        </w:trPr>
        <w:tc>
          <w:tcPr>
            <w:tcW w:w="68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w w:val="99"/>
              </w:rPr>
              <w:t>Common stock: $0.001 par value; 60,000 shares authorized; 26,327 issued and outstanding at June 30, 2021, 26,319 issued and</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3"/>
        </w:trPr>
        <w:tc>
          <w:tcPr>
            <w:tcW w:w="6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at March 31, 2021 and 26,192 issued and outstanding at December 31, 2020</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r>
      <w:tr>
        <w:trPr>
          <w:trHeight w:val="144"/>
        </w:trPr>
        <w:tc>
          <w:tcPr>
            <w:tcW w:w="294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560,365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552,743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540,343</w:t>
            </w:r>
          </w:p>
        </w:tc>
      </w:tr>
      <w:tr>
        <w:trPr>
          <w:trHeight w:val="153"/>
        </w:trPr>
        <w:tc>
          <w:tcPr>
            <w:tcW w:w="2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deficit</w:t>
            </w:r>
          </w:p>
        </w:tc>
        <w:tc>
          <w:tcPr>
            <w:tcW w:w="35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(254,743)</w:t>
            </w:r>
          </w:p>
        </w:tc>
        <w:tc>
          <w:tcPr>
            <w:tcW w:w="2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(200,162)</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(143,816)</w:t>
            </w:r>
          </w:p>
        </w:tc>
      </w:tr>
      <w:tr>
        <w:trPr>
          <w:trHeight w:val="133"/>
        </w:trPr>
        <w:tc>
          <w:tcPr>
            <w:tcW w:w="29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stockholders’ equity</w:t>
            </w:r>
          </w:p>
        </w:tc>
        <w:tc>
          <w:tcPr>
            <w:tcW w:w="35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rPr>
              <w:t>305,648</w:t>
            </w:r>
          </w:p>
        </w:tc>
        <w:tc>
          <w:tcPr>
            <w:tcW w:w="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rPr>
              <w:t>352,607</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rPr>
              <w:t>396,553</w:t>
            </w:r>
          </w:p>
        </w:tc>
      </w:tr>
      <w:tr>
        <w:trPr>
          <w:trHeight w:val="149"/>
        </w:trPr>
        <w:tc>
          <w:tcPr>
            <w:tcW w:w="294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liabilities and stockholders’ equity</w:t>
            </w:r>
          </w:p>
        </w:tc>
        <w:tc>
          <w:tcPr>
            <w:tcW w:w="3900" w:type="dxa"/>
            <w:vAlign w:val="bottom"/>
            <w:gridSpan w:val="2"/>
            <w:shd w:val="clear" w:color="auto" w:fill="CCEEFF"/>
          </w:tcPr>
          <w:p>
            <w:pPr>
              <w:jc w:val="right"/>
              <w:ind w:right="292"/>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448,813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481,468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476,456</w:t>
            </w:r>
          </w:p>
        </w:tc>
      </w:tr>
      <w:tr>
        <w:trPr>
          <w:trHeight w:val="378"/>
        </w:trPr>
        <w:tc>
          <w:tcPr>
            <w:tcW w:w="2940" w:type="dxa"/>
            <w:vAlign w:val="bottom"/>
            <w:tcBorders>
              <w:top w:val="single" w:sz="8" w:color="CCEEFF"/>
              <w:bottom w:val="single" w:sz="8" w:color="auto"/>
            </w:tcBorders>
          </w:tcPr>
          <w:p>
            <w:pPr>
              <w:spacing w:after="0"/>
              <w:rPr>
                <w:sz w:val="24"/>
                <w:szCs w:val="24"/>
                <w:color w:val="auto"/>
              </w:rPr>
            </w:pPr>
          </w:p>
        </w:tc>
        <w:tc>
          <w:tcPr>
            <w:tcW w:w="35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10" w:name="page11"/>
    <w:bookmarkEnd w:id="1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5340" w:type="dxa"/>
            <w:vAlign w:val="bottom"/>
            <w:gridSpan w:val="4"/>
          </w:tcPr>
          <w:p>
            <w:pPr>
              <w:jc w:val="center"/>
              <w:ind w:left="240"/>
              <w:spacing w:after="0"/>
              <w:rPr>
                <w:sz w:val="20"/>
                <w:szCs w:val="20"/>
                <w:color w:val="auto"/>
              </w:rPr>
            </w:pPr>
            <w:r>
              <w:rPr>
                <w:rFonts w:ascii="Arial" w:cs="Arial" w:eastAsia="Arial" w:hAnsi="Arial"/>
                <w:sz w:val="12"/>
                <w:szCs w:val="12"/>
                <w:b w:val="1"/>
                <w:bCs w:val="1"/>
                <w:color w:val="auto"/>
              </w:rPr>
              <w:t>ARCTURUS THERAPEUTICS HOLDINGS INC. AND ITS SUBSIDIARIES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88"/>
        </w:trPr>
        <w:tc>
          <w:tcPr>
            <w:tcW w:w="2820" w:type="dxa"/>
            <w:vAlign w:val="bottom"/>
          </w:tcPr>
          <w:p>
            <w:pPr>
              <w:spacing w:after="0"/>
              <w:rPr>
                <w:sz w:val="24"/>
                <w:szCs w:val="24"/>
                <w:color w:val="auto"/>
              </w:rPr>
            </w:pPr>
          </w:p>
        </w:tc>
        <w:tc>
          <w:tcPr>
            <w:tcW w:w="5500" w:type="dxa"/>
            <w:vAlign w:val="bottom"/>
            <w:gridSpan w:val="5"/>
          </w:tcPr>
          <w:p>
            <w:pPr>
              <w:jc w:val="center"/>
              <w:ind w:left="80"/>
              <w:spacing w:after="0"/>
              <w:rPr>
                <w:sz w:val="20"/>
                <w:szCs w:val="20"/>
                <w:color w:val="auto"/>
              </w:rPr>
            </w:pPr>
            <w:r>
              <w:rPr>
                <w:rFonts w:ascii="Arial" w:cs="Arial" w:eastAsia="Arial" w:hAnsi="Arial"/>
                <w:sz w:val="12"/>
                <w:szCs w:val="12"/>
                <w:b w:val="1"/>
                <w:bCs w:val="1"/>
                <w:color w:val="auto"/>
                <w:w w:val="98"/>
              </w:rPr>
              <w:t>CONDENSED CONSOLIDATED STATEMENTS OF OPERATIONS AND COMPREHENSIVE LOSS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2820" w:type="dxa"/>
            <w:vAlign w:val="bottom"/>
          </w:tcPr>
          <w:p>
            <w:pPr>
              <w:spacing w:after="0"/>
              <w:rPr>
                <w:sz w:val="24"/>
                <w:szCs w:val="24"/>
                <w:color w:val="auto"/>
              </w:rPr>
            </w:pPr>
          </w:p>
        </w:tc>
        <w:tc>
          <w:tcPr>
            <w:tcW w:w="3960" w:type="dxa"/>
            <w:vAlign w:val="bottom"/>
            <w:gridSpan w:val="2"/>
          </w:tcPr>
          <w:p>
            <w:pPr>
              <w:jc w:val="center"/>
              <w:ind w:left="1620"/>
              <w:spacing w:after="0"/>
              <w:rPr>
                <w:sz w:val="20"/>
                <w:szCs w:val="20"/>
                <w:color w:val="auto"/>
              </w:rPr>
            </w:pPr>
            <w:r>
              <w:rPr>
                <w:rFonts w:ascii="Arial" w:cs="Arial" w:eastAsia="Arial" w:hAnsi="Arial"/>
                <w:sz w:val="12"/>
                <w:szCs w:val="12"/>
                <w:b w:val="1"/>
                <w:bCs w:val="1"/>
                <w:color w:val="auto"/>
                <w:w w:val="91"/>
              </w:rPr>
              <w:t>(unaudited)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2820" w:type="dxa"/>
            <w:vAlign w:val="bottom"/>
          </w:tcPr>
          <w:p>
            <w:pPr>
              <w:spacing w:after="0"/>
              <w:rPr>
                <w:sz w:val="24"/>
                <w:szCs w:val="24"/>
                <w:color w:val="auto"/>
              </w:rPr>
            </w:pPr>
          </w:p>
        </w:tc>
        <w:tc>
          <w:tcPr>
            <w:tcW w:w="3960" w:type="dxa"/>
            <w:vAlign w:val="bottom"/>
            <w:gridSpan w:val="2"/>
          </w:tcPr>
          <w:p>
            <w:pPr>
              <w:jc w:val="right"/>
              <w:ind w:right="232"/>
              <w:spacing w:after="0"/>
              <w:rPr>
                <w:sz w:val="20"/>
                <w:szCs w:val="20"/>
                <w:color w:val="auto"/>
              </w:rPr>
            </w:pPr>
            <w:r>
              <w:rPr>
                <w:rFonts w:ascii="Arial" w:cs="Arial" w:eastAsia="Arial" w:hAnsi="Arial"/>
                <w:sz w:val="12"/>
                <w:szCs w:val="12"/>
                <w:color w:val="auto"/>
              </w:rPr>
              <w:t>(in thousands except per share data)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2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28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June 30,</w:t>
            </w:r>
          </w:p>
        </w:tc>
        <w:tc>
          <w:tcPr>
            <w:tcW w:w="1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March 31,</w:t>
            </w:r>
          </w:p>
        </w:tc>
      </w:tr>
      <w:tr>
        <w:trPr>
          <w:trHeight w:val="142"/>
        </w:trPr>
        <w:tc>
          <w:tcPr>
            <w:tcW w:w="282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r>
      <w:tr>
        <w:trPr>
          <w:trHeight w:val="133"/>
        </w:trPr>
        <w:tc>
          <w:tcPr>
            <w:tcW w:w="28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Collaboration revenue</w:t>
            </w:r>
          </w:p>
        </w:tc>
        <w:tc>
          <w:tcPr>
            <w:tcW w:w="36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2,001</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2,322</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2,127</w:t>
            </w:r>
          </w:p>
        </w:tc>
      </w:tr>
      <w:tr>
        <w:trPr>
          <w:trHeight w:val="144"/>
        </w:trPr>
        <w:tc>
          <w:tcPr>
            <w:tcW w:w="282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4"/>
        </w:trPr>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Research and development, net</w:t>
            </w:r>
          </w:p>
        </w:tc>
        <w:tc>
          <w:tcPr>
            <w:tcW w:w="3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45,679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7,944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50,050</w:t>
            </w:r>
          </w:p>
        </w:tc>
      </w:tr>
      <w:tr>
        <w:trPr>
          <w:trHeight w:val="153"/>
        </w:trPr>
        <w:tc>
          <w:tcPr>
            <w:tcW w:w="2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General and administrative</w:t>
            </w:r>
          </w:p>
        </w:tc>
        <w:tc>
          <w:tcPr>
            <w:tcW w:w="36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10,042</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4,420</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9,743</w:t>
            </w:r>
          </w:p>
        </w:tc>
      </w:tr>
      <w:tr>
        <w:trPr>
          <w:trHeight w:val="133"/>
        </w:trPr>
        <w:tc>
          <w:tcPr>
            <w:tcW w:w="282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rPr>
              <w:t>Total operating expenses</w:t>
            </w:r>
          </w:p>
        </w:tc>
        <w:tc>
          <w:tcPr>
            <w:tcW w:w="36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55,721</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12,364</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59,793</w:t>
            </w:r>
          </w:p>
        </w:tc>
      </w:tr>
      <w:tr>
        <w:trPr>
          <w:trHeight w:val="133"/>
        </w:trPr>
        <w:tc>
          <w:tcPr>
            <w:tcW w:w="2820" w:type="dxa"/>
            <w:vAlign w:val="bottom"/>
          </w:tcPr>
          <w:p>
            <w:pPr>
              <w:spacing w:after="0" w:line="133" w:lineRule="exact"/>
              <w:rPr>
                <w:sz w:val="20"/>
                <w:szCs w:val="20"/>
                <w:color w:val="auto"/>
              </w:rPr>
            </w:pPr>
            <w:r>
              <w:rPr>
                <w:rFonts w:ascii="Arial" w:cs="Arial" w:eastAsia="Arial" w:hAnsi="Arial"/>
                <w:sz w:val="12"/>
                <w:szCs w:val="12"/>
                <w:color w:val="auto"/>
              </w:rPr>
              <w:t>Loss from operations</w:t>
            </w:r>
          </w:p>
        </w:tc>
        <w:tc>
          <w:tcPr>
            <w:tcW w:w="3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(53,720)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20"/>
              <w:spacing w:after="0" w:line="133" w:lineRule="exact"/>
              <w:rPr>
                <w:sz w:val="20"/>
                <w:szCs w:val="20"/>
                <w:color w:val="auto"/>
              </w:rPr>
            </w:pPr>
            <w:r>
              <w:rPr>
                <w:rFonts w:ascii="Arial" w:cs="Arial" w:eastAsia="Arial" w:hAnsi="Arial"/>
                <w:sz w:val="12"/>
                <w:szCs w:val="12"/>
                <w:color w:val="auto"/>
              </w:rPr>
              <w:t>(10,042)</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ind w:right="20"/>
              <w:spacing w:after="0" w:line="133" w:lineRule="exact"/>
              <w:rPr>
                <w:sz w:val="20"/>
                <w:szCs w:val="20"/>
                <w:color w:val="auto"/>
              </w:rPr>
            </w:pPr>
            <w:r>
              <w:rPr>
                <w:rFonts w:ascii="Arial" w:cs="Arial" w:eastAsia="Arial" w:hAnsi="Arial"/>
                <w:sz w:val="12"/>
                <w:szCs w:val="12"/>
                <w:color w:val="auto"/>
              </w:rPr>
              <w:t>(57,666)</w:t>
            </w:r>
          </w:p>
        </w:tc>
      </w:tr>
      <w:tr>
        <w:trPr>
          <w:trHeight w:val="144"/>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(Loss) gain from equity-method investment</w:t>
            </w:r>
          </w:p>
        </w:tc>
        <w:tc>
          <w:tcPr>
            <w:tcW w:w="3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1,248</w:t>
            </w: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rPr>
              <w:t>(Loss) gain from foreign currency</w:t>
            </w: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430</w:t>
            </w:r>
          </w:p>
        </w:tc>
      </w:tr>
      <w:tr>
        <w:trPr>
          <w:trHeight w:val="153"/>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Finance expense, net</w:t>
            </w:r>
          </w:p>
        </w:tc>
        <w:tc>
          <w:tcPr>
            <w:tcW w:w="36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w:t>
            </w:r>
          </w:p>
        </w:tc>
        <w:tc>
          <w:tcPr>
            <w:tcW w:w="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(121)</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(358)</w:t>
            </w:r>
          </w:p>
        </w:tc>
      </w:tr>
      <w:tr>
        <w:trPr>
          <w:trHeight w:val="149"/>
        </w:trPr>
        <w:tc>
          <w:tcPr>
            <w:tcW w:w="2820" w:type="dxa"/>
            <w:vAlign w:val="bottom"/>
          </w:tcPr>
          <w:p>
            <w:pPr>
              <w:ind w:left="80"/>
              <w:spacing w:after="0" w:line="133" w:lineRule="exact"/>
              <w:rPr>
                <w:sz w:val="20"/>
                <w:szCs w:val="20"/>
                <w:color w:val="auto"/>
              </w:rPr>
            </w:pPr>
            <w:r>
              <w:rPr>
                <w:rFonts w:ascii="Arial" w:cs="Arial" w:eastAsia="Arial" w:hAnsi="Arial"/>
                <w:sz w:val="12"/>
                <w:szCs w:val="12"/>
                <w:color w:val="auto"/>
              </w:rPr>
              <w:t>Net loss</w:t>
            </w:r>
          </w:p>
        </w:tc>
        <w:tc>
          <w:tcPr>
            <w:tcW w:w="3960" w:type="dxa"/>
            <w:vAlign w:val="bottom"/>
            <w:gridSpan w:val="2"/>
          </w:tcPr>
          <w:p>
            <w:pPr>
              <w:jc w:val="right"/>
              <w:ind w:right="232"/>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(54,581)</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(10,263)</w:t>
            </w:r>
          </w:p>
        </w:tc>
        <w:tc>
          <w:tcPr>
            <w:tcW w:w="22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(56,346)</w:t>
            </w:r>
          </w:p>
        </w:tc>
      </w:tr>
      <w:tr>
        <w:trPr>
          <w:trHeight w:val="164"/>
        </w:trPr>
        <w:tc>
          <w:tcPr>
            <w:tcW w:w="28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Net loss per share, basic and diluted</w:t>
            </w:r>
          </w:p>
        </w:tc>
        <w:tc>
          <w:tcPr>
            <w:tcW w:w="36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(0.55)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(2.15)</w:t>
            </w:r>
          </w:p>
        </w:tc>
      </w:tr>
      <w:tr>
        <w:trPr>
          <w:trHeight w:val="131"/>
        </w:trPr>
        <w:tc>
          <w:tcPr>
            <w:tcW w:w="2820" w:type="dxa"/>
            <w:vAlign w:val="bottom"/>
          </w:tcPr>
          <w:p>
            <w:pPr>
              <w:spacing w:after="0" w:line="131" w:lineRule="exact"/>
              <w:rPr>
                <w:sz w:val="20"/>
                <w:szCs w:val="20"/>
                <w:color w:val="auto"/>
              </w:rPr>
            </w:pPr>
            <w:r>
              <w:rPr>
                <w:rFonts w:ascii="Arial" w:cs="Arial" w:eastAsia="Arial" w:hAnsi="Arial"/>
                <w:sz w:val="12"/>
                <w:szCs w:val="12"/>
                <w:color w:val="auto"/>
                <w:w w:val="93"/>
              </w:rPr>
              <w:t>Weighted-average shares outstanding, basic and diluted</w:t>
            </w:r>
          </w:p>
        </w:tc>
        <w:tc>
          <w:tcPr>
            <w:tcW w:w="3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40"/>
              <w:spacing w:after="0" w:line="131" w:lineRule="exact"/>
              <w:rPr>
                <w:sz w:val="20"/>
                <w:szCs w:val="20"/>
                <w:color w:val="auto"/>
              </w:rPr>
            </w:pPr>
            <w:r>
              <w:rPr>
                <w:rFonts w:ascii="Arial" w:cs="Arial" w:eastAsia="Arial" w:hAnsi="Arial"/>
                <w:sz w:val="12"/>
                <w:szCs w:val="12"/>
                <w:color w:val="auto"/>
              </w:rPr>
              <w:t>26,323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60"/>
              <w:spacing w:after="0" w:line="131" w:lineRule="exact"/>
              <w:rPr>
                <w:sz w:val="20"/>
                <w:szCs w:val="20"/>
                <w:color w:val="auto"/>
              </w:rPr>
            </w:pPr>
            <w:r>
              <w:rPr>
                <w:rFonts w:ascii="Arial" w:cs="Arial" w:eastAsia="Arial" w:hAnsi="Arial"/>
                <w:sz w:val="12"/>
                <w:szCs w:val="12"/>
                <w:color w:val="auto"/>
              </w:rPr>
              <w:t>18,794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ind w:right="60"/>
              <w:spacing w:after="0" w:line="131" w:lineRule="exact"/>
              <w:rPr>
                <w:sz w:val="20"/>
                <w:szCs w:val="20"/>
                <w:color w:val="auto"/>
              </w:rPr>
            </w:pPr>
            <w:r>
              <w:rPr>
                <w:rFonts w:ascii="Arial" w:cs="Arial" w:eastAsia="Arial" w:hAnsi="Arial"/>
                <w:sz w:val="12"/>
                <w:szCs w:val="12"/>
                <w:color w:val="auto"/>
              </w:rPr>
              <w:t>26,243</w:t>
            </w:r>
          </w:p>
        </w:tc>
      </w:tr>
      <w:tr>
        <w:trPr>
          <w:trHeight w:val="144"/>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3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3"/>
        </w:trPr>
        <w:tc>
          <w:tcPr>
            <w:tcW w:w="2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loss</w:t>
            </w:r>
          </w:p>
        </w:tc>
        <w:tc>
          <w:tcPr>
            <w:tcW w:w="36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(54,581)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(10,263)</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(56,346)</w:t>
            </w:r>
          </w:p>
        </w:tc>
      </w:tr>
      <w:tr>
        <w:trPr>
          <w:trHeight w:val="149"/>
        </w:trPr>
        <w:tc>
          <w:tcPr>
            <w:tcW w:w="282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Comprehensive loss</w:t>
            </w:r>
          </w:p>
        </w:tc>
        <w:tc>
          <w:tcPr>
            <w:tcW w:w="36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(54,581)</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(10,263)</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(56,346)</w:t>
            </w:r>
          </w:p>
        </w:tc>
      </w:tr>
    </w:tbl>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IR and Media Contacts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Arcturus Therapeutics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Neda Safarzadeh</w:t>
      </w:r>
    </w:p>
    <w:p>
      <w:pPr>
        <w:spacing w:after="0" w:line="6" w:lineRule="exact"/>
        <w:rPr>
          <w:sz w:val="20"/>
          <w:szCs w:val="20"/>
          <w:color w:val="auto"/>
        </w:rPr>
      </w:pPr>
    </w:p>
    <w:p>
      <w:pPr>
        <w:ind w:left="288" w:hanging="288"/>
        <w:spacing w:after="0"/>
        <w:tabs>
          <w:tab w:leader="none" w:pos="288" w:val="left"/>
        </w:tabs>
        <w:numPr>
          <w:ilvl w:val="0"/>
          <w:numId w:val="5"/>
        </w:numPr>
        <w:rPr>
          <w:rFonts w:ascii="Arial" w:cs="Arial" w:eastAsia="Arial" w:hAnsi="Arial"/>
          <w:sz w:val="12"/>
          <w:szCs w:val="12"/>
          <w:color w:val="auto"/>
        </w:rPr>
      </w:pPr>
      <w:r>
        <w:rPr>
          <w:rFonts w:ascii="Arial" w:cs="Arial" w:eastAsia="Arial" w:hAnsi="Arial"/>
          <w:sz w:val="12"/>
          <w:szCs w:val="12"/>
          <w:color w:val="auto"/>
        </w:rPr>
        <w:t>900-2682</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IR@ArcturusRx.com</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Kendall Investor Relations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Carlo Tanzi, Ph.D.</w:t>
      </w:r>
    </w:p>
    <w:p>
      <w:pPr>
        <w:spacing w:after="0" w:line="6" w:lineRule="exact"/>
        <w:rPr>
          <w:sz w:val="20"/>
          <w:szCs w:val="20"/>
          <w:color w:val="auto"/>
        </w:rPr>
      </w:pPr>
    </w:p>
    <w:p>
      <w:pPr>
        <w:ind w:left="288" w:hanging="288"/>
        <w:spacing w:after="0"/>
        <w:tabs>
          <w:tab w:leader="none" w:pos="288" w:val="left"/>
        </w:tabs>
        <w:numPr>
          <w:ilvl w:val="0"/>
          <w:numId w:val="6"/>
        </w:numPr>
        <w:rPr>
          <w:rFonts w:ascii="Arial" w:cs="Arial" w:eastAsia="Arial" w:hAnsi="Arial"/>
          <w:sz w:val="12"/>
          <w:szCs w:val="12"/>
          <w:color w:val="auto"/>
        </w:rPr>
      </w:pPr>
      <w:r>
        <w:rPr>
          <w:rFonts w:ascii="Arial" w:cs="Arial" w:eastAsia="Arial" w:hAnsi="Arial"/>
          <w:sz w:val="12"/>
          <w:szCs w:val="12"/>
          <w:color w:val="auto"/>
        </w:rPr>
        <w:t>914-0008</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ctanzi@kendallir.com</w:t>
      </w:r>
    </w:p>
    <w:p>
      <w:pPr>
        <w:sectPr>
          <w:pgSz w:w="11900" w:h="16838" w:orient="portrait"/>
          <w:cols w:equalWidth="0" w:num="1">
            <w:col w:w="11308"/>
          </w:cols>
          <w:pgMar w:left="292" w:top="271" w:right="299"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4558030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14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858"/>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2021-08-09T15:54:52Z</dcterms:created>
  <dcterms:modified xsi:type="dcterms:W3CDTF">2021-08-09T15:54:52Z</dcterms:modified>
</cp:coreProperties>
</file>