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40" w:right="4680" w:firstLine="232"/>
        <w:spacing w:after="0" w:line="494" w:lineRule="auto"/>
        <w:tabs>
          <w:tab w:leader="none" w:pos="5236"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Arcturus Therapeutics Ltd.</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Ordinary Shares, par value of NIS 0.01</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M1492T105</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BRADLEY THOMAS SORENSON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140 Sunhaven Close South East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Calgary, Alberta T2X 2V9, Canada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(403) 909-4532</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OLSHAN FROME WOLOSKY LLP</w:t>
      </w:r>
    </w:p>
    <w:p>
      <w:pPr>
        <w:jc w:val="center"/>
        <w:ind w:right="-159"/>
        <w:spacing w:after="0" w:line="230" w:lineRule="auto"/>
        <w:rPr>
          <w:sz w:val="20"/>
          <w:szCs w:val="20"/>
          <w:color w:val="auto"/>
        </w:rPr>
      </w:pPr>
      <w:r>
        <w:rPr>
          <w:rFonts w:ascii="Arial" w:cs="Arial" w:eastAsia="Arial" w:hAnsi="Arial"/>
          <w:sz w:val="22"/>
          <w:szCs w:val="22"/>
          <w:color w:val="auto"/>
        </w:rPr>
        <w:t>1325 Avenue of the Americas</w:t>
      </w:r>
    </w:p>
    <w:p>
      <w:pPr>
        <w:jc w:val="center"/>
        <w:ind w:right="-159"/>
        <w:spacing w:after="0" w:line="231" w:lineRule="auto"/>
        <w:rPr>
          <w:sz w:val="20"/>
          <w:szCs w:val="20"/>
          <w:color w:val="auto"/>
        </w:rPr>
      </w:pPr>
      <w:r>
        <w:rPr>
          <w:rFonts w:ascii="Arial" w:cs="Arial" w:eastAsia="Arial" w:hAnsi="Arial"/>
          <w:sz w:val="22"/>
          <w:szCs w:val="22"/>
          <w:color w:val="auto"/>
        </w:rPr>
        <w:t>New York, New York 10019</w:t>
      </w:r>
    </w:p>
    <w:p>
      <w:pPr>
        <w:jc w:val="center"/>
        <w:ind w:right="-159"/>
        <w:spacing w:after="0" w:line="230" w:lineRule="auto"/>
        <w:rPr>
          <w:sz w:val="20"/>
          <w:szCs w:val="20"/>
          <w:color w:val="auto"/>
        </w:rPr>
      </w:pPr>
      <w:r>
        <w:rPr>
          <w:rFonts w:ascii="Arial" w:cs="Arial" w:eastAsia="Arial" w:hAnsi="Arial"/>
          <w:sz w:val="22"/>
          <w:szCs w:val="22"/>
          <w:u w:val="single" w:color="auto"/>
          <w:color w:val="auto"/>
        </w:rPr>
        <w:t>(212) 451-2300</w:t>
      </w:r>
    </w:p>
    <w:p>
      <w:pPr>
        <w:jc w:val="center"/>
        <w:ind w:right="-159"/>
        <w:spacing w:after="0" w:line="231"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November 16, 2017</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M1492T105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Bradley Thomas Sorenson</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Canadian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587,918*</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587,918*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587,918*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*Includes presently exercisable options to purchase 4,669 shares and call options to purchase an aggregate of 5,857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342" w:lineRule="auto"/>
        <w:rPr>
          <w:sz w:val="20"/>
          <w:szCs w:val="20"/>
          <w:color w:val="auto"/>
        </w:rPr>
      </w:pPr>
      <w:r>
        <w:rPr>
          <w:rFonts w:ascii="Arial" w:cs="Arial" w:eastAsia="Arial" w:hAnsi="Arial"/>
          <w:sz w:val="16"/>
          <w:szCs w:val="16"/>
          <w:color w:val="auto"/>
        </w:rPr>
        <w:t>This statement relates to the Ordinary Shares, par value of NIS 0.01 (the “Shares”), of Arcturus Therapeutics Ltd., an Israeli corporation (the “Issuer”). The address of the principal executive offices of the Issuer is 10628 Science Center Drive, Suite 200, San Diego, California 92121.</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225" w:lineRule="exact"/>
        <w:rPr>
          <w:sz w:val="20"/>
          <w:szCs w:val="20"/>
          <w:color w:val="auto"/>
        </w:rPr>
      </w:pPr>
    </w:p>
    <w:p>
      <w:pPr>
        <w:ind w:left="1300" w:right="5780" w:firstLine="5"/>
        <w:spacing w:after="0" w:line="563" w:lineRule="auto"/>
        <w:tabs>
          <w:tab w:leader="none" w:pos="1811"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statement is filed by Bradley Thomas Sorenson. Mr. Sorenson is referred to as the “Reporting Person.”</w:t>
      </w:r>
    </w:p>
    <w:p>
      <w:pPr>
        <w:spacing w:after="0" w:line="1" w:lineRule="exact"/>
        <w:rPr>
          <w:rFonts w:ascii="Arial" w:cs="Arial" w:eastAsia="Arial" w:hAnsi="Arial"/>
          <w:sz w:val="16"/>
          <w:szCs w:val="16"/>
          <w:color w:val="auto"/>
        </w:rPr>
      </w:pPr>
    </w:p>
    <w:p>
      <w:pPr>
        <w:ind w:left="1820" w:hanging="515"/>
        <w:spacing w:after="0"/>
        <w:tabs>
          <w:tab w:leader="none" w:pos="1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address of the principal office of the Reporting Person is 140 Sunhaven Close South East Calgary, Alberta T2X 2V9, Canada.</w:t>
      </w:r>
    </w:p>
    <w:p>
      <w:pPr>
        <w:spacing w:after="0" w:line="248" w:lineRule="exact"/>
        <w:rPr>
          <w:rFonts w:ascii="Arial" w:cs="Arial" w:eastAsia="Arial" w:hAnsi="Arial"/>
          <w:sz w:val="16"/>
          <w:szCs w:val="16"/>
          <w:color w:val="auto"/>
        </w:rPr>
      </w:pPr>
    </w:p>
    <w:p>
      <w:pPr>
        <w:ind w:left="1820" w:hanging="515"/>
        <w:spacing w:after="0"/>
        <w:tabs>
          <w:tab w:leader="none" w:pos="1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occupation of the Reporting Person is serving as the President and CEO of Providence Therapeutics Inc.</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Reporting Person has not, during the last five years, been convicted in a criminal proceeding (excluding traffic violations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similar misdemeanors).</w:t>
      </w:r>
    </w:p>
    <w:p>
      <w:pPr>
        <w:spacing w:after="0" w:line="210" w:lineRule="exact"/>
        <w:rPr>
          <w:rFonts w:ascii="Arial" w:cs="Arial" w:eastAsia="Arial" w:hAnsi="Arial"/>
          <w:sz w:val="16"/>
          <w:szCs w:val="16"/>
          <w:color w:val="auto"/>
        </w:rPr>
      </w:pPr>
    </w:p>
    <w:p>
      <w:pPr>
        <w:jc w:val="both"/>
        <w:ind w:firstLine="1305"/>
        <w:spacing w:after="0" w:line="264" w:lineRule="auto"/>
        <w:tabs>
          <w:tab w:leader="none" w:pos="19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has not,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1800" w:hanging="495"/>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is a citizen of Canada.</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Shares purchased by the Reporting Person were purchased with personal funds (which may, at any given time, include margin loans made by brokerage firms in the ordinary course of business) in private placements or in open market purchases. The transactions by the Reporting Person in the Shares are set forth below.</w:t>
      </w:r>
    </w:p>
    <w:p>
      <w:pPr>
        <w:spacing w:after="0" w:line="181" w:lineRule="exact"/>
        <w:rPr>
          <w:sz w:val="20"/>
          <w:szCs w:val="20"/>
          <w:color w:val="auto"/>
        </w:rPr>
      </w:pPr>
    </w:p>
    <w:p>
      <w:pPr>
        <w:jc w:val="both"/>
        <w:ind w:firstLine="1305"/>
        <w:spacing w:after="0" w:line="279" w:lineRule="auto"/>
        <w:tabs>
          <w:tab w:leader="none" w:pos="1921"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Prior to November 16, 2017, the Reporting Person purchased securities of Arcturus Therapeutics Ltd., a privately held entity, in several private placements. On November 16, 2017, Arcturus Therapeutics Ltd. merged with and into Alcobra Ltd., a publicly-traded company and Alcobra Ltd. changed its name to Arcturus Therapeutics Ltd. (the “Merger”). In connection with the Merger, the securities that the Reporting Person held in Arcturus Therapeutics Ltd. were converted into 573,382 Shares and options to purchase 4,664 Shares at an exercise price of $5.47 per share.</w:t>
      </w:r>
    </w:p>
    <w:p>
      <w:pPr>
        <w:spacing w:after="0" w:line="171" w:lineRule="exact"/>
        <w:rPr>
          <w:rFonts w:ascii="Arial" w:cs="Arial" w:eastAsia="Arial" w:hAnsi="Arial"/>
          <w:sz w:val="17"/>
          <w:szCs w:val="17"/>
          <w:color w:val="auto"/>
        </w:rPr>
      </w:pPr>
    </w:p>
    <w:p>
      <w:pPr>
        <w:ind w:firstLine="1305"/>
        <w:spacing w:after="0" w:line="277" w:lineRule="auto"/>
        <w:tabs>
          <w:tab w:leader="none" w:pos="1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Merger, the Reporting Person purchased in the over the market American-style call options which, after reflecting for a seven for one reverse share stock of the Issuer, reference an aggregate of 5,857 Shares at an exercise price of $7.00 per share.</w:t>
      </w:r>
    </w:p>
    <w:p>
      <w:pPr>
        <w:spacing w:after="0" w:line="170" w:lineRule="exact"/>
        <w:rPr>
          <w:rFonts w:ascii="Arial" w:cs="Arial" w:eastAsia="Arial" w:hAnsi="Arial"/>
          <w:sz w:val="18"/>
          <w:szCs w:val="18"/>
          <w:color w:val="auto"/>
        </w:rPr>
      </w:pPr>
    </w:p>
    <w:p>
      <w:pPr>
        <w:ind w:left="1800" w:hanging="495"/>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described in Exhibit A, subsequent to the Merger the Reporting Person purchased 5,010 Shares in the open market.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ind w:firstLine="1305"/>
        <w:spacing w:after="0" w:line="277" w:lineRule="auto"/>
        <w:tabs>
          <w:tab w:leader="none" w:pos="1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described in Exhibit A, subsequent to the Merger the Reporting Person sold Shares in the open market and over-the-counter American-style put options.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a result of (a) – (d) above, the aggregate purchase price of the Shares held by the Reporting Person is $519,508.</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Reporting Person purchased the securities of the Issuer reported herein based on the Reporting Person’s belief that such securities, when purchased, were undervalued and represented an attractive investment opportunity. Depending upon overall market conditions, other investment opportunities available to the Reporting Person, and the availability of securities of the Issuer at prices that would make the purchase or sale of securities of the Issuer desirable, the Reporting Person may endeavor to increase or decrease its position in the Issuer through, among other things, the purchase or sale of securities of the Issuer on the open market or in private transactions or otherwise, on such terms and at such times as the Reporting Person may deem advisable.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Reporting Person has no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68" w:lineRule="auto"/>
        <w:tabs>
          <w:tab w:leader="none" w:pos="217" w:val="left"/>
        </w:tabs>
        <w:numPr>
          <w:ilvl w:val="0"/>
          <w:numId w:val="6"/>
        </w:numPr>
        <w:rPr>
          <w:rFonts w:ascii="Arial" w:cs="Arial" w:eastAsia="Arial" w:hAnsi="Arial"/>
          <w:sz w:val="17"/>
          <w:szCs w:val="17"/>
          <w:color w:val="auto"/>
        </w:rPr>
      </w:pPr>
      <w:r>
        <w:rPr>
          <w:rFonts w:ascii="Arial" w:cs="Arial" w:eastAsia="Arial" w:hAnsi="Arial"/>
          <w:sz w:val="17"/>
          <w:szCs w:val="17"/>
          <w:color w:val="auto"/>
        </w:rPr>
        <w:t>of Item 4 of Schedule 13D except as set forth herein or such as would occur upon completion of any of the actions discussed herein. The Reporting Person intends to review its investment in the Issuer on a continuing basis and may from time to time engage in additional discussions with management and the Board concerning among other things recommending changes to the Board of Directors. Depending on various factors including, without limitation, the Issuer’s financial position and investment strategy, the price levels of the securities of the Issuer, conditions in the securities markets and general economic and industry conditions, the Reporting Person may in the future take such actions with respect to its investment in the Issuer as it deems appropriate including, without limitation, making proposals to or concerning the Issuer, purchasing additional securities of the Issuer, selling some or all of their securities of the Issuer, engaging in short selling of or any hedging or similar transaction with respect to the securities of the Issuer, or change its intention with respect to any and all matters referred to in Item 4.</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aggregate percentage of Shares reported owned by the Reporting Person is based upon 10,568,901 Shares outstanding, which is the total number of Shares outstanding as reported in the Issuer’s Report of Foreign Private Issuer on Form 6-K filed with the Securities and Exchange Commission on November 16, 2017, plus an aggregate of 10,526 Shares underlying Stock Options and Call Options held by the Reporting Person.</w:t>
      </w:r>
    </w:p>
    <w:p>
      <w:pPr>
        <w:spacing w:after="0" w:line="166" w:lineRule="exact"/>
        <w:rPr>
          <w:sz w:val="20"/>
          <w:szCs w:val="20"/>
          <w:color w:val="auto"/>
        </w:rPr>
      </w:pPr>
    </w:p>
    <w:p>
      <w:pPr>
        <w:ind w:left="1300" w:right="2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the close of business on January 18, 2018, the Reporting Person directly beneficially owned 587,918 Shares, plus an aggregate of 10,526 Shares underlying Stock Options or Call Options.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5.6%</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 Sole power to vote or direct vote: 587,918</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587,918</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M1492T105</w:t>
      </w:r>
    </w:p>
    <w:p>
      <w:pPr>
        <w:spacing w:after="0" w:line="321" w:lineRule="exact"/>
        <w:rPr>
          <w:sz w:val="20"/>
          <w:szCs w:val="20"/>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transactions in the Shares by the Reporting Person during the past 60 days are set forth in Schedule A and are incorporated herein by reference.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 is, for purposes of Section 13(d) of the Securities Exchange Act of 1934, as amended, the beneficial owner of any of the securities reported herein. The Reporting Person specifically disclaims beneficial ownership of the securities reported herein that are not directly owned by the Reporting Person, except to the extent of its pecuniary interest therein.</w:t>
      </w:r>
    </w:p>
    <w:p>
      <w:pPr>
        <w:spacing w:after="0" w:line="187" w:lineRule="exact"/>
        <w:rPr>
          <w:sz w:val="20"/>
          <w:szCs w:val="20"/>
          <w:color w:val="auto"/>
        </w:rPr>
      </w:pPr>
    </w:p>
    <w:p>
      <w:pPr>
        <w:ind w:firstLine="1305"/>
        <w:spacing w:after="0" w:line="277" w:lineRule="auto"/>
        <w:tabs>
          <w:tab w:leader="none" w:pos="1907"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person, other than the Reporting Person,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 except as set forth below.</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Reporting Person has purchased in the over the counter market American-style call options referencing an aggregate of 2,857 Shares, which have an exercise price of $7.00, and referencing an aggregate of 3,000 Shares, which have an exercise price of $7.00.</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Reporting Person has sold short in over the counter market American-style put options referencing an aggregate of 1,500 Shares, which have an exercise price of $7.50.</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18, 2018</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Bradley Thomas Sorenson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BRADLEY THOMAS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M1492T105</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Subsequent to the Merger Which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Includes Transactions During the Past Sixty (60) Days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Nature of Transaction</w:t>
            </w:r>
          </w:p>
        </w:tc>
        <w:tc>
          <w:tcPr>
            <w:tcW w:w="2500" w:type="dxa"/>
            <w:vAlign w:val="bottom"/>
            <w:gridSpan w:val="5"/>
          </w:tcPr>
          <w:p>
            <w:pPr>
              <w:jc w:val="center"/>
              <w:ind w:right="140"/>
              <w:spacing w:after="0"/>
              <w:rPr>
                <w:sz w:val="20"/>
                <w:szCs w:val="20"/>
                <w:color w:val="auto"/>
              </w:rPr>
            </w:pPr>
            <w:r>
              <w:rPr>
                <w:rFonts w:ascii="Arial" w:cs="Arial" w:eastAsia="Arial" w:hAnsi="Arial"/>
                <w:sz w:val="18"/>
                <w:szCs w:val="18"/>
                <w:color w:val="auto"/>
                <w:w w:val="88"/>
              </w:rPr>
              <w:t>Date of Purchase/Sale</w:t>
            </w:r>
          </w:p>
        </w:tc>
        <w:tc>
          <w:tcPr>
            <w:tcW w:w="252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Securities Purchased/(Sold)</w:t>
            </w:r>
          </w:p>
        </w:tc>
        <w:tc>
          <w:tcPr>
            <w:tcW w:w="328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 xml:space="preserve">Price per share[U.S.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w:t>
            </w:r>
          </w:p>
        </w:tc>
      </w:tr>
      <w:tr>
        <w:trPr>
          <w:trHeight w:val="196"/>
        </w:trPr>
        <w:tc>
          <w:tcPr>
            <w:tcW w:w="66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280"/>
              <w:spacing w:after="0" w:line="196" w:lineRule="exact"/>
              <w:rPr>
                <w:sz w:val="20"/>
                <w:szCs w:val="20"/>
                <w:color w:val="auto"/>
              </w:rPr>
            </w:pPr>
            <w:r>
              <w:rPr>
                <w:rFonts w:ascii="Arial" w:cs="Arial" w:eastAsia="Arial" w:hAnsi="Arial"/>
                <w:sz w:val="18"/>
                <w:szCs w:val="18"/>
                <w:color w:val="auto"/>
                <w:w w:val="98"/>
              </w:rPr>
              <w:t>[dd/mm/yyyy]</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r>
      <w:tr>
        <w:trPr>
          <w:trHeight w:val="237"/>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3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Purchase of Ordinary Shares</w:t>
            </w:r>
          </w:p>
        </w:tc>
        <w:tc>
          <w:tcPr>
            <w:tcW w:w="170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11/16/2017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89"/>
              </w:rPr>
              <w:t>10</w:t>
            </w:r>
          </w:p>
        </w:tc>
        <w:tc>
          <w:tcPr>
            <w:tcW w:w="2680" w:type="dxa"/>
            <w:vAlign w:val="bottom"/>
            <w:gridSpan w:val="2"/>
            <w:shd w:val="clear" w:color="auto" w:fill="CCEEFF"/>
          </w:tcPr>
          <w:p>
            <w:pPr>
              <w:jc w:val="center"/>
              <w:ind w:left="950"/>
              <w:spacing w:after="0"/>
              <w:rPr>
                <w:sz w:val="20"/>
                <w:szCs w:val="20"/>
                <w:color w:val="auto"/>
              </w:rPr>
            </w:pPr>
            <w:r>
              <w:rPr>
                <w:rFonts w:ascii="Arial" w:cs="Arial" w:eastAsia="Arial" w:hAnsi="Arial"/>
                <w:sz w:val="18"/>
                <w:szCs w:val="18"/>
                <w:color w:val="auto"/>
                <w:w w:val="90"/>
              </w:rPr>
              <w:t>$10.5690</w:t>
            </w:r>
          </w:p>
        </w:tc>
        <w:tc>
          <w:tcPr>
            <w:tcW w:w="600" w:type="dxa"/>
            <w:vAlign w:val="bottom"/>
            <w:shd w:val="clear" w:color="auto" w:fill="CCEEFF"/>
          </w:tcPr>
          <w:p>
            <w:pPr>
              <w:spacing w:after="0"/>
              <w:rPr>
                <w:sz w:val="18"/>
                <w:szCs w:val="18"/>
                <w:color w:val="auto"/>
              </w:rPr>
            </w:pPr>
          </w:p>
        </w:tc>
      </w:tr>
      <w:tr>
        <w:trPr>
          <w:trHeight w:val="216"/>
        </w:trPr>
        <w:tc>
          <w:tcPr>
            <w:tcW w:w="3120" w:type="dxa"/>
            <w:vAlign w:val="bottom"/>
            <w:gridSpan w:val="3"/>
          </w:tcPr>
          <w:p>
            <w:pPr>
              <w:ind w:left="120"/>
              <w:spacing w:after="0"/>
              <w:rPr>
                <w:sz w:val="20"/>
                <w:szCs w:val="20"/>
                <w:color w:val="auto"/>
              </w:rPr>
            </w:pPr>
            <w:r>
              <w:rPr>
                <w:rFonts w:ascii="Arial" w:cs="Arial" w:eastAsia="Arial" w:hAnsi="Arial"/>
                <w:sz w:val="18"/>
                <w:szCs w:val="18"/>
                <w:color w:val="auto"/>
              </w:rPr>
              <w:t>Purchase of Ordinary Shares</w:t>
            </w:r>
          </w:p>
        </w:tc>
        <w:tc>
          <w:tcPr>
            <w:tcW w:w="170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01/03/2018</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20" w:type="dxa"/>
            <w:vAlign w:val="bottom"/>
            <w:gridSpan w:val="2"/>
          </w:tcPr>
          <w:p>
            <w:pPr>
              <w:jc w:val="center"/>
              <w:ind w:left="430"/>
              <w:spacing w:after="0"/>
              <w:rPr>
                <w:sz w:val="20"/>
                <w:szCs w:val="20"/>
                <w:color w:val="auto"/>
              </w:rPr>
            </w:pPr>
            <w:r>
              <w:rPr>
                <w:rFonts w:ascii="Arial" w:cs="Arial" w:eastAsia="Arial" w:hAnsi="Arial"/>
                <w:sz w:val="18"/>
                <w:szCs w:val="18"/>
                <w:color w:val="auto"/>
                <w:w w:val="88"/>
              </w:rPr>
              <w:t>5,000</w:t>
            </w:r>
          </w:p>
        </w:tc>
        <w:tc>
          <w:tcPr>
            <w:tcW w:w="2680" w:type="dxa"/>
            <w:vAlign w:val="bottom"/>
            <w:gridSpan w:val="2"/>
          </w:tcPr>
          <w:p>
            <w:pPr>
              <w:jc w:val="center"/>
              <w:ind w:left="930"/>
              <w:spacing w:after="0"/>
              <w:rPr>
                <w:sz w:val="20"/>
                <w:szCs w:val="20"/>
                <w:color w:val="auto"/>
              </w:rPr>
            </w:pPr>
            <w:r>
              <w:rPr>
                <w:rFonts w:ascii="Arial" w:cs="Arial" w:eastAsia="Arial" w:hAnsi="Arial"/>
                <w:sz w:val="18"/>
                <w:szCs w:val="18"/>
                <w:color w:val="auto"/>
                <w:w w:val="89"/>
              </w:rPr>
              <w:t>$7.8800</w:t>
            </w:r>
          </w:p>
        </w:tc>
        <w:tc>
          <w:tcPr>
            <w:tcW w:w="600" w:type="dxa"/>
            <w:vAlign w:val="bottom"/>
          </w:tcPr>
          <w:p>
            <w:pPr>
              <w:spacing w:after="0"/>
              <w:rPr>
                <w:sz w:val="18"/>
                <w:szCs w:val="18"/>
                <w:color w:val="auto"/>
              </w:rPr>
            </w:pPr>
          </w:p>
        </w:tc>
      </w:tr>
      <w:tr>
        <w:trPr>
          <w:trHeight w:val="216"/>
        </w:trPr>
        <w:tc>
          <w:tcPr>
            <w:tcW w:w="3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Sale of Ordinary Shares</w:t>
            </w:r>
          </w:p>
        </w:tc>
        <w:tc>
          <w:tcPr>
            <w:tcW w:w="1700" w:type="dxa"/>
            <w:vAlign w:val="bottom"/>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01/16/2018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8"/>
              </w:rPr>
              <w:t>1,000</w:t>
            </w:r>
          </w:p>
        </w:tc>
        <w:tc>
          <w:tcPr>
            <w:tcW w:w="268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89"/>
              </w:rPr>
              <w:t>$9.2000</w:t>
            </w:r>
          </w:p>
        </w:tc>
        <w:tc>
          <w:tcPr>
            <w:tcW w:w="600" w:type="dxa"/>
            <w:vAlign w:val="bottom"/>
            <w:shd w:val="clear" w:color="auto" w:fill="CCEEFF"/>
          </w:tcPr>
          <w:p>
            <w:pPr>
              <w:spacing w:after="0"/>
              <w:rPr>
                <w:sz w:val="18"/>
                <w:szCs w:val="18"/>
                <w:color w:val="auto"/>
              </w:rPr>
            </w:pPr>
          </w:p>
        </w:tc>
      </w:tr>
      <w:tr>
        <w:trPr>
          <w:trHeight w:val="202"/>
        </w:trPr>
        <w:tc>
          <w:tcPr>
            <w:tcW w:w="31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Sale of Over the Counter American-</w:t>
            </w:r>
          </w:p>
        </w:tc>
        <w:tc>
          <w:tcPr>
            <w:tcW w:w="1700" w:type="dxa"/>
            <w:vAlign w:val="bottom"/>
            <w:gridSpan w:val="3"/>
          </w:tcPr>
          <w:p>
            <w:pPr>
              <w:jc w:val="center"/>
              <w:ind w:left="550"/>
              <w:spacing w:after="0" w:line="201" w:lineRule="exact"/>
              <w:rPr>
                <w:sz w:val="20"/>
                <w:szCs w:val="20"/>
                <w:color w:val="auto"/>
              </w:rPr>
            </w:pPr>
            <w:r>
              <w:rPr>
                <w:rFonts w:ascii="Arial" w:cs="Arial" w:eastAsia="Arial" w:hAnsi="Arial"/>
                <w:sz w:val="18"/>
                <w:szCs w:val="18"/>
                <w:color w:val="auto"/>
                <w:w w:val="90"/>
              </w:rPr>
              <w:t>01/03/2018</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tcPr>
          <w:p>
            <w:pPr>
              <w:jc w:val="center"/>
              <w:spacing w:after="0" w:line="201" w:lineRule="exact"/>
              <w:rPr>
                <w:sz w:val="20"/>
                <w:szCs w:val="20"/>
                <w:color w:val="auto"/>
              </w:rPr>
            </w:pPr>
            <w:r>
              <w:rPr>
                <w:rFonts w:ascii="Arial" w:cs="Arial" w:eastAsia="Arial" w:hAnsi="Arial"/>
                <w:sz w:val="18"/>
                <w:szCs w:val="18"/>
                <w:color w:val="auto"/>
                <w:w w:val="93"/>
              </w:rPr>
              <w:t>15 Units</w:t>
            </w:r>
          </w:p>
        </w:tc>
        <w:tc>
          <w:tcPr>
            <w:tcW w:w="1040" w:type="dxa"/>
            <w:vAlign w:val="bottom"/>
          </w:tcPr>
          <w:p>
            <w:pPr>
              <w:spacing w:after="0"/>
              <w:rPr>
                <w:sz w:val="17"/>
                <w:szCs w:val="17"/>
                <w:color w:val="auto"/>
              </w:rPr>
            </w:pPr>
          </w:p>
        </w:tc>
        <w:tc>
          <w:tcPr>
            <w:tcW w:w="2240" w:type="dxa"/>
            <w:vAlign w:val="bottom"/>
            <w:gridSpan w:val="2"/>
          </w:tcPr>
          <w:p>
            <w:pPr>
              <w:jc w:val="center"/>
              <w:ind w:right="600"/>
              <w:spacing w:after="0" w:line="201" w:lineRule="exact"/>
              <w:rPr>
                <w:sz w:val="20"/>
                <w:szCs w:val="20"/>
                <w:color w:val="auto"/>
              </w:rPr>
            </w:pPr>
            <w:r>
              <w:rPr>
                <w:rFonts w:ascii="Arial" w:cs="Arial" w:eastAsia="Arial" w:hAnsi="Arial"/>
                <w:sz w:val="18"/>
                <w:szCs w:val="18"/>
                <w:color w:val="auto"/>
                <w:w w:val="91"/>
              </w:rPr>
              <w:t>$1.57 per Unit</w:t>
            </w:r>
          </w:p>
        </w:tc>
      </w:tr>
      <w:tr>
        <w:trPr>
          <w:trHeight w:val="230"/>
        </w:trPr>
        <w:tc>
          <w:tcPr>
            <w:tcW w:w="3120" w:type="dxa"/>
            <w:vAlign w:val="bottom"/>
            <w:gridSpan w:val="3"/>
          </w:tcPr>
          <w:p>
            <w:pPr>
              <w:ind w:left="120"/>
              <w:spacing w:after="0"/>
              <w:rPr>
                <w:sz w:val="20"/>
                <w:szCs w:val="20"/>
                <w:color w:val="auto"/>
              </w:rPr>
            </w:pPr>
            <w:r>
              <w:rPr>
                <w:rFonts w:ascii="Arial" w:cs="Arial" w:eastAsia="Arial" w:hAnsi="Arial"/>
                <w:sz w:val="18"/>
                <w:szCs w:val="18"/>
                <w:color w:val="auto"/>
              </w:rPr>
              <w:t>Style Put Options</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
    </w:lvl>
    <w:lvl w:ilvl="1">
      <w:lvlJc w:val="left"/>
      <w:lvlText w:val="%2."/>
      <w:numFmt w:val="decimal"/>
      <w:start w:val="2"/>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2019-12-08T04:47:23Z</dcterms:created>
  <dcterms:modified xsi:type="dcterms:W3CDTF">2019-12-08T04:47:23Z</dcterms:modified>
</cp:coreProperties>
</file>