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167640</wp:posOffset>
            </wp:positionV>
            <wp:extent cx="1037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186690</wp:posOffset>
            </wp:positionV>
            <wp:extent cx="1037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13a-16 OR 15d-16</w:t>
      </w:r>
    </w:p>
    <w:p>
      <w:pPr>
        <w:jc w:val="center"/>
        <w:ind w:right="-4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For the month of October, 2018 (Report No. 2)</w:t>
      </w:r>
    </w:p>
    <w:p>
      <w:pPr>
        <w:spacing w:after="0" w:line="216" w:lineRule="exact"/>
        <w:rPr>
          <w:sz w:val="24"/>
          <w:szCs w:val="24"/>
          <w:color w:val="auto"/>
        </w:rPr>
      </w:pPr>
    </w:p>
    <w:p>
      <w:pPr>
        <w:ind w:left="4000"/>
        <w:spacing w:after="0"/>
        <w:rPr>
          <w:sz w:val="20"/>
          <w:szCs w:val="20"/>
          <w:color w:val="auto"/>
        </w:rPr>
      </w:pPr>
      <w:r>
        <w:rPr>
          <w:rFonts w:ascii="Arial" w:cs="Arial" w:eastAsia="Arial" w:hAnsi="Arial"/>
          <w:sz w:val="22"/>
          <w:szCs w:val="22"/>
          <w:b w:val="1"/>
          <w:bCs w:val="1"/>
          <w:color w:val="auto"/>
        </w:rPr>
        <w:t>Commission File Number: 001-35932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173990</wp:posOffset>
            </wp:positionV>
            <wp:extent cx="1037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ARCTURUS THERAPEUTICS LTD.</w:t>
      </w:r>
    </w:p>
    <w:p>
      <w:pPr>
        <w:spacing w:after="0" w:line="50"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176530</wp:posOffset>
            </wp:positionV>
            <wp:extent cx="1037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168910</wp:posOffset>
            </wp:positionV>
            <wp:extent cx="1037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left="4480" w:right="780" w:hanging="4478"/>
        <w:spacing w:after="0" w:line="385" w:lineRule="exact"/>
        <w:rPr>
          <w:sz w:val="20"/>
          <w:szCs w:val="20"/>
          <w:color w:val="auto"/>
        </w:rPr>
      </w:pPr>
      <w:r>
        <w:rPr>
          <w:rFonts w:ascii="Arial" w:cs="Arial" w:eastAsia="Arial" w:hAnsi="Arial"/>
          <w:sz w:val="22"/>
          <w:szCs w:val="22"/>
          <w:color w:val="auto"/>
        </w:rPr>
        <w:t xml:space="preserve">Indicate by check mark whether the registrant files or will file annual reports under cover of Form 20-F or Form 40-F. Form 20-F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40-F </w:t>
      </w:r>
      <w:r>
        <w:rPr>
          <w:rFonts w:ascii="MS PGothic" w:cs="MS PGothic" w:eastAsia="MS PGothic" w:hAnsi="MS PGothic"/>
          <w:sz w:val="22"/>
          <w:szCs w:val="22"/>
          <w:color w:val="auto"/>
        </w:rPr>
        <w:t>☐</w:t>
      </w:r>
    </w:p>
    <w:p>
      <w:pPr>
        <w:spacing w:after="0" w:line="136"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101(b)(1): </w:t>
      </w:r>
      <w:r>
        <w:rPr>
          <w:rFonts w:ascii="MS PGothic" w:cs="MS PGothic" w:eastAsia="MS PGothic" w:hAnsi="MS PGothic"/>
          <w:sz w:val="19"/>
          <w:szCs w:val="19"/>
          <w:color w:val="auto"/>
        </w:rPr>
        <w:t>☐</w:t>
      </w:r>
    </w:p>
    <w:p>
      <w:pPr>
        <w:spacing w:after="0" w:line="254"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101(b)(7):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873760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240" w:top="571" w:right="679" w:bottom="1440" w:gutter="0" w:footer="0" w:header="0"/>
        </w:sectPr>
      </w:pPr>
    </w:p>
    <w:bookmarkStart w:id="1" w:name="page2"/>
    <w:bookmarkEnd w:id="1"/>
    <w:p>
      <w:pPr>
        <w:ind w:right="820" w:firstLine="877"/>
        <w:spacing w:after="0" w:line="260" w:lineRule="auto"/>
        <w:rPr>
          <w:sz w:val="20"/>
          <w:szCs w:val="20"/>
          <w:color w:val="auto"/>
        </w:rPr>
      </w:pPr>
      <w:r>
        <w:rPr>
          <w:rFonts w:ascii="Arial" w:cs="Arial" w:eastAsia="Arial" w:hAnsi="Arial"/>
          <w:sz w:val="20"/>
          <w:szCs w:val="20"/>
          <w:color w:val="auto"/>
        </w:rPr>
        <w:t>The information contained in this Report (including the exhibits hereto) is hereby incorporated by reference into Arcturus’ Registration Statement on Form F-3 (File No. 333-209960).</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Entry into Loan Agreement</w:t>
      </w:r>
    </w:p>
    <w:p>
      <w:pPr>
        <w:spacing w:after="0" w:line="222" w:lineRule="exact"/>
        <w:rPr>
          <w:sz w:val="20"/>
          <w:szCs w:val="20"/>
          <w:color w:val="auto"/>
        </w:rPr>
      </w:pPr>
    </w:p>
    <w:p>
      <w:pPr>
        <w:ind w:right="100" w:firstLine="877"/>
        <w:spacing w:after="0" w:line="250" w:lineRule="auto"/>
        <w:rPr>
          <w:sz w:val="20"/>
          <w:szCs w:val="20"/>
          <w:color w:val="auto"/>
        </w:rPr>
      </w:pPr>
      <w:r>
        <w:rPr>
          <w:rFonts w:ascii="Arial" w:cs="Arial" w:eastAsia="Arial" w:hAnsi="Arial"/>
          <w:sz w:val="20"/>
          <w:szCs w:val="20"/>
          <w:color w:val="auto"/>
        </w:rPr>
        <w:t>Arcturus Therapeutics, Inc. (“Borrower”), a wholly-owned subsidiary of Arcturus Therapeutics Ltd. (“Arcturus”), entered into a Loan and Security Agreement, dated as of October 12, 2018 (the “Loan Agreement”), with Western Alliance Bank to provide Borrower with a $10 million term loan (the “Loan”).</w:t>
      </w:r>
    </w:p>
    <w:p>
      <w:pPr>
        <w:spacing w:after="0" w:line="186" w:lineRule="exact"/>
        <w:rPr>
          <w:sz w:val="20"/>
          <w:szCs w:val="20"/>
          <w:color w:val="auto"/>
        </w:rPr>
      </w:pPr>
    </w:p>
    <w:p>
      <w:pPr>
        <w:ind w:firstLine="877"/>
        <w:spacing w:after="0" w:line="243" w:lineRule="auto"/>
        <w:rPr>
          <w:sz w:val="20"/>
          <w:szCs w:val="20"/>
          <w:color w:val="auto"/>
        </w:rPr>
      </w:pPr>
      <w:r>
        <w:rPr>
          <w:rFonts w:ascii="Arial" w:cs="Arial" w:eastAsia="Arial" w:hAnsi="Arial"/>
          <w:sz w:val="20"/>
          <w:szCs w:val="20"/>
          <w:color w:val="auto"/>
        </w:rPr>
        <w:t xml:space="preserve">Borrowings under the Loan Agreement will bear interest at a rate of 1.25% above the prime rate published by the Western Edition of the </w:t>
      </w:r>
      <w:r>
        <w:rPr>
          <w:rFonts w:ascii="Arial" w:cs="Arial" w:eastAsia="Arial" w:hAnsi="Arial"/>
          <w:sz w:val="20"/>
          <w:szCs w:val="20"/>
          <w:i w:val="1"/>
          <w:iCs w:val="1"/>
          <w:color w:val="auto"/>
        </w:rPr>
        <w:t>Wall Street Journal</w:t>
      </w:r>
      <w:r>
        <w:rPr>
          <w:rFonts w:ascii="Arial" w:cs="Arial" w:eastAsia="Arial" w:hAnsi="Arial"/>
          <w:sz w:val="20"/>
          <w:szCs w:val="20"/>
          <w:color w:val="auto"/>
        </w:rPr>
        <w:t>, payable on first calendar day of each calendar month during the term, commencing on November 1, 2018. All Obligations (as defined in the Loan Agreement) shall bear interest during an Event of Default (as defined in the Loan Agreement) at a rate equal to five percentage points above the interest rate applicable immediately prior to the occurrence of the Event of Default (as defined in the Loan Agreement). The Loan has a maturity date of October 1, 2022. The loan has an interest-only period of approximately 19 months, which could be extended by an additional six months if certain conditions are met, followed by an amortization period of 30 months, or 24 months if the interest-only period is extended.</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Loan is collateralized by all of the assets of Borrower, excluding intellectual property, which is subject to a negative pledge.</w:t>
      </w:r>
    </w:p>
    <w:p>
      <w:pPr>
        <w:spacing w:after="0" w:line="239" w:lineRule="exact"/>
        <w:rPr>
          <w:sz w:val="20"/>
          <w:szCs w:val="20"/>
          <w:color w:val="auto"/>
        </w:rPr>
      </w:pPr>
    </w:p>
    <w:p>
      <w:pPr>
        <w:ind w:firstLine="877"/>
        <w:spacing w:after="0" w:line="276" w:lineRule="auto"/>
        <w:rPr>
          <w:sz w:val="20"/>
          <w:szCs w:val="20"/>
          <w:color w:val="auto"/>
        </w:rPr>
      </w:pPr>
      <w:r>
        <w:rPr>
          <w:rFonts w:ascii="Arial" w:cs="Arial" w:eastAsia="Arial" w:hAnsi="Arial"/>
          <w:sz w:val="18"/>
          <w:szCs w:val="18"/>
          <w:color w:val="auto"/>
        </w:rPr>
        <w:t>Upon maturity or prepayment, Borrower will be required to pay a 3.0% fee, or a 2.0% fee if the U.S. Food and Drug Administration accepts certain Investigational New Drug applications prior to maturity. Borrower paid a loan fee of $350,000 upon entry into the Loan Agreement. The Loan may be prepaid at any time in full; provided that a prepayment fee is required to be paid upon prepayment. If the Loan is prepaid on or prior to October 12, 2019, the prepayment fee is equal to 2.00% of the repaid principal amount; if the Loan is prepaid after October 12, 2019 and on or prior to October 12, 2020, the prepayment fee is equal to 1.00% of the repaid principal amount; and if the Loan is prepaid after October 12, 2020, the prepayment fee is equal to 0.50% of the repaid principal amount.</w:t>
      </w:r>
    </w:p>
    <w:p>
      <w:pPr>
        <w:spacing w:after="0" w:line="165" w:lineRule="exact"/>
        <w:rPr>
          <w:sz w:val="20"/>
          <w:szCs w:val="20"/>
          <w:color w:val="auto"/>
        </w:rPr>
      </w:pPr>
    </w:p>
    <w:p>
      <w:pPr>
        <w:ind w:right="60" w:firstLine="877"/>
        <w:spacing w:after="0" w:line="260" w:lineRule="auto"/>
        <w:rPr>
          <w:sz w:val="20"/>
          <w:szCs w:val="20"/>
          <w:color w:val="auto"/>
        </w:rPr>
      </w:pPr>
      <w:r>
        <w:rPr>
          <w:rFonts w:ascii="Arial" w:cs="Arial" w:eastAsia="Arial" w:hAnsi="Arial"/>
          <w:sz w:val="20"/>
          <w:szCs w:val="20"/>
          <w:color w:val="auto"/>
        </w:rPr>
        <w:t>The Loan Agreement includes representations and warranties, covenants, and events of default customary for financing transactions of this type.</w:t>
      </w:r>
    </w:p>
    <w:p>
      <w:pPr>
        <w:spacing w:after="0" w:line="177" w:lineRule="exact"/>
        <w:rPr>
          <w:sz w:val="20"/>
          <w:szCs w:val="20"/>
          <w:color w:val="auto"/>
        </w:rPr>
      </w:pPr>
    </w:p>
    <w:p>
      <w:pPr>
        <w:ind w:right="680" w:firstLine="877"/>
        <w:spacing w:after="0" w:line="316" w:lineRule="auto"/>
        <w:rPr>
          <w:sz w:val="20"/>
          <w:szCs w:val="20"/>
          <w:color w:val="auto"/>
        </w:rPr>
      </w:pPr>
      <w:r>
        <w:rPr>
          <w:rFonts w:ascii="Arial" w:cs="Arial" w:eastAsia="Arial" w:hAnsi="Arial"/>
          <w:sz w:val="18"/>
          <w:szCs w:val="18"/>
          <w:color w:val="auto"/>
        </w:rPr>
        <w:t>The foregoing description of the Loan Agreement is not a complete description of all terms and is qualified in its entirety by reference to the full text of the Loan Agreement, a copy of which is filed as Exhibit 10.1 hereto and incorporated herein by reference.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Entry into Sales Agreement</w:t>
      </w:r>
    </w:p>
    <w:p>
      <w:pPr>
        <w:spacing w:after="0" w:line="222" w:lineRule="exact"/>
        <w:rPr>
          <w:sz w:val="20"/>
          <w:szCs w:val="20"/>
          <w:color w:val="auto"/>
        </w:rPr>
      </w:pPr>
    </w:p>
    <w:p>
      <w:pPr>
        <w:ind w:right="240" w:firstLine="877"/>
        <w:spacing w:after="0" w:line="244" w:lineRule="auto"/>
        <w:rPr>
          <w:sz w:val="20"/>
          <w:szCs w:val="20"/>
          <w:color w:val="auto"/>
        </w:rPr>
      </w:pPr>
      <w:r>
        <w:rPr>
          <w:rFonts w:ascii="Arial" w:cs="Arial" w:eastAsia="Arial" w:hAnsi="Arial"/>
          <w:sz w:val="20"/>
          <w:szCs w:val="20"/>
          <w:color w:val="auto"/>
        </w:rPr>
        <w:t>On October 15, 2018, Arcturus entered into a Sales Agreement (the “Sales Agreement”) with Leerink Partners LLC, as agent (“Leerink”). Under the Sales Agreement, Arcturus may offer and sell ordinary shares, par value NIS 0.07 per share, from time to time during the term of the Sales Agreement through Leerink, acting as agent. Arcturus has filed a prospectus supplement relating to the offer and sale, from time to time, of its ordinary shares having an aggregate offering price of up to $30,000,000 (the “Shares”) pursuant to the Sales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bookmarkStart w:id="2" w:name="page3"/>
    <w:bookmarkEnd w:id="2"/>
    <w:p>
      <w:pPr>
        <w:ind w:right="320" w:firstLine="877"/>
        <w:spacing w:after="0" w:line="282" w:lineRule="auto"/>
        <w:rPr>
          <w:sz w:val="20"/>
          <w:szCs w:val="20"/>
          <w:color w:val="auto"/>
        </w:rPr>
      </w:pPr>
      <w:r>
        <w:rPr>
          <w:rFonts w:ascii="Arial" w:cs="Arial" w:eastAsia="Arial" w:hAnsi="Arial"/>
          <w:sz w:val="18"/>
          <w:szCs w:val="18"/>
          <w:color w:val="auto"/>
        </w:rPr>
        <w:t>Arcturus is not obligated to sell any Shares pursuant to the Sales Agreement. Subject to the terms and conditions of the Sales Agreement, Leerink will use commercially reasonable efforts, consistent with its normal trading and sales practices and applicable state and federal law, rules and regulations and the rules of the NASDAQ Global Market (“NASDAQ”), to sell Shares from time to time based upon Arcturus’s instructions, including any price, time or size limits or other customary parameters or conditions Arcturus may impose.</w:t>
      </w:r>
    </w:p>
    <w:p>
      <w:pPr>
        <w:spacing w:after="0" w:line="162" w:lineRule="exact"/>
        <w:rPr>
          <w:sz w:val="20"/>
          <w:szCs w:val="20"/>
          <w:color w:val="auto"/>
        </w:rPr>
      </w:pPr>
    </w:p>
    <w:p>
      <w:pPr>
        <w:ind w:right="220" w:firstLine="877"/>
        <w:spacing w:after="0" w:line="263" w:lineRule="auto"/>
        <w:rPr>
          <w:sz w:val="20"/>
          <w:szCs w:val="20"/>
          <w:color w:val="auto"/>
        </w:rPr>
      </w:pPr>
      <w:r>
        <w:rPr>
          <w:rFonts w:ascii="Arial" w:cs="Arial" w:eastAsia="Arial" w:hAnsi="Arial"/>
          <w:sz w:val="19"/>
          <w:szCs w:val="19"/>
          <w:color w:val="auto"/>
        </w:rPr>
        <w:t>Under the Sales Agreement, Leerink may sell Shares by any method permitted by law deemed to be an “at the market offering” as defined in Rule 415 of the Securities Act of 1933, as amended, and the rules and regulations thereunder, including, without limitation, sales made directly on or through NASDAQ, on or through any other existing trading market for the Shares or to or through a market maker. If expressly authorized by Arcturus, Leerink may also sell Shares in negotiated transactions.</w:t>
      </w:r>
    </w:p>
    <w:p>
      <w:pPr>
        <w:spacing w:after="0" w:line="177" w:lineRule="exact"/>
        <w:rPr>
          <w:sz w:val="20"/>
          <w:szCs w:val="20"/>
          <w:color w:val="auto"/>
        </w:rPr>
      </w:pPr>
    </w:p>
    <w:p>
      <w:pPr>
        <w:ind w:firstLine="877"/>
        <w:spacing w:after="0" w:line="243" w:lineRule="auto"/>
        <w:rPr>
          <w:sz w:val="20"/>
          <w:szCs w:val="20"/>
          <w:color w:val="auto"/>
        </w:rPr>
      </w:pPr>
      <w:r>
        <w:rPr>
          <w:rFonts w:ascii="Arial" w:cs="Arial" w:eastAsia="Arial" w:hAnsi="Arial"/>
          <w:sz w:val="20"/>
          <w:szCs w:val="20"/>
          <w:color w:val="auto"/>
        </w:rPr>
        <w:t>The Sales Agreement will terminate upon the earlier of (i) the issuance and sale of all of the Shares through Leerink on the terms and subject to the conditions set forth in the Sales Agreement, or (ii) termination of the Sales Agreement as otherwise permitted by the Sales Agreement. The Sales Agreement may be terminated by Leerink or Arcturus at any time upon ten days’ notice to the other party, or by Leerink at any time in certain circumstances, including the occurrence of a material adverse effect on Arcturus. Arcturus will pay Leerink compensation in cash equal to 3.0% of the gross proceeds from the sales of Shares pursuant to the Sales Agreement and has agreed to provide Leerink with customary indemnification and contribution rights.</w:t>
      </w:r>
    </w:p>
    <w:p>
      <w:pPr>
        <w:spacing w:after="0" w:line="197" w:lineRule="exact"/>
        <w:rPr>
          <w:sz w:val="20"/>
          <w:szCs w:val="20"/>
          <w:color w:val="auto"/>
        </w:rPr>
      </w:pPr>
    </w:p>
    <w:p>
      <w:pPr>
        <w:ind w:right="120" w:firstLine="877"/>
        <w:spacing w:after="0" w:line="316" w:lineRule="auto"/>
        <w:rPr>
          <w:sz w:val="20"/>
          <w:szCs w:val="20"/>
          <w:color w:val="auto"/>
        </w:rPr>
      </w:pPr>
      <w:r>
        <w:rPr>
          <w:rFonts w:ascii="Arial" w:cs="Arial" w:eastAsia="Arial" w:hAnsi="Arial"/>
          <w:sz w:val="18"/>
          <w:szCs w:val="18"/>
          <w:color w:val="auto"/>
        </w:rPr>
        <w:t>The Shares will be issued pursuant to Arcturus’s previously filed and effective Registration Statement on Form F-3 (File No. 333-209960), which was initially filed with the Securities and Exchange Commission on March 4, 2016 and declared effective on March 18, 2016.</w:t>
      </w:r>
    </w:p>
    <w:p>
      <w:pPr>
        <w:spacing w:after="0" w:line="130" w:lineRule="exact"/>
        <w:rPr>
          <w:sz w:val="20"/>
          <w:szCs w:val="20"/>
          <w:color w:val="auto"/>
        </w:rPr>
      </w:pPr>
    </w:p>
    <w:p>
      <w:pPr>
        <w:ind w:right="240" w:firstLine="877"/>
        <w:spacing w:after="0" w:line="287" w:lineRule="auto"/>
        <w:rPr>
          <w:sz w:val="20"/>
          <w:szCs w:val="20"/>
          <w:color w:val="auto"/>
        </w:rPr>
      </w:pPr>
      <w:r>
        <w:rPr>
          <w:rFonts w:ascii="Arial" w:cs="Arial" w:eastAsia="Arial" w:hAnsi="Arial"/>
          <w:sz w:val="19"/>
          <w:szCs w:val="19"/>
          <w:color w:val="auto"/>
        </w:rPr>
        <w:t>The foregoing summary of the Sales Agreement does not purport to be complete and is qualified in its entirety by reference to the full text of the Sales Agreement, a copy of which is filed as Exhibit 10.2 hereto and incorporated herein by reference.</w:t>
      </w:r>
    </w:p>
    <w:p>
      <w:pPr>
        <w:spacing w:after="0" w:line="153" w:lineRule="exact"/>
        <w:rPr>
          <w:sz w:val="20"/>
          <w:szCs w:val="20"/>
          <w:color w:val="auto"/>
        </w:rPr>
      </w:pPr>
    </w:p>
    <w:p>
      <w:pPr>
        <w:ind w:right="340" w:firstLine="877"/>
        <w:spacing w:after="0" w:line="260" w:lineRule="auto"/>
        <w:rPr>
          <w:sz w:val="20"/>
          <w:szCs w:val="20"/>
          <w:color w:val="auto"/>
        </w:rPr>
      </w:pPr>
      <w:r>
        <w:rPr>
          <w:rFonts w:ascii="Arial" w:cs="Arial" w:eastAsia="Arial" w:hAnsi="Arial"/>
          <w:sz w:val="20"/>
          <w:szCs w:val="20"/>
          <w:color w:val="auto"/>
        </w:rPr>
        <w:t>The opinion of Arcturus’s counsel regarding the validity of the Shares that may be issued pursuant to the Agreement is also filed herewith as Exhibit 5.1.</w:t>
      </w:r>
    </w:p>
    <w:p>
      <w:pPr>
        <w:spacing w:after="0" w:line="177" w:lineRule="exact"/>
        <w:rPr>
          <w:sz w:val="20"/>
          <w:szCs w:val="20"/>
          <w:color w:val="auto"/>
        </w:rPr>
      </w:pPr>
    </w:p>
    <w:p>
      <w:pPr>
        <w:jc w:val="both"/>
        <w:ind w:right="140" w:firstLine="877"/>
        <w:spacing w:after="0" w:line="250" w:lineRule="auto"/>
        <w:rPr>
          <w:sz w:val="20"/>
          <w:szCs w:val="20"/>
          <w:color w:val="auto"/>
        </w:rPr>
      </w:pPr>
      <w:r>
        <w:rPr>
          <w:rFonts w:ascii="Arial" w:cs="Arial" w:eastAsia="Arial" w:hAnsi="Arial"/>
          <w:sz w:val="20"/>
          <w:szCs w:val="20"/>
          <w:color w:val="auto"/>
        </w:rPr>
        <w:t>This Report on Form 6-K shall not constitute an offer to sell or the solicitation of an offer to buy Shares, nor shall there be any sale of the Shares in any state or jurisdiction in which such offer, solicitation or sale would be unlawful prior to registration or qualification under the securities laws of any such state or jurisdiction.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222" w:lineRule="exact"/>
        <w:rPr>
          <w:sz w:val="20"/>
          <w:szCs w:val="20"/>
          <w:color w:val="auto"/>
        </w:rPr>
      </w:pPr>
    </w:p>
    <w:p>
      <w:pPr>
        <w:ind w:right="160" w:firstLine="877"/>
        <w:spacing w:after="0" w:line="274" w:lineRule="auto"/>
        <w:rPr>
          <w:sz w:val="20"/>
          <w:szCs w:val="20"/>
          <w:color w:val="auto"/>
        </w:rPr>
      </w:pPr>
      <w:r>
        <w:rPr>
          <w:rFonts w:ascii="Arial" w:cs="Arial" w:eastAsia="Arial" w:hAnsi="Arial"/>
          <w:sz w:val="18"/>
          <w:szCs w:val="18"/>
          <w:color w:val="auto"/>
        </w:rPr>
        <w:t>This Report on Form 6-K contains forward-looking statements. Forward-looking statements include statements concerning plans, objectives, goals, strategies, future events or performance, and underlying assumptions and other statements that are other than statements of historical facts, such as statements regarding the sale of Shares under the Sales Agreement, if any, the intended use of proceeds, as well as termination of the Sales Agreement. These statements are subject to uncertainties and risks including, but not limited to the risks identified in reports filed from time to time with the SEC. All such forward-looking statements are expressly qualified by these cautionary statements and any other cautionary statements which may accompany the forward-looking statements. In addition, we disclaim any obligation to update any forward-looking statements to reflect events or circumstances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8"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7280" w:type="dxa"/>
            <w:vAlign w:val="bottom"/>
            <w:gridSpan w:val="4"/>
          </w:tcPr>
          <w:p>
            <w:pPr>
              <w:ind w:left="1220"/>
              <w:spacing w:after="0"/>
              <w:rPr>
                <w:sz w:val="20"/>
                <w:szCs w:val="20"/>
                <w:color w:val="auto"/>
              </w:rPr>
            </w:pPr>
            <w:r>
              <w:rPr>
                <w:rFonts w:ascii="Arial" w:cs="Arial" w:eastAsia="Arial" w:hAnsi="Arial"/>
                <w:sz w:val="20"/>
                <w:szCs w:val="20"/>
                <w:b w:val="1"/>
                <w:bCs w:val="1"/>
                <w:color w:val="auto"/>
              </w:rPr>
              <w:t>Exhibits</w:t>
            </w:r>
          </w:p>
        </w:tc>
      </w:tr>
      <w:tr>
        <w:trPr>
          <w:trHeight w:val="446"/>
        </w:trPr>
        <w:tc>
          <w:tcPr>
            <w:tcW w:w="1160" w:type="dxa"/>
            <w:vAlign w:val="bottom"/>
            <w:gridSpan w:val="3"/>
          </w:tcPr>
          <w:p>
            <w:pPr>
              <w:spacing w:after="0"/>
              <w:rPr>
                <w:sz w:val="20"/>
                <w:szCs w:val="20"/>
                <w:color w:val="auto"/>
              </w:rPr>
            </w:pPr>
            <w:r>
              <w:rPr>
                <w:rFonts w:ascii="Arial" w:cs="Arial" w:eastAsia="Arial" w:hAnsi="Arial"/>
                <w:sz w:val="20"/>
                <w:szCs w:val="20"/>
                <w:b w:val="1"/>
                <w:bCs w:val="1"/>
                <w:color w:val="auto"/>
              </w:rPr>
              <w:t>Exhibit</w:t>
            </w:r>
          </w:p>
        </w:tc>
        <w:tc>
          <w:tcPr>
            <w:tcW w:w="29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2"/>
        </w:trPr>
        <w:tc>
          <w:tcPr>
            <w:tcW w:w="1160" w:type="dxa"/>
            <w:vAlign w:val="bottom"/>
            <w:gridSpan w:val="3"/>
          </w:tcPr>
          <w:p>
            <w:pPr>
              <w:spacing w:after="0"/>
              <w:rPr>
                <w:sz w:val="20"/>
                <w:szCs w:val="20"/>
                <w:color w:val="auto"/>
              </w:rPr>
            </w:pPr>
            <w:r>
              <w:rPr>
                <w:rFonts w:ascii="Arial" w:cs="Arial" w:eastAsia="Arial" w:hAnsi="Arial"/>
                <w:sz w:val="20"/>
                <w:szCs w:val="20"/>
                <w:b w:val="1"/>
                <w:bCs w:val="1"/>
                <w:color w:val="auto"/>
              </w:rPr>
              <w:t>Number</w:t>
            </w:r>
          </w:p>
        </w:tc>
        <w:tc>
          <w:tcPr>
            <w:tcW w:w="10260" w:type="dxa"/>
            <w:vAlign w:val="bottom"/>
            <w:gridSpan w:val="5"/>
          </w:tcPr>
          <w:p>
            <w:pPr>
              <w:spacing w:after="0"/>
              <w:rPr>
                <w:sz w:val="20"/>
                <w:szCs w:val="20"/>
                <w:color w:val="auto"/>
              </w:rPr>
            </w:pPr>
            <w:r>
              <w:rPr>
                <w:rFonts w:ascii="Arial" w:cs="Arial" w:eastAsia="Arial" w:hAnsi="Arial"/>
                <w:sz w:val="20"/>
                <w:szCs w:val="20"/>
                <w:b w:val="1"/>
                <w:bCs w:val="1"/>
                <w:color w:val="auto"/>
              </w:rPr>
              <w:t>Description of Exhibit</w:t>
            </w:r>
          </w:p>
        </w:tc>
      </w:tr>
      <w:tr>
        <w:trPr>
          <w:trHeight w:val="196"/>
        </w:trPr>
        <w:tc>
          <w:tcPr>
            <w:tcW w:w="20" w:type="dxa"/>
            <w:vAlign w:val="bottom"/>
          </w:tcPr>
          <w:p>
            <w:pPr>
              <w:spacing w:after="0"/>
              <w:rPr>
                <w:sz w:val="17"/>
                <w:szCs w:val="17"/>
                <w:color w:val="auto"/>
              </w:rPr>
            </w:pPr>
          </w:p>
        </w:tc>
        <w:tc>
          <w:tcPr>
            <w:tcW w:w="1020" w:type="dxa"/>
            <w:vAlign w:val="bottom"/>
            <w:tcBorders>
              <w:top w:val="single" w:sz="8" w:color="auto"/>
            </w:tcBorders>
          </w:tcPr>
          <w:p>
            <w:pPr>
              <w:spacing w:after="0" w:line="196" w:lineRule="exact"/>
              <w:rPr>
                <w:sz w:val="20"/>
                <w:szCs w:val="20"/>
                <w:color w:val="auto"/>
              </w:rPr>
            </w:pPr>
            <w:r>
              <w:rPr>
                <w:rFonts w:ascii="Arial" w:cs="Arial" w:eastAsia="Arial" w:hAnsi="Arial"/>
                <w:sz w:val="20"/>
                <w:szCs w:val="20"/>
                <w:color w:val="auto"/>
              </w:rPr>
              <w:t>5.1</w:t>
            </w:r>
          </w:p>
        </w:tc>
        <w:tc>
          <w:tcPr>
            <w:tcW w:w="120" w:type="dxa"/>
            <w:vAlign w:val="bottom"/>
          </w:tcPr>
          <w:p>
            <w:pPr>
              <w:spacing w:after="0"/>
              <w:rPr>
                <w:sz w:val="17"/>
                <w:szCs w:val="17"/>
                <w:color w:val="auto"/>
              </w:rPr>
            </w:pPr>
          </w:p>
        </w:tc>
        <w:tc>
          <w:tcPr>
            <w:tcW w:w="2980" w:type="dxa"/>
            <w:vAlign w:val="bottom"/>
            <w:tcBorders>
              <w:top w:val="single" w:sz="8" w:color="auto"/>
              <w:bottom w:val="single" w:sz="8" w:color="0000EE"/>
            </w:tcBorders>
          </w:tcPr>
          <w:p>
            <w:pPr>
              <w:spacing w:after="0" w:line="196" w:lineRule="exact"/>
              <w:rPr>
                <w:sz w:val="20"/>
                <w:szCs w:val="20"/>
                <w:color w:val="auto"/>
              </w:rPr>
            </w:pPr>
            <w:r>
              <w:rPr>
                <w:rFonts w:ascii="Arial" w:cs="Arial" w:eastAsia="Arial" w:hAnsi="Arial"/>
                <w:sz w:val="20"/>
                <w:szCs w:val="20"/>
                <w:color w:val="0000EE"/>
                <w:w w:val="90"/>
              </w:rPr>
              <w:t>Opinion of Barnea Jaffa Lande &amp; Co.</w:t>
            </w:r>
          </w:p>
        </w:tc>
        <w:tc>
          <w:tcPr>
            <w:tcW w:w="7280" w:type="dxa"/>
            <w:vAlign w:val="bottom"/>
            <w:tcBorders>
              <w:top w:val="single" w:sz="8" w:color="auto"/>
            </w:tcBorders>
            <w:gridSpan w:val="4"/>
          </w:tcPr>
          <w:p>
            <w:pPr>
              <w:spacing w:after="0"/>
              <w:rPr>
                <w:sz w:val="17"/>
                <w:szCs w:val="17"/>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20"/>
                <w:szCs w:val="20"/>
                <w:color w:val="auto"/>
              </w:rPr>
              <w:t>10.1*</w:t>
            </w:r>
          </w:p>
        </w:tc>
        <w:tc>
          <w:tcPr>
            <w:tcW w:w="120" w:type="dxa"/>
            <w:vAlign w:val="bottom"/>
          </w:tcPr>
          <w:p>
            <w:pPr>
              <w:spacing w:after="0"/>
              <w:rPr>
                <w:sz w:val="21"/>
                <w:szCs w:val="21"/>
                <w:color w:val="auto"/>
              </w:rPr>
            </w:pPr>
          </w:p>
        </w:tc>
        <w:tc>
          <w:tcPr>
            <w:tcW w:w="10260" w:type="dxa"/>
            <w:vAlign w:val="bottom"/>
            <w:gridSpan w:val="5"/>
          </w:tcPr>
          <w:p>
            <w:pPr>
              <w:spacing w:after="0"/>
              <w:rPr>
                <w:sz w:val="20"/>
                <w:szCs w:val="20"/>
                <w:color w:val="auto"/>
              </w:rPr>
            </w:pPr>
            <w:r>
              <w:rPr>
                <w:rFonts w:ascii="Arial" w:cs="Arial" w:eastAsia="Arial" w:hAnsi="Arial"/>
                <w:sz w:val="20"/>
                <w:szCs w:val="20"/>
                <w:color w:val="0000EE"/>
                <w:w w:val="90"/>
              </w:rPr>
              <w:t>Loan and Security Agreement, dated October 12, 2018, by and between Western Alliance Bank and Arcturus Therapeutics, Inc.</w:t>
            </w:r>
          </w:p>
        </w:tc>
      </w:tr>
      <w:tr>
        <w:trPr>
          <w:trHeight w:val="250"/>
        </w:trPr>
        <w:tc>
          <w:tcPr>
            <w:tcW w:w="1040" w:type="dxa"/>
            <w:vAlign w:val="bottom"/>
            <w:gridSpan w:val="2"/>
          </w:tcPr>
          <w:p>
            <w:pPr>
              <w:spacing w:after="0"/>
              <w:rPr>
                <w:sz w:val="20"/>
                <w:szCs w:val="20"/>
                <w:color w:val="auto"/>
              </w:rPr>
            </w:pPr>
            <w:r>
              <w:rPr>
                <w:rFonts w:ascii="Arial" w:cs="Arial" w:eastAsia="Arial" w:hAnsi="Arial"/>
                <w:sz w:val="20"/>
                <w:szCs w:val="20"/>
                <w:color w:val="auto"/>
              </w:rPr>
              <w:t>10.2</w:t>
            </w:r>
          </w:p>
        </w:tc>
        <w:tc>
          <w:tcPr>
            <w:tcW w:w="120" w:type="dxa"/>
            <w:vAlign w:val="bottom"/>
          </w:tcPr>
          <w:p>
            <w:pPr>
              <w:spacing w:after="0"/>
              <w:rPr>
                <w:sz w:val="21"/>
                <w:szCs w:val="21"/>
                <w:color w:val="auto"/>
              </w:rPr>
            </w:pPr>
          </w:p>
        </w:tc>
        <w:tc>
          <w:tcPr>
            <w:tcW w:w="10100" w:type="dxa"/>
            <w:vAlign w:val="bottom"/>
            <w:tcBorders>
              <w:top w:val="single" w:sz="8" w:color="0000EE"/>
            </w:tcBorders>
            <w:gridSpan w:val="4"/>
          </w:tcPr>
          <w:p>
            <w:pPr>
              <w:spacing w:after="0"/>
              <w:rPr>
                <w:sz w:val="20"/>
                <w:szCs w:val="20"/>
                <w:color w:val="auto"/>
              </w:rPr>
            </w:pPr>
            <w:r>
              <w:rPr>
                <w:rFonts w:ascii="Arial" w:cs="Arial" w:eastAsia="Arial" w:hAnsi="Arial"/>
                <w:sz w:val="20"/>
                <w:szCs w:val="20"/>
                <w:color w:val="0000EE"/>
              </w:rPr>
              <w:t>Sales Agreement, dated October 15, 2018, by and between Arcturus Therapeutics Ltd. and Leerink Partners LLC</w:t>
            </w:r>
          </w:p>
        </w:tc>
        <w:tc>
          <w:tcPr>
            <w:tcW w:w="160" w:type="dxa"/>
            <w:vAlign w:val="bottom"/>
          </w:tcPr>
          <w:p>
            <w:pPr>
              <w:spacing w:after="0"/>
              <w:rPr>
                <w:sz w:val="21"/>
                <w:szCs w:val="2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20"/>
                <w:szCs w:val="20"/>
                <w:color w:val="auto"/>
              </w:rPr>
              <w:t>23.1</w:t>
            </w:r>
          </w:p>
        </w:tc>
        <w:tc>
          <w:tcPr>
            <w:tcW w:w="120" w:type="dxa"/>
            <w:vAlign w:val="bottom"/>
          </w:tcPr>
          <w:p>
            <w:pPr>
              <w:spacing w:after="0"/>
              <w:rPr>
                <w:sz w:val="21"/>
                <w:szCs w:val="21"/>
                <w:color w:val="auto"/>
              </w:rPr>
            </w:pPr>
          </w:p>
        </w:tc>
        <w:tc>
          <w:tcPr>
            <w:tcW w:w="8940" w:type="dxa"/>
            <w:vAlign w:val="bottom"/>
            <w:tcBorders>
              <w:top w:val="single" w:sz="8" w:color="0000EE"/>
            </w:tcBorders>
            <w:gridSpan w:val="3"/>
          </w:tcPr>
          <w:p>
            <w:pPr>
              <w:spacing w:after="0"/>
              <w:rPr>
                <w:sz w:val="20"/>
                <w:szCs w:val="20"/>
                <w:color w:val="auto"/>
              </w:rPr>
            </w:pPr>
            <w:r>
              <w:rPr>
                <w:rFonts w:ascii="Arial" w:cs="Arial" w:eastAsia="Arial" w:hAnsi="Arial"/>
                <w:sz w:val="20"/>
                <w:szCs w:val="20"/>
                <w:color w:val="0000EE"/>
              </w:rPr>
              <w:t>Consent of Barnea Jaffa Lande &amp; Co. (included in Exhibit 5.1).</w:t>
            </w:r>
          </w:p>
        </w:tc>
        <w:tc>
          <w:tcPr>
            <w:tcW w:w="1320" w:type="dxa"/>
            <w:vAlign w:val="bottom"/>
            <w:gridSpan w:val="2"/>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300"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treatment has been requested for certain confidential portions of this exhibit pursuant to Rule 24b-2 under the Exchange Act. In accordance with Rule 24b-2, these confidential portions have been omitted from this exhibit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ind w:right="340" w:firstLine="877"/>
        <w:spacing w:after="0" w:line="260" w:lineRule="auto"/>
        <w:rPr>
          <w:sz w:val="20"/>
          <w:szCs w:val="20"/>
          <w:color w:val="auto"/>
        </w:rPr>
      </w:pPr>
      <w:r>
        <w:rPr>
          <w:rFonts w:ascii="Arial" w:cs="Arial" w:eastAsia="Arial" w:hAnsi="Arial"/>
          <w:sz w:val="20"/>
          <w:szCs w:val="20"/>
          <w:color w:val="auto"/>
        </w:rPr>
        <w:t>Pursuant to the requirements of the Securities Exchange Act of 1934, as amended, the registrant has duly caused this report to be signed on its behalf by the undersigned hereunto duly authorized.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360" w:type="dxa"/>
            <w:vAlign w:val="bottom"/>
          </w:tcPr>
          <w:p>
            <w:pPr>
              <w:spacing w:after="0"/>
              <w:rPr>
                <w:sz w:val="22"/>
                <w:szCs w:val="22"/>
                <w:color w:val="auto"/>
              </w:rPr>
            </w:pPr>
          </w:p>
        </w:tc>
        <w:tc>
          <w:tcPr>
            <w:tcW w:w="7060" w:type="dxa"/>
            <w:vAlign w:val="bottom"/>
            <w:gridSpan w:val="2"/>
          </w:tcPr>
          <w:p>
            <w:pPr>
              <w:ind w:left="2480"/>
              <w:spacing w:after="0"/>
              <w:rPr>
                <w:sz w:val="20"/>
                <w:szCs w:val="20"/>
                <w:color w:val="auto"/>
              </w:rPr>
            </w:pPr>
            <w:r>
              <w:rPr>
                <w:rFonts w:ascii="Arial" w:cs="Arial" w:eastAsia="Arial" w:hAnsi="Arial"/>
                <w:sz w:val="20"/>
                <w:szCs w:val="20"/>
                <w:b w:val="1"/>
                <w:bCs w:val="1"/>
                <w:color w:val="auto"/>
              </w:rPr>
              <w:t>ARCTURUS THERAPEUTICS LTD.</w:t>
            </w:r>
          </w:p>
        </w:tc>
      </w:tr>
      <w:tr>
        <w:trPr>
          <w:trHeight w:val="469"/>
        </w:trPr>
        <w:tc>
          <w:tcPr>
            <w:tcW w:w="4360" w:type="dxa"/>
            <w:vAlign w:val="bottom"/>
          </w:tcPr>
          <w:p>
            <w:pPr>
              <w:spacing w:after="0"/>
              <w:rPr>
                <w:sz w:val="20"/>
                <w:szCs w:val="20"/>
                <w:color w:val="auto"/>
              </w:rPr>
            </w:pPr>
            <w:r>
              <w:rPr>
                <w:rFonts w:ascii="Arial" w:cs="Arial" w:eastAsia="Arial" w:hAnsi="Arial"/>
                <w:sz w:val="20"/>
                <w:szCs w:val="20"/>
                <w:color w:val="auto"/>
              </w:rPr>
              <w:t>Date: October 15, 2018</w:t>
            </w:r>
          </w:p>
        </w:tc>
        <w:tc>
          <w:tcPr>
            <w:tcW w:w="7060" w:type="dxa"/>
            <w:vAlign w:val="bottom"/>
            <w:gridSpan w:val="2"/>
          </w:tcPr>
          <w:p>
            <w:pPr>
              <w:ind w:left="2480"/>
              <w:spacing w:after="0"/>
              <w:rPr>
                <w:sz w:val="20"/>
                <w:szCs w:val="20"/>
                <w:color w:val="auto"/>
              </w:rPr>
            </w:pPr>
            <w:r>
              <w:rPr>
                <w:rFonts w:ascii="Arial" w:cs="Arial" w:eastAsia="Arial" w:hAnsi="Arial"/>
                <w:sz w:val="20"/>
                <w:szCs w:val="20"/>
                <w:color w:val="auto"/>
              </w:rPr>
              <w:t>By:  /s/ Joseph E. Payne</w:t>
            </w:r>
          </w:p>
        </w:tc>
      </w:tr>
      <w:tr>
        <w:trPr>
          <w:trHeight w:val="220"/>
        </w:trPr>
        <w:tc>
          <w:tcPr>
            <w:tcW w:w="43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100" w:type="dxa"/>
            <w:vAlign w:val="bottom"/>
            <w:tcBorders>
              <w:top w:val="single" w:sz="8" w:color="auto"/>
            </w:tcBorders>
          </w:tcPr>
          <w:p>
            <w:pPr>
              <w:spacing w:after="0" w:line="220" w:lineRule="exact"/>
              <w:rPr>
                <w:sz w:val="20"/>
                <w:szCs w:val="20"/>
                <w:color w:val="auto"/>
              </w:rPr>
            </w:pPr>
            <w:r>
              <w:rPr>
                <w:rFonts w:ascii="Arial" w:cs="Arial" w:eastAsia="Arial" w:hAnsi="Arial"/>
                <w:sz w:val="20"/>
                <w:szCs w:val="20"/>
                <w:color w:val="auto"/>
              </w:rPr>
              <w:t>Joseph E. Payne</w:t>
            </w:r>
          </w:p>
        </w:tc>
      </w:tr>
      <w:tr>
        <w:trPr>
          <w:trHeight w:val="250"/>
        </w:trPr>
        <w:tc>
          <w:tcPr>
            <w:tcW w:w="436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4100" w:type="dxa"/>
            <w:vAlign w:val="bottom"/>
          </w:tcPr>
          <w:p>
            <w:pPr>
              <w:spacing w:after="0"/>
              <w:rPr>
                <w:sz w:val="20"/>
                <w:szCs w:val="20"/>
                <w:color w:val="auto"/>
              </w:rPr>
            </w:pPr>
            <w:r>
              <w:rPr>
                <w:rFonts w:ascii="Arial" w:cs="Arial" w:eastAsia="Arial" w:hAnsi="Arial"/>
                <w:sz w:val="20"/>
                <w:szCs w:val="20"/>
                <w:color w:val="auto"/>
              </w:rPr>
              <w:t>Chief Executive Officer</w:t>
            </w:r>
          </w:p>
        </w:tc>
      </w:tr>
    </w:tbl>
    <w:p>
      <w:pPr>
        <w:sectPr>
          <w:pgSz w:w="11900" w:h="16838" w:orient="portrait"/>
          <w:cols w:equalWidth="0" w:num="1">
            <w:col w:w="11420"/>
          </w:cols>
          <w:pgMar w:left="240" w:top="346"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15,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58 Harakevet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Aviv-Yafo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Israel</w:t>
      </w:r>
    </w:p>
    <w:p>
      <w:pPr>
        <w:spacing w:after="0" w:line="211" w:lineRule="exact"/>
        <w:rPr>
          <w:sz w:val="20"/>
          <w:szCs w:val="20"/>
          <w:color w:val="auto"/>
        </w:rPr>
      </w:pPr>
    </w:p>
    <w:p>
      <w:pPr>
        <w:ind w:left="700" w:hanging="692"/>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Arcturus Therapeutics, Inc.</w:t>
      </w:r>
    </w:p>
    <w:p>
      <w:pPr>
        <w:spacing w:after="0" w:line="23" w:lineRule="exact"/>
        <w:rPr>
          <w:rFonts w:ascii="Arial" w:cs="Arial" w:eastAsia="Arial" w:hAnsi="Arial"/>
          <w:sz w:val="18"/>
          <w:szCs w:val="18"/>
          <w:color w:val="auto"/>
        </w:rPr>
      </w:pPr>
    </w:p>
    <w:p>
      <w:pPr>
        <w:ind w:left="700" w:right="7920"/>
        <w:spacing w:after="0" w:line="250" w:lineRule="auto"/>
        <w:rPr>
          <w:rFonts w:ascii="Arial" w:cs="Arial" w:eastAsia="Arial" w:hAnsi="Arial"/>
          <w:sz w:val="18"/>
          <w:szCs w:val="18"/>
          <w:color w:val="auto"/>
        </w:rPr>
      </w:pPr>
      <w:r>
        <w:rPr>
          <w:rFonts w:ascii="Arial" w:cs="Arial" w:eastAsia="Arial" w:hAnsi="Arial"/>
          <w:sz w:val="18"/>
          <w:szCs w:val="18"/>
          <w:color w:val="auto"/>
        </w:rPr>
        <w:t>10628 Science Center Drive, Suite 200 San Diego, CA 92121</w:t>
      </w:r>
    </w:p>
    <w:p>
      <w:pPr>
        <w:ind w:left="700"/>
        <w:spacing w:after="0"/>
        <w:rPr>
          <w:rFonts w:ascii="Arial" w:cs="Arial" w:eastAsia="Arial" w:hAnsi="Arial"/>
          <w:sz w:val="18"/>
          <w:szCs w:val="18"/>
          <w:color w:val="auto"/>
        </w:rPr>
      </w:pPr>
      <w:r>
        <w:rPr>
          <w:rFonts w:ascii="Arial" w:cs="Arial" w:eastAsia="Arial" w:hAnsi="Arial"/>
          <w:sz w:val="18"/>
          <w:szCs w:val="18"/>
          <w:u w:val="single" w:color="auto"/>
          <w:color w:val="auto"/>
        </w:rPr>
        <w:t>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911"/>
        <w:spacing w:after="0" w:line="254" w:lineRule="auto"/>
        <w:rPr>
          <w:sz w:val="20"/>
          <w:szCs w:val="20"/>
          <w:color w:val="auto"/>
        </w:rPr>
      </w:pPr>
      <w:r>
        <w:rPr>
          <w:rFonts w:ascii="Arial" w:cs="Arial" w:eastAsia="Arial" w:hAnsi="Arial"/>
          <w:sz w:val="18"/>
          <w:szCs w:val="18"/>
          <w:color w:val="auto"/>
        </w:rPr>
        <w:t>We have acted as Israeli counsel to Arcturus Therapeutics Ltd., a company organized under the laws of the State of Israel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“at the market offering” Sales Agreement, dated as of October 15, 2018 (the “</w:t>
      </w:r>
      <w:r>
        <w:rPr>
          <w:rFonts w:ascii="Arial" w:cs="Arial" w:eastAsia="Arial" w:hAnsi="Arial"/>
          <w:sz w:val="18"/>
          <w:szCs w:val="18"/>
          <w:u w:val="single" w:color="auto"/>
          <w:color w:val="auto"/>
        </w:rPr>
        <w:t>Sales Agreement</w:t>
      </w:r>
      <w:r>
        <w:rPr>
          <w:rFonts w:ascii="Arial" w:cs="Arial" w:eastAsia="Arial" w:hAnsi="Arial"/>
          <w:sz w:val="18"/>
          <w:szCs w:val="18"/>
          <w:color w:val="auto"/>
        </w:rPr>
        <w:t>”), entered into by and between the Company and Leerink Partners LLC pursuant to which the Company has agreed to offer and sell ordinary shares, par value NIS 0.07 per share (the “</w:t>
      </w:r>
      <w:r>
        <w:rPr>
          <w:rFonts w:ascii="Arial" w:cs="Arial" w:eastAsia="Arial" w:hAnsi="Arial"/>
          <w:sz w:val="18"/>
          <w:szCs w:val="18"/>
          <w:u w:val="single" w:color="auto"/>
          <w:color w:val="auto"/>
        </w:rPr>
        <w:t>Ordinary</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having an aggregate offering price of up to $30,000,000. The Ordinary Shares will be issued pursuant to a registration statement on Form F-3 (Registration Statement No. 333-209960)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filed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the prospectus contained therein, and the prospectus supplement dated October 15, 2018, filed with the Commission pursuant to Rule 424(b)(5) of the Rules and Regulations of the Securities Act (the “</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together with the base prospectus, the “</w:t>
      </w:r>
      <w:r>
        <w:rPr>
          <w:rFonts w:ascii="Arial" w:cs="Arial" w:eastAsia="Arial" w:hAnsi="Arial"/>
          <w:sz w:val="18"/>
          <w:szCs w:val="18"/>
          <w:u w:val="single" w:color="auto"/>
          <w:color w:val="auto"/>
        </w:rPr>
        <w:t>Prospectus</w:t>
      </w:r>
      <w:r>
        <w:rPr>
          <w:rFonts w:ascii="Arial" w:cs="Arial" w:eastAsia="Arial" w:hAnsi="Arial"/>
          <w:sz w:val="18"/>
          <w:szCs w:val="18"/>
          <w:color w:val="auto"/>
        </w:rPr>
        <w:t>”).</w:t>
      </w:r>
    </w:p>
    <w:p>
      <w:pPr>
        <w:spacing w:after="0" w:line="192" w:lineRule="exact"/>
        <w:rPr>
          <w:sz w:val="20"/>
          <w:szCs w:val="20"/>
          <w:color w:val="auto"/>
        </w:rPr>
      </w:pPr>
    </w:p>
    <w:p>
      <w:pPr>
        <w:jc w:val="both"/>
        <w:ind w:firstLine="911"/>
        <w:spacing w:after="0" w:line="285" w:lineRule="auto"/>
        <w:rPr>
          <w:sz w:val="20"/>
          <w:szCs w:val="20"/>
          <w:color w:val="auto"/>
        </w:rPr>
      </w:pPr>
      <w:r>
        <w:rPr>
          <w:rFonts w:ascii="Arial" w:cs="Arial" w:eastAsia="Arial" w:hAnsi="Arial"/>
          <w:sz w:val="16"/>
          <w:szCs w:val="16"/>
          <w:color w:val="auto"/>
        </w:rPr>
        <w:t>In connection with this opinion, we have examined and relied upon the Registration Statement, the Prospectus, the Company’s amended and restated articles of association, and such statutes, regulations, corporate records, documents, certificates and such other instruments that we have deemed relevant and necessary for the basis of our opinions hereinafter expressed. In such examination, we have assumed: (a) the legal capacity of each natural person; (b) the legal existence of all parties referred to in the documents; (c) the power and authority of each person to execute, deliver and perform each document; (d) the authorization, execution and delivery by each person of each document; (e) the legality, validity, binding effect and enforceability as to each person of each document executed and delivered or to be executed or delivered and of each other act done or to be done by such person; (f) the payment of all the required documentary stamp taxes and fees imposed upon the execution, filing or recording of the documents; (g) that there have been no undisclosed modifications of any provision of any of the documents, and no undisclosed prior waiver of any right or remedy contained in the documents; (h) the genuineness of each signature, the completeness of each document, the authenticity of each document reviewed by us as an original, the conformity to the original of each document reviewed by us as a copy and the authenticity of the original of each document received by us as a copy; (i) the truthfulness of each statement contained in the documents as to all factual matters; (j) the accuracy, on the date stated in all governmental certifications of each statement, as to each factual matter contained in such governmental certifications; (k) that no action, discretionary or otherwise, was or will be taken by or on behalf of the Company in the future that might result in a violation of law; (l) that there are no other agreements or understandings of which we are not aware that would modify the terms of the documents; (n) that with respect to the documents, there has been no mutual mistake of fact and there exists no fraud or duress; (m) the truth, accuracy and completeness of the information, representations and warranties contained in the corporate records, documents, certificates and instruments we have reviewed; (o) that prior to the issuance of any of Ordinary Shares under the Sales Agreement, the price, number of Ordinary Shares and certain other terms of issuance with respect to any specific placement notice delivered under the Sales Agreement will be authorized and approved by the Company’s board of directors of the Company and in accordance with Israeli law (the “</w:t>
      </w:r>
      <w:r>
        <w:rPr>
          <w:rFonts w:ascii="Arial" w:cs="Arial" w:eastAsia="Arial" w:hAnsi="Arial"/>
          <w:sz w:val="16"/>
          <w:szCs w:val="16"/>
          <w:u w:val="single" w:color="auto"/>
          <w:color w:val="auto"/>
        </w:rPr>
        <w:t>Corporate Proceedings</w:t>
      </w:r>
      <w:r>
        <w:rPr>
          <w:rFonts w:ascii="Arial" w:cs="Arial" w:eastAsia="Arial" w:hAnsi="Arial"/>
          <w:sz w:val="16"/>
          <w:szCs w:val="16"/>
          <w:color w:val="auto"/>
        </w:rPr>
        <w:t>”) and (p) that upon the issuance of any Ordinary Shares, the total number of Ordinary Shares issued and outstanding will not exceed the total number of Ordinary Shares that the Company is then authorized to issue under its Amended and Restated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 w:name="page7"/>
    <w:bookmarkEnd w:id="6"/>
    <w:p>
      <w:pPr>
        <w:jc w:val="both"/>
        <w:ind w:firstLine="911"/>
        <w:spacing w:after="0" w:line="342" w:lineRule="auto"/>
        <w:rPr>
          <w:sz w:val="20"/>
          <w:szCs w:val="20"/>
          <w:color w:val="auto"/>
        </w:rPr>
      </w:pPr>
      <w:r>
        <w:rPr>
          <w:rFonts w:ascii="Arial" w:cs="Arial" w:eastAsia="Arial" w:hAnsi="Arial"/>
          <w:sz w:val="16"/>
          <w:szCs w:val="16"/>
          <w:color w:val="auto"/>
        </w:rPr>
        <w:t>We are members of the Israel Bar and we express no opinion as to any matter relating to the laws of any jurisdiction other than the laws of the State of Israel and have not, for the purpose of giving this opinion, made any investigation of the laws of any other jurisdiction than the State of Israel.</w:t>
      </w:r>
    </w:p>
    <w:p>
      <w:pPr>
        <w:spacing w:after="0" w:line="124" w:lineRule="exact"/>
        <w:rPr>
          <w:sz w:val="20"/>
          <w:szCs w:val="20"/>
          <w:color w:val="auto"/>
        </w:rPr>
      </w:pPr>
    </w:p>
    <w:p>
      <w:pPr>
        <w:jc w:val="both"/>
        <w:ind w:firstLine="911"/>
        <w:spacing w:after="0" w:line="259" w:lineRule="auto"/>
        <w:rPr>
          <w:sz w:val="20"/>
          <w:szCs w:val="20"/>
          <w:color w:val="auto"/>
        </w:rPr>
      </w:pPr>
      <w:r>
        <w:rPr>
          <w:rFonts w:ascii="Arial" w:cs="Arial" w:eastAsia="Arial" w:hAnsi="Arial"/>
          <w:sz w:val="18"/>
          <w:szCs w:val="18"/>
          <w:color w:val="auto"/>
        </w:rPr>
        <w:t>Based upon the foregoing and in reliance thereon, assuming the completion of the Corporate Proceedings in connection with the delivery of a specific placement notice, we are of the opinion that the Ordinary Shares to be offered and sold under the Sales Agreement have been duly authorized for issuance and, when issued and paid for in accordance with the terms and conditions of the Sales Agreement, will be validly issued, fully paid and non-assessable.</w:t>
      </w:r>
    </w:p>
    <w:p>
      <w:pPr>
        <w:spacing w:after="0" w:line="187" w:lineRule="exact"/>
        <w:rPr>
          <w:sz w:val="20"/>
          <w:szCs w:val="20"/>
          <w:color w:val="auto"/>
        </w:rPr>
      </w:pPr>
    </w:p>
    <w:p>
      <w:pPr>
        <w:jc w:val="both"/>
        <w:ind w:firstLine="911"/>
        <w:spacing w:after="0" w:line="257" w:lineRule="auto"/>
        <w:rPr>
          <w:sz w:val="20"/>
          <w:szCs w:val="20"/>
          <w:color w:val="auto"/>
        </w:rPr>
      </w:pPr>
      <w:r>
        <w:rPr>
          <w:rFonts w:ascii="Arial" w:cs="Arial" w:eastAsia="Arial" w:hAnsi="Arial"/>
          <w:sz w:val="18"/>
          <w:szCs w:val="18"/>
          <w:color w:val="auto"/>
        </w:rPr>
        <w:t>We hereby consent to the filing of this opinion as an exhibit to the Company’s report on Form 6-K dated October 15, 2018, which is incorporated by reference into the Registration Statement and to the use of our name wherever it appears in the Registration Statement and the Prospectus. In giving such consent, we do not believe that we are “experts” within the meaning of such term as used in the Securities Act of 1933, as amended, or the rules and regulations of the Securities and Exchange Commission issued thereunder with respect to any part of the Registration Statement, including this opinion as an exhibit or otherwise.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Barnea, Jaffa, Lande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Barnea, Jaffa, Lande &amp; Co.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3362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1420"/>
          </w:cols>
          <w:pgMar w:left="240" w:top="449" w:right="239" w:bottom="1440" w:gutter="0" w:footer="0" w:header="0"/>
        </w:sectPr>
      </w:pPr>
    </w:p>
    <w:bookmarkStart w:id="7" w:name="page8"/>
    <w:bookmarkEnd w:id="7"/>
    <w:p>
      <w:pPr>
        <w:ind w:left="908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***TEXT OMITTED AND FILED SEPARATELY</w:t>
      </w:r>
    </w:p>
    <w:p>
      <w:pPr>
        <w:spacing w:after="0" w:line="27"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WITH THE SECURITIES AND EXCHANGE COMMISSION.</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b w:val="1"/>
          <w:bCs w:val="1"/>
          <w:color w:val="auto"/>
        </w:rPr>
        <w:t>CONFIDENTIAL TREATMENT REQUESTED</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7"/>
          <w:szCs w:val="17"/>
          <w:b w:val="1"/>
          <w:bCs w:val="1"/>
          <w:color w:val="auto"/>
        </w:rPr>
        <w:t>UNDER 17 C.F.R. SECTIONS 200.80(B)(4) AND RULE 24B-2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ARCTURUS THERAPEUTICS, INC., A DELAWARE CORPORATION</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WESTERN ALLIANCE BANK, AN ARIZONA CORPORATION</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622300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8" w:name="page9"/>
    <w:bookmarkEnd w:id="8"/>
    <w:p>
      <w:pPr>
        <w:ind w:firstLine="877"/>
        <w:spacing w:after="0" w:line="28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LOAN AND SECURITY AGREEMENT</w:t>
      </w:r>
      <w:r>
        <w:rPr>
          <w:rFonts w:ascii="Arial" w:cs="Arial" w:eastAsia="Arial" w:hAnsi="Arial"/>
          <w:sz w:val="18"/>
          <w:szCs w:val="18"/>
          <w:color w:val="auto"/>
        </w:rPr>
        <w:t xml:space="preserve"> (this “Agreement”) is entered into as of October 12, 2018 by and between </w:t>
      </w:r>
      <w:r>
        <w:rPr>
          <w:rFonts w:ascii="Arial" w:cs="Arial" w:eastAsia="Arial" w:hAnsi="Arial"/>
          <w:sz w:val="18"/>
          <w:szCs w:val="18"/>
          <w:b w:val="1"/>
          <w:bCs w:val="1"/>
          <w:color w:val="auto"/>
        </w:rPr>
        <w:t>WESTERN</w:t>
      </w:r>
      <w:r>
        <w:rPr>
          <w:rFonts w:ascii="Arial" w:cs="Arial" w:eastAsia="Arial" w:hAnsi="Arial"/>
          <w:sz w:val="18"/>
          <w:szCs w:val="18"/>
          <w:color w:val="auto"/>
        </w:rPr>
        <w:t xml:space="preserve"> </w:t>
      </w:r>
      <w:r>
        <w:rPr>
          <w:rFonts w:ascii="Arial" w:cs="Arial" w:eastAsia="Arial" w:hAnsi="Arial"/>
          <w:sz w:val="18"/>
          <w:szCs w:val="18"/>
          <w:b w:val="1"/>
          <w:bCs w:val="1"/>
          <w:color w:val="auto"/>
        </w:rPr>
        <w:t>ALLIANCE BANK</w:t>
      </w:r>
      <w:r>
        <w:rPr>
          <w:rFonts w:ascii="Arial" w:cs="Arial" w:eastAsia="Arial" w:hAnsi="Arial"/>
          <w:sz w:val="18"/>
          <w:szCs w:val="18"/>
          <w:color w:val="auto"/>
        </w:rPr>
        <w:t>, an Arizona corporation (“Bank”), and</w:t>
      </w:r>
      <w:r>
        <w:rPr>
          <w:rFonts w:ascii="Arial" w:cs="Arial" w:eastAsia="Arial" w:hAnsi="Arial"/>
          <w:sz w:val="18"/>
          <w:szCs w:val="18"/>
          <w:b w:val="1"/>
          <w:bCs w:val="1"/>
          <w:color w:val="auto"/>
        </w:rPr>
        <w:t xml:space="preserve"> ARCTURUS THERAPEUTICS, INC.</w:t>
      </w:r>
      <w:r>
        <w:rPr>
          <w:rFonts w:ascii="Arial" w:cs="Arial" w:eastAsia="Arial" w:hAnsi="Arial"/>
          <w:sz w:val="18"/>
          <w:szCs w:val="18"/>
          <w:color w:val="auto"/>
        </w:rPr>
        <w:t>, a Delaware corporation (“Borrower”).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ECITALS</w:t>
      </w:r>
    </w:p>
    <w:p>
      <w:pPr>
        <w:spacing w:after="0" w:line="229" w:lineRule="exact"/>
        <w:rPr>
          <w:sz w:val="20"/>
          <w:szCs w:val="20"/>
          <w:color w:val="auto"/>
        </w:rPr>
      </w:pPr>
    </w:p>
    <w:p>
      <w:pPr>
        <w:ind w:firstLine="877"/>
        <w:spacing w:after="0" w:line="277" w:lineRule="auto"/>
        <w:rPr>
          <w:sz w:val="20"/>
          <w:szCs w:val="20"/>
          <w:color w:val="auto"/>
        </w:rPr>
      </w:pPr>
      <w:r>
        <w:rPr>
          <w:rFonts w:ascii="Arial" w:cs="Arial" w:eastAsia="Arial" w:hAnsi="Arial"/>
          <w:sz w:val="18"/>
          <w:szCs w:val="18"/>
          <w:color w:val="auto"/>
        </w:rPr>
        <w:t>Borrower wishes to obtain credit from time to time from Bank, and Bank desires to extend credit to Borrower. This Agreement sets forth the terms on which Bank will advance credit to Borrower, and Borrower will repay the amounts owing to Bank.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GREEMENT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parties agree as follows:</w:t>
      </w:r>
    </w:p>
    <w:p>
      <w:pPr>
        <w:spacing w:after="0" w:line="221" w:lineRule="exact"/>
        <w:rPr>
          <w:sz w:val="20"/>
          <w:szCs w:val="20"/>
          <w:color w:val="auto"/>
        </w:rPr>
      </w:pPr>
    </w:p>
    <w:p>
      <w:pPr>
        <w:ind w:left="1660" w:hanging="775"/>
        <w:spacing w:after="0"/>
        <w:tabs>
          <w:tab w:leader="none" w:pos="1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EFINITIONS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ONSTRUCTION</w:t>
      </w:r>
      <w:r>
        <w:rPr>
          <w:rFonts w:ascii="Arial" w:cs="Arial" w:eastAsia="Arial" w:hAnsi="Arial"/>
          <w:sz w:val="18"/>
          <w:szCs w:val="18"/>
          <w:b w:val="1"/>
          <w:bCs w:val="1"/>
          <w:color w:val="auto"/>
        </w:rPr>
        <w:t>.</w:t>
      </w:r>
    </w:p>
    <w:p>
      <w:pPr>
        <w:spacing w:after="0" w:line="225" w:lineRule="exact"/>
        <w:rPr>
          <w:sz w:val="20"/>
          <w:szCs w:val="20"/>
          <w:color w:val="auto"/>
        </w:rPr>
      </w:pPr>
    </w:p>
    <w:p>
      <w:pPr>
        <w:ind w:left="1760"/>
        <w:spacing w:after="0"/>
        <w:tabs>
          <w:tab w:leader="none" w:pos="26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Definitions</w:t>
      </w:r>
      <w:r>
        <w:rPr>
          <w:rFonts w:ascii="Arial" w:cs="Arial" w:eastAsia="Arial" w:hAnsi="Arial"/>
          <w:sz w:val="16"/>
          <w:szCs w:val="16"/>
          <w:color w:val="auto"/>
        </w:rPr>
        <w:t>. As used in this Agreement, the following terms shall have the following definitions:</w:t>
      </w:r>
    </w:p>
    <w:p>
      <w:pPr>
        <w:spacing w:after="0" w:line="229"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“Accounts” means all presently existing and hereafter arising accounts, contract rights, payment intangibles, and all other forms of obligations owing to Borrower arising out of the sale or lease of goods (including, without limitation, the licensing of software and other technology) or the rendering of services by Borrower, whether or not earned by performance, and any and all credit insurance, guaranties, and other security therefor, as well as all merchandise returned to or reclaimed by Borrower and Borrower’s Books relating to any of the foregoing.</w:t>
      </w:r>
    </w:p>
    <w:p>
      <w:pPr>
        <w:spacing w:after="0" w:line="187"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“Affiliate” means, with respect to any Person, any Person that owns or controls directly or indirectly such Person and any Person that controls or is controlled by or is under common control with such Person.</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“Alcobra” means Alcobra, Inc., a Delaware corporation and a wholly-owned Subsidiary of Parent.</w:t>
      </w:r>
    </w:p>
    <w:p>
      <w:pPr>
        <w:spacing w:after="0" w:line="225"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“Amortization Date” means June 1, 2020; provided, however, if the Interest Only End Date is November 1, 2020, “Amortization Date” means December 1, 2020.</w:t>
      </w:r>
    </w:p>
    <w:p>
      <w:pPr>
        <w:spacing w:after="0" w:line="170" w:lineRule="exact"/>
        <w:rPr>
          <w:sz w:val="20"/>
          <w:szCs w:val="20"/>
          <w:color w:val="auto"/>
        </w:rPr>
      </w:pPr>
    </w:p>
    <w:p>
      <w:pPr>
        <w:jc w:val="both"/>
        <w:ind w:firstLine="877"/>
        <w:spacing w:after="0" w:line="223" w:lineRule="exact"/>
        <w:rPr>
          <w:sz w:val="20"/>
          <w:szCs w:val="20"/>
          <w:color w:val="auto"/>
        </w:rPr>
      </w:pPr>
      <w:r>
        <w:rPr>
          <w:rFonts w:ascii="Arial" w:cs="Arial" w:eastAsia="Arial" w:hAnsi="Arial"/>
          <w:sz w:val="18"/>
          <w:szCs w:val="18"/>
          <w:color w:val="auto"/>
        </w:rPr>
        <w:t>“Anti</w:t>
      </w:r>
      <w:r>
        <w:rPr>
          <w:rFonts w:ascii="MS PGothic" w:cs="MS PGothic" w:eastAsia="MS PGothic" w:hAnsi="MS PGothic"/>
          <w:sz w:val="18"/>
          <w:szCs w:val="18"/>
          <w:color w:val="auto"/>
        </w:rPr>
        <w:t>‑</w:t>
      </w:r>
      <w:r>
        <w:rPr>
          <w:rFonts w:ascii="Arial" w:cs="Arial" w:eastAsia="Arial" w:hAnsi="Arial"/>
          <w:sz w:val="18"/>
          <w:szCs w:val="18"/>
          <w:color w:val="auto"/>
        </w:rPr>
        <w:t>Terrorism Laws” means any laws relating to terrorism or money laundering, including Executive Order No. 13224 (effective September 24, 2001), the Patriot Act, the laws comprising or implementing the Bank Secrecy Act, and the laws administered by OFAC.</w:t>
      </w:r>
    </w:p>
    <w:p>
      <w:pPr>
        <w:spacing w:after="0" w:line="203"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8"/>
          <w:szCs w:val="18"/>
          <w:color w:val="auto"/>
        </w:rPr>
        <w:t>“Bank Expenses” means all: reasonable, out-of-pocket and documented costs or expenses (including reasonable, out-of-pocket and documented attorneys’ fees and expenses) incurred in connection with the preparation, negotiation, administration, and enforcement of the Loan Documents; reasonable, out-of-pocket and documented Collateral audit fees; and Bank’s reasonable, out-of-pocket and documented reasonable, out-of-pocket and documented attorneys’ fees and expenses incurred in amending, enforcing or defending the Loan Documents (including fees and expenses of appeal), incurred before, during and after an Insolvency Proceeding, whether or not suit is brought.</w:t>
      </w:r>
    </w:p>
    <w:p>
      <w:pPr>
        <w:spacing w:after="0" w:line="188" w:lineRule="exact"/>
        <w:rPr>
          <w:sz w:val="20"/>
          <w:szCs w:val="20"/>
          <w:color w:val="auto"/>
        </w:rPr>
      </w:pPr>
    </w:p>
    <w:p>
      <w:pPr>
        <w:jc w:val="both"/>
        <w:ind w:firstLine="877"/>
        <w:spacing w:after="0" w:line="219" w:lineRule="exact"/>
        <w:rPr>
          <w:sz w:val="20"/>
          <w:szCs w:val="20"/>
          <w:color w:val="auto"/>
        </w:rPr>
      </w:pPr>
      <w:r>
        <w:rPr>
          <w:rFonts w:ascii="Arial" w:cs="Arial" w:eastAsia="Arial" w:hAnsi="Arial"/>
          <w:sz w:val="17"/>
          <w:szCs w:val="17"/>
          <w:color w:val="auto"/>
        </w:rPr>
        <w:t>“Blocked Person” means any Person: (a) listed in the annex to, or is otherwise subject to the provisions of, Executive Order No. 13224; (b) a Person controlled by, or acting for or on behalf of, any Person that is listed in the annex to, or is otherwise subject to the provisions of, Executive Order No. 13224; (c) a Person with which Bank is prohibited from dealing or otherwise engaging in any transaction by any Anti</w:t>
      </w:r>
      <w:r>
        <w:rPr>
          <w:rFonts w:ascii="MS PGothic" w:cs="MS PGothic" w:eastAsia="MS PGothic" w:hAnsi="MS PGothic"/>
          <w:sz w:val="17"/>
          <w:szCs w:val="17"/>
          <w:color w:val="auto"/>
        </w:rPr>
        <w:t>‑</w:t>
      </w:r>
      <w:r>
        <w:rPr>
          <w:rFonts w:ascii="Arial" w:cs="Arial" w:eastAsia="Arial" w:hAnsi="Arial"/>
          <w:sz w:val="17"/>
          <w:szCs w:val="17"/>
          <w:color w:val="auto"/>
        </w:rPr>
        <w:t>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jc w:val="both"/>
        <w:ind w:right="20" w:firstLine="877"/>
        <w:spacing w:after="0" w:line="308" w:lineRule="auto"/>
        <w:rPr>
          <w:sz w:val="20"/>
          <w:szCs w:val="20"/>
          <w:color w:val="auto"/>
        </w:rPr>
      </w:pPr>
      <w:r>
        <w:rPr>
          <w:rFonts w:ascii="Arial" w:cs="Arial" w:eastAsia="Arial" w:hAnsi="Arial"/>
          <w:sz w:val="17"/>
          <w:szCs w:val="17"/>
          <w:color w:val="auto"/>
        </w:rPr>
        <w:t>“Borrower’s Books” means all of Borrower’s books and records including: ledgers; records concerning Borrower’s assets or liabilities, the Collateral, business operations or financial condition; and all computer programs, or tape files, and the equipment, containing such information.</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“Business Day” means any day that is not a Saturday, Sunday, or other day on which banks in the State of California are authorized or required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close.</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firstLine="877"/>
        <w:spacing w:after="0" w:line="279" w:lineRule="auto"/>
        <w:rPr>
          <w:sz w:val="20"/>
          <w:szCs w:val="20"/>
          <w:color w:val="auto"/>
        </w:rPr>
      </w:pPr>
      <w:r>
        <w:rPr>
          <w:rFonts w:ascii="Arial" w:cs="Arial" w:eastAsia="Arial" w:hAnsi="Arial"/>
          <w:sz w:val="17"/>
          <w:szCs w:val="17"/>
          <w:color w:val="auto"/>
        </w:rPr>
        <w:t>“Change in Control” means a transaction in which any “person” or “group” (within the meaning of Section 13(d) and 14(d)(2) of the Securities Exchange Act of 1934) becomes the “beneficial owner” (as defined in Rule 13d-3 under the Securities Exchange Act of 1934), directly or indirectly, of a sufficient number of shares of all classes of stock then outstanding of Borrower ordinarily entitled to vote in the election of directors, empowering such “person” or “group” to elect a majority of the Board of Directors of Borrower, who did not have such power before such transaction.</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“Closing Date” means the date of this Agreement.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“Code” means the California Uniform Commercial Code.</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“Collateral” means the property described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attached hereto.</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“Contingent Obligation” means, as applied to any Person, any direct or indirect liability, contingent or otherwise, of such Person with respect to</w:t>
      </w:r>
    </w:p>
    <w:p>
      <w:pPr>
        <w:spacing w:after="0" w:line="46" w:lineRule="exact"/>
        <w:rPr>
          <w:sz w:val="20"/>
          <w:szCs w:val="20"/>
          <w:color w:val="auto"/>
        </w:rPr>
      </w:pPr>
    </w:p>
    <w:p>
      <w:pPr>
        <w:jc w:val="both"/>
        <w:ind w:firstLine="8"/>
        <w:spacing w:after="0" w:line="268" w:lineRule="auto"/>
        <w:tabs>
          <w:tab w:leader="none" w:pos="231"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indebtedness, lease, dividend, letter of credit or other obligation of another; (ii) any obligations with respect to undrawn letters of credit, corporate credit cards, or merchant services issued or provided for the account of such Person; and (iii) all obligations arising under any agreement or arrangement designed to protect such Person against fluctuation in interest rates, currency exchange rates or commodity prices; provided, however, that the term “Contingent Obligation” shall not include endorsements for collection or deposit in the ordinary course of business or product warranties given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w:t>
      </w:r>
    </w:p>
    <w:p>
      <w:pPr>
        <w:spacing w:after="0" w:line="184" w:lineRule="exact"/>
        <w:rPr>
          <w:sz w:val="20"/>
          <w:szCs w:val="20"/>
          <w:color w:val="auto"/>
        </w:rPr>
      </w:pPr>
    </w:p>
    <w:p>
      <w:pPr>
        <w:ind w:firstLine="877"/>
        <w:spacing w:after="0" w:line="277" w:lineRule="auto"/>
        <w:rPr>
          <w:sz w:val="20"/>
          <w:szCs w:val="20"/>
          <w:color w:val="auto"/>
        </w:rPr>
      </w:pPr>
      <w:r>
        <w:rPr>
          <w:rFonts w:ascii="Arial" w:cs="Arial" w:eastAsia="Arial" w:hAnsi="Arial"/>
          <w:sz w:val="18"/>
          <w:szCs w:val="18"/>
          <w:color w:val="auto"/>
        </w:rPr>
        <w:t>“Copyrights” means any and all copyright rights, copyright applications, copyright registrations and like protections in each work or authorship and derivative work thereof.</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“Credit Extension” means the Term Loan or any other extension of credit by Bank for the benefit of Borrower hereunder.</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“Daily Balance” means the amount of the Term Loan owed at the end of a given day.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“DOJ” means the U.S. Department of Justice or any successor thereto or any other comparable Governmental Authority.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“Domestic Subsidiary” means any Subsidiary that is not a Foreign Subsidiary.</w:t>
      </w:r>
    </w:p>
    <w:p>
      <w:pPr>
        <w:spacing w:after="0" w:line="225" w:lineRule="exact"/>
        <w:rPr>
          <w:sz w:val="20"/>
          <w:szCs w:val="20"/>
          <w:color w:val="auto"/>
        </w:rPr>
      </w:pPr>
    </w:p>
    <w:p>
      <w:pPr>
        <w:ind w:right="20" w:firstLine="877"/>
        <w:spacing w:after="0" w:line="277" w:lineRule="auto"/>
        <w:rPr>
          <w:sz w:val="20"/>
          <w:szCs w:val="20"/>
          <w:color w:val="auto"/>
        </w:rPr>
      </w:pPr>
      <w:r>
        <w:rPr>
          <w:rFonts w:ascii="Arial" w:cs="Arial" w:eastAsia="Arial" w:hAnsi="Arial"/>
          <w:sz w:val="18"/>
          <w:szCs w:val="18"/>
          <w:color w:val="auto"/>
        </w:rPr>
        <w:t>“Equipment” means all present and future machinery, equipment, tenant improvements, furniture, fixtures, vehicles, tools, parts and attachments in which Borrower has any interest.</w:t>
      </w:r>
    </w:p>
    <w:p>
      <w:pPr>
        <w:spacing w:after="0" w:line="333" w:lineRule="exact"/>
        <w:rPr>
          <w:sz w:val="20"/>
          <w:szCs w:val="20"/>
          <w:color w:val="auto"/>
        </w:rPr>
      </w:pPr>
    </w:p>
    <w:p>
      <w:pPr>
        <w:ind w:left="280" w:hanging="269"/>
        <w:spacing w:after="0"/>
        <w:tabs>
          <w:tab w:leader="none" w:pos="280" w:val="left"/>
        </w:tabs>
        <w:numPr>
          <w:ilvl w:val="0"/>
          <w:numId w:val="5"/>
        </w:numPr>
        <w:rPr>
          <w:rFonts w:ascii="Arial" w:cs="Arial" w:eastAsia="Arial" w:hAnsi="Arial"/>
          <w:sz w:val="15"/>
          <w:szCs w:val="15"/>
          <w:color w:val="auto"/>
        </w:rPr>
      </w:pPr>
      <w:r>
        <w:rPr>
          <w:rFonts w:ascii="Arial" w:cs="Arial" w:eastAsia="Arial" w:hAnsi="Arial"/>
          <w:sz w:val="18"/>
          <w:szCs w:val="18"/>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490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ind w:left="880"/>
        <w:spacing w:after="0"/>
        <w:rPr>
          <w:sz w:val="20"/>
          <w:szCs w:val="20"/>
          <w:color w:val="auto"/>
        </w:rPr>
      </w:pPr>
      <w:r>
        <w:rPr>
          <w:rFonts w:ascii="Arial" w:cs="Arial" w:eastAsia="Arial" w:hAnsi="Arial"/>
          <w:sz w:val="18"/>
          <w:szCs w:val="18"/>
          <w:color w:val="auto"/>
        </w:rPr>
        <w:t>“ERISA” means the Employee Retirement Income Security Act of 1974, as amended, and the regulations thereunder.</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“Event of Default” has the meaning assigned in Article 8.</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“Excluded Collateral” has the meaning assigned in Exhibit A.</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“FDA” means the U.S. Food and Drug Administration or any successor thereto or any other comparable Governmental Authority.</w:t>
      </w:r>
    </w:p>
    <w:p>
      <w:pPr>
        <w:spacing w:after="0" w:line="225"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“Fee in Lieu” means that certain Fee in Lieu of Warrant, as identified in that certain side letter between Borrower and Bank dated as of the Closing Date.</w:t>
      </w:r>
    </w:p>
    <w:p>
      <w:pPr>
        <w:spacing w:after="0" w:line="170"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8"/>
          <w:szCs w:val="18"/>
          <w:color w:val="auto"/>
        </w:rPr>
        <w:t>“Final Payment” is a payment (in addition to and not a substitution for the regular monthly payments of principal plus accrued interest) due on the earliest to occur of (a) the Maturity Date, or (b) the acceleration of any Term Loan, or (c) the prepayment of a Term Loan pursuant to Section 2.1(iv), equal to the original principal amount of such Term Loan multiplied by the Final Payment Percentage; provided that, if the entire amount of the Term Loan is refinanced by Bank or a syndicate of lenders of which Bank is a part or the agent thereof, only the accrued portion of the Final Payment shall be due and payable at the closing of such refinance.</w:t>
      </w:r>
    </w:p>
    <w:p>
      <w:pPr>
        <w:spacing w:after="0" w:line="188"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“Final Payment Percentage” is three percent (3.00%); provided that, upon the FDA’s acceptance of Borrower’s IND for […***…] or […***…], the “Final Payment Percentage” shall be two percent (2.00%).</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“Foreign Subsidiary” is a Subsidiary that is not an entity organized under the laws of the United States or any territory thereof.</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“Funding Date” is any date on which a Credit Extension is made to or on account of Borrower which shall be a Business Day.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“GAAP” means generally accepted accounting principles as in effect from time to time.</w:t>
      </w:r>
    </w:p>
    <w:p>
      <w:pPr>
        <w:spacing w:after="0" w:line="225"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“Governmental Approval” is any consent, authorization, approval, order, license, franchise, permit, certificate, accreditation, registration, filing or notice, of, issued by, from or to, or other act by or in respect of, any Governmental Authority.</w:t>
      </w:r>
    </w:p>
    <w:p>
      <w:pPr>
        <w:spacing w:after="0" w:line="62" w:lineRule="exact"/>
        <w:rPr>
          <w:sz w:val="20"/>
          <w:szCs w:val="20"/>
          <w:color w:val="auto"/>
        </w:rPr>
      </w:pPr>
    </w:p>
    <w:p>
      <w:pPr>
        <w:jc w:val="both"/>
        <w:ind w:firstLine="877"/>
        <w:spacing w:after="0" w:line="220" w:lineRule="exact"/>
        <w:rPr>
          <w:sz w:val="20"/>
          <w:szCs w:val="20"/>
          <w:color w:val="auto"/>
        </w:rPr>
      </w:pPr>
      <w:r>
        <w:rPr>
          <w:rFonts w:ascii="Arial" w:cs="Arial" w:eastAsia="Arial" w:hAnsi="Arial"/>
          <w:sz w:val="18"/>
          <w:szCs w:val="18"/>
          <w:color w:val="auto"/>
        </w:rPr>
        <w:t>“Governmental Authority” is any nation or government, any state or other political subdivision thereof, any agency, authority, instrumentality, regulatory body (including, without limitation, the FDA and any state board of pharmacy or state pharmacy licensing authority), court, central bank or other entity exercising executive, legislative, judicial, taxing, regulatory or administrative functions of or pertaining to government, any securities exchange and any self</w:t>
      </w:r>
      <w:r>
        <w:rPr>
          <w:rFonts w:ascii="MS PGothic" w:cs="MS PGothic" w:eastAsia="MS PGothic" w:hAnsi="MS PGothic"/>
          <w:sz w:val="18"/>
          <w:szCs w:val="18"/>
          <w:color w:val="auto"/>
        </w:rPr>
        <w:t>‑</w:t>
      </w:r>
      <w:r>
        <w:rPr>
          <w:rFonts w:ascii="Arial" w:cs="Arial" w:eastAsia="Arial" w:hAnsi="Arial"/>
          <w:sz w:val="18"/>
          <w:szCs w:val="18"/>
          <w:color w:val="auto"/>
        </w:rPr>
        <w:t>regulatory organization.</w:t>
      </w:r>
    </w:p>
    <w:p>
      <w:pPr>
        <w:spacing w:after="0" w:line="20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“IND” means an Investigational New Drug application, made to the FDA.</w:t>
      </w:r>
    </w:p>
    <w:p>
      <w:pPr>
        <w:spacing w:after="0" w:line="225" w:lineRule="exact"/>
        <w:rPr>
          <w:sz w:val="20"/>
          <w:szCs w:val="20"/>
          <w:color w:val="auto"/>
        </w:rPr>
      </w:pPr>
    </w:p>
    <w:p>
      <w:pPr>
        <w:jc w:val="both"/>
        <w:ind w:right="20" w:firstLine="877"/>
        <w:spacing w:after="0" w:line="259" w:lineRule="auto"/>
        <w:rPr>
          <w:sz w:val="20"/>
          <w:szCs w:val="20"/>
          <w:color w:val="auto"/>
        </w:rPr>
      </w:pPr>
      <w:r>
        <w:rPr>
          <w:rFonts w:ascii="Arial" w:cs="Arial" w:eastAsia="Arial" w:hAnsi="Arial"/>
          <w:sz w:val="18"/>
          <w:szCs w:val="18"/>
          <w:color w:val="auto"/>
        </w:rPr>
        <w:t>“Indebtedness” means (a) all indebtedness for borrowed money or the deferred purchase price of property or services, including, without limitation, reimbursement and other obligations with respect to surety bonds and letters of credit, but excluding trade accounts payable not past due by more than ninety (90) days, (b) all obligations evidenced by notes, bonds, debentures or similar instruments, (c) all capital lease obligations and (d) all Contingent Obligations.</w:t>
      </w:r>
    </w:p>
    <w:p>
      <w:pPr>
        <w:spacing w:after="0" w:line="187" w:lineRule="exact"/>
        <w:rPr>
          <w:sz w:val="20"/>
          <w:szCs w:val="20"/>
          <w:color w:val="auto"/>
        </w:rPr>
      </w:pPr>
    </w:p>
    <w:p>
      <w:pPr>
        <w:jc w:val="both"/>
        <w:ind w:firstLine="877"/>
        <w:spacing w:after="0" w:line="286" w:lineRule="auto"/>
        <w:rPr>
          <w:sz w:val="20"/>
          <w:szCs w:val="20"/>
          <w:color w:val="auto"/>
        </w:rPr>
      </w:pPr>
      <w:r>
        <w:rPr>
          <w:rFonts w:ascii="Arial" w:cs="Arial" w:eastAsia="Arial" w:hAnsi="Arial"/>
          <w:sz w:val="17"/>
          <w:szCs w:val="17"/>
          <w:color w:val="auto"/>
        </w:rPr>
        <w:t>“Insolvency Proceeding” means any proceeding commenced by or against any person or entity under any provision of the United States Bankruptcy Code, as amended, or under any other bankruptcy or insolvency law, including assignments for the benefit of creditors, formal or informal moratoria, compositions, extension generally with its creditors, or proceedings seeking reorganization, arrangement, or other relief.</w:t>
      </w:r>
    </w:p>
    <w:p>
      <w:pPr>
        <w:spacing w:after="0" w:line="328" w:lineRule="exact"/>
        <w:rPr>
          <w:sz w:val="20"/>
          <w:szCs w:val="20"/>
          <w:color w:val="auto"/>
        </w:rPr>
      </w:pPr>
    </w:p>
    <w:p>
      <w:pPr>
        <w:ind w:left="280" w:hanging="269"/>
        <w:spacing w:after="0"/>
        <w:tabs>
          <w:tab w:leader="none" w:pos="280" w:val="left"/>
        </w:tabs>
        <w:numPr>
          <w:ilvl w:val="0"/>
          <w:numId w:val="6"/>
        </w:numPr>
        <w:rPr>
          <w:rFonts w:ascii="Arial" w:cs="Arial" w:eastAsia="Arial" w:hAnsi="Arial"/>
          <w:sz w:val="15"/>
          <w:szCs w:val="15"/>
          <w:color w:val="auto"/>
        </w:rPr>
      </w:pPr>
      <w:r>
        <w:rPr>
          <w:rFonts w:ascii="Arial" w:cs="Arial" w:eastAsia="Arial" w:hAnsi="Arial"/>
          <w:sz w:val="18"/>
          <w:szCs w:val="18"/>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490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jc w:val="both"/>
        <w:ind w:firstLine="877"/>
        <w:spacing w:after="0" w:line="276" w:lineRule="auto"/>
        <w:rPr>
          <w:sz w:val="20"/>
          <w:szCs w:val="20"/>
          <w:color w:val="auto"/>
        </w:rPr>
      </w:pPr>
      <w:r>
        <w:rPr>
          <w:rFonts w:ascii="Arial" w:cs="Arial" w:eastAsia="Arial" w:hAnsi="Arial"/>
          <w:sz w:val="17"/>
          <w:szCs w:val="17"/>
          <w:color w:val="auto"/>
        </w:rPr>
        <w:t>“Intellectual Property” means all of Borrower’s right, title, and interest in and to the following: Copyrights, Trademarks and Patents; all trade secrets, all design rights, claims for damages by way of past, present and future infringement of any of the rights included above; all licenses or other rights to use any of the Copyrights, Patents or Trademarks, and all license fees and royalties arising from such use to the extent permitted by such license or rights; all amendments, renewals and extensions of any of the Copyrights, Trademarks or Patents; and all proceeds and products of the foregoing, including, without limitation, all payments under insurance or any indemnity or warranty payable in respect of any of the foregoing.</w:t>
      </w:r>
    </w:p>
    <w:p>
      <w:pPr>
        <w:spacing w:after="0" w:line="173"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“Interest Only End Date” means May 1, 2020; provided, however, if no Event of Default has occurred and is continuing as a result of a breach by Borrower of Section 6.8, “Interest Only End Date” means November 1, 2020.</w:t>
      </w:r>
    </w:p>
    <w:p>
      <w:pPr>
        <w:spacing w:after="0" w:line="170"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8"/>
          <w:szCs w:val="18"/>
          <w:color w:val="auto"/>
        </w:rPr>
        <w:t>“Inventory” means all inventory in which Borrower has or acquires any interest, including work in process and finished products intended for sale or lease or to be furnished under a contract of service, of every kind and description now or at any time hereafter owned by or in the custody or possession, actual or constructive, of Borrower, including such inventory as is temporarily out of its custody or possession or in transit and including any returns upon any accounts or other proceeds, including insurance proceeds, resulting from the sale or disposition of any of the foregoing and any documents of title representing any of the above, and Borrower’s Books relating to any of the foregoing.</w:t>
      </w:r>
    </w:p>
    <w:p>
      <w:pPr>
        <w:spacing w:after="0" w:line="188"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“Investment” means any beneficial ownership of (including stock, partnership interest or other securities) any Person, or any loan, advance (other than advances to trade creditors in the ordinary course of business) or capital contribution to any Person.</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“IRC” means the Internal Revenue Code of 1986, as amended, and the regulations thereunder.</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“Lien” means any mortgage, lien, deed of trust, charge, pledge, security interest or other encumbrance.</w:t>
      </w:r>
    </w:p>
    <w:p>
      <w:pPr>
        <w:spacing w:after="0" w:line="225"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“Loan Documents” means, collectively, this Agreement, any note or notes executed by Borrower, and any other agreement entered into by Borrower and Bank in connection with this Agreement, all as amended or extended from time to time.</w:t>
      </w:r>
    </w:p>
    <w:p>
      <w:pPr>
        <w:spacing w:after="0" w:line="170"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“Material Adverse Effect” means a material adverse effect on (i) the business operations or condition (financial or otherwise) of Borrower and its Subsidiaries taken as a whole or (ii) the ability of Borrower to repay the Obligations or otherwise perform its obligations under the Loan Documents or (iii) the value or priority of Bank’s security interest in the Collateral.</w:t>
      </w:r>
    </w:p>
    <w:p>
      <w:pPr>
        <w:spacing w:after="0" w:line="181"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“Negotiable Collateral” means all letters of credit of which Borrower is a beneficiary, notes, drafts, instruments, securities, documents of title, and chattel paper, and Borrower’s Books relating to any of the foregoing.</w:t>
      </w:r>
    </w:p>
    <w:p>
      <w:pPr>
        <w:spacing w:after="0" w:line="170"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“Obligations” means all debt, principal, interest, Bank Expenses, the Prepayment Fee, the Final Payment, the Fee in Lieu, and other amounts owed to Bank by Borrower, in each case, pursuant to this Agreement or any other agreement, whether absolute or contingent, due or to become due, now existing or hereafter arising, including any interest that accrues after the commencement of an Insolvency Proceeding and including any debt, liability, or obligation owing from Borrower to others that Bank may have obtained by assignment or otherwise.</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“OFAC” is the U.S. Department of Treasury Office of Foreign Assets Control.</w:t>
      </w:r>
    </w:p>
    <w:p>
      <w:pPr>
        <w:spacing w:after="0" w:line="225" w:lineRule="exact"/>
        <w:rPr>
          <w:sz w:val="20"/>
          <w:szCs w:val="20"/>
          <w:color w:val="auto"/>
        </w:rPr>
      </w:pPr>
    </w:p>
    <w:p>
      <w:pPr>
        <w:jc w:val="both"/>
        <w:ind w:right="20" w:firstLine="877"/>
        <w:spacing w:after="0" w:line="264" w:lineRule="auto"/>
        <w:rPr>
          <w:sz w:val="20"/>
          <w:szCs w:val="20"/>
          <w:color w:val="auto"/>
        </w:rPr>
      </w:pPr>
      <w:r>
        <w:rPr>
          <w:rFonts w:ascii="Arial" w:cs="Arial" w:eastAsia="Arial" w:hAnsi="Arial"/>
          <w:sz w:val="18"/>
          <w:szCs w:val="18"/>
          <w:color w:val="auto"/>
        </w:rPr>
        <w:t>“OFAC Lists”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similar executive orders.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ind w:left="8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firstLine="877"/>
        <w:spacing w:after="0" w:line="277" w:lineRule="auto"/>
        <w:rPr>
          <w:sz w:val="20"/>
          <w:szCs w:val="20"/>
          <w:color w:val="auto"/>
        </w:rPr>
      </w:pPr>
      <w:r>
        <w:rPr>
          <w:rFonts w:ascii="Arial" w:cs="Arial" w:eastAsia="Arial" w:hAnsi="Arial"/>
          <w:sz w:val="18"/>
          <w:szCs w:val="18"/>
          <w:color w:val="auto"/>
        </w:rPr>
        <w:t>“Parent” means Arcturus Therapeutics, Ltd., an entity organized under the laws of Israel, and the owner of one hundred percent (100.00%) of the Shares of Borrower.</w:t>
      </w:r>
    </w:p>
    <w:p>
      <w:pPr>
        <w:spacing w:after="0" w:line="170" w:lineRule="exact"/>
        <w:rPr>
          <w:sz w:val="20"/>
          <w:szCs w:val="20"/>
          <w:color w:val="auto"/>
        </w:rPr>
      </w:pPr>
    </w:p>
    <w:p>
      <w:pPr>
        <w:ind w:firstLine="877"/>
        <w:spacing w:after="0" w:line="277" w:lineRule="auto"/>
        <w:rPr>
          <w:sz w:val="20"/>
          <w:szCs w:val="20"/>
          <w:color w:val="auto"/>
        </w:rPr>
      </w:pPr>
      <w:r>
        <w:rPr>
          <w:rFonts w:ascii="Arial" w:cs="Arial" w:eastAsia="Arial" w:hAnsi="Arial"/>
          <w:sz w:val="18"/>
          <w:szCs w:val="18"/>
          <w:color w:val="auto"/>
        </w:rPr>
        <w:t>“Patents” means all patents, patent applications and like protections including, without limitation, improvements, divisions, continuations, renewals, reissues, extensions and continuations-in-part of the same.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“Patriot Act” has the meaning assigned in Section 13.9.</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“Payment Date” is the first (1</w:t>
      </w:r>
      <w:r>
        <w:rPr>
          <w:rFonts w:ascii="Arial" w:cs="Arial" w:eastAsia="Arial" w:hAnsi="Arial"/>
          <w:sz w:val="15"/>
          <w:szCs w:val="15"/>
          <w:color w:val="auto"/>
        </w:rPr>
        <w:t>st</w:t>
      </w:r>
      <w:r>
        <w:rPr>
          <w:rFonts w:ascii="Arial" w:cs="Arial" w:eastAsia="Arial" w:hAnsi="Arial"/>
          <w:sz w:val="18"/>
          <w:szCs w:val="18"/>
          <w:color w:val="auto"/>
        </w:rPr>
        <w:t>) calendar day of each calendar month, commencing on November 1, 2018.</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“Perfection Certificate” has the meaning assigned in Section 3.1.</w:t>
      </w:r>
    </w:p>
    <w:p>
      <w:pPr>
        <w:spacing w:after="0" w:line="225" w:lineRule="exact"/>
        <w:rPr>
          <w:sz w:val="20"/>
          <w:szCs w:val="20"/>
          <w:color w:val="auto"/>
        </w:rPr>
      </w:pPr>
    </w:p>
    <w:p>
      <w:pPr>
        <w:ind w:right="20" w:firstLine="877"/>
        <w:spacing w:after="0" w:line="277" w:lineRule="auto"/>
        <w:rPr>
          <w:sz w:val="20"/>
          <w:szCs w:val="20"/>
          <w:color w:val="auto"/>
        </w:rPr>
      </w:pPr>
      <w:r>
        <w:rPr>
          <w:rFonts w:ascii="Arial" w:cs="Arial" w:eastAsia="Arial" w:hAnsi="Arial"/>
          <w:sz w:val="18"/>
          <w:szCs w:val="18"/>
          <w:color w:val="auto"/>
        </w:rPr>
        <w:t>“Periodic Payments” means all installments or similar recurring payments that Borrower may now or hereafter become obligated to pay to Bank pursuant to the terms and provisions of any Loan Document.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“Permitted Indebtedness” means:</w:t>
      </w:r>
    </w:p>
    <w:p>
      <w:pPr>
        <w:spacing w:after="0" w:line="225" w:lineRule="exact"/>
        <w:rPr>
          <w:sz w:val="20"/>
          <w:szCs w:val="20"/>
          <w:color w:val="auto"/>
        </w:rPr>
      </w:pPr>
    </w:p>
    <w:p>
      <w:pPr>
        <w:ind w:left="3500" w:hanging="858"/>
        <w:spacing w:after="0"/>
        <w:tabs>
          <w:tab w:leader="none" w:pos="3500" w:val="left"/>
        </w:tabs>
        <w:numPr>
          <w:ilvl w:val="1"/>
          <w:numId w:val="7"/>
        </w:numPr>
        <w:rPr>
          <w:rFonts w:ascii="Arial" w:cs="Arial" w:eastAsia="Arial" w:hAnsi="Arial"/>
          <w:sz w:val="17"/>
          <w:szCs w:val="17"/>
          <w:b w:val="1"/>
          <w:bCs w:val="1"/>
          <w:color w:val="auto"/>
        </w:rPr>
      </w:pPr>
      <w:r>
        <w:rPr>
          <w:rFonts w:ascii="Arial" w:cs="Arial" w:eastAsia="Arial" w:hAnsi="Arial"/>
          <w:sz w:val="17"/>
          <w:szCs w:val="17"/>
          <w:color w:val="auto"/>
        </w:rPr>
        <w:t>Indebtedness of Borrower in favor of Bank arising under this Agreement or any other Loan Document;</w:t>
      </w:r>
    </w:p>
    <w:p>
      <w:pPr>
        <w:spacing w:after="0" w:line="236" w:lineRule="exact"/>
        <w:rPr>
          <w:rFonts w:ascii="Arial" w:cs="Arial" w:eastAsia="Arial" w:hAnsi="Arial"/>
          <w:sz w:val="17"/>
          <w:szCs w:val="17"/>
          <w:b w:val="1"/>
          <w:bCs w:val="1"/>
          <w:color w:val="auto"/>
        </w:rPr>
      </w:pPr>
    </w:p>
    <w:p>
      <w:pPr>
        <w:ind w:left="3520" w:hanging="878"/>
        <w:spacing w:after="0"/>
        <w:tabs>
          <w:tab w:leader="none" w:pos="352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Indebtedness existing on the Closing Date and disclosed in the Perfection Certificate;</w:t>
      </w:r>
    </w:p>
    <w:p>
      <w:pPr>
        <w:spacing w:after="0" w:line="225" w:lineRule="exact"/>
        <w:rPr>
          <w:rFonts w:ascii="Arial" w:cs="Arial" w:eastAsia="Arial" w:hAnsi="Arial"/>
          <w:sz w:val="18"/>
          <w:szCs w:val="18"/>
          <w:b w:val="1"/>
          <w:bCs w:val="1"/>
          <w:color w:val="auto"/>
        </w:rPr>
      </w:pPr>
    </w:p>
    <w:p>
      <w:pPr>
        <w:ind w:left="3480" w:hanging="838"/>
        <w:spacing w:after="0"/>
        <w:tabs>
          <w:tab w:leader="none" w:pos="3480" w:val="left"/>
        </w:tabs>
        <w:numPr>
          <w:ilvl w:val="1"/>
          <w:numId w:val="7"/>
        </w:numPr>
        <w:rPr>
          <w:rFonts w:ascii="Arial" w:cs="Arial" w:eastAsia="Arial" w:hAnsi="Arial"/>
          <w:sz w:val="17"/>
          <w:szCs w:val="17"/>
          <w:b w:val="1"/>
          <w:bCs w:val="1"/>
          <w:color w:val="auto"/>
        </w:rPr>
      </w:pPr>
      <w:r>
        <w:rPr>
          <w:rFonts w:ascii="Arial" w:cs="Arial" w:eastAsia="Arial" w:hAnsi="Arial"/>
          <w:sz w:val="17"/>
          <w:szCs w:val="17"/>
          <w:color w:val="auto"/>
        </w:rPr>
        <w:t>Indebtedness secured by a lien described in clause (c) of the defined term “Permitted Liens,” provided</w:t>
      </w:r>
    </w:p>
    <w:p>
      <w:pPr>
        <w:spacing w:after="0" w:line="34" w:lineRule="exact"/>
        <w:rPr>
          <w:rFonts w:ascii="Arial" w:cs="Arial" w:eastAsia="Arial" w:hAnsi="Arial"/>
          <w:sz w:val="17"/>
          <w:szCs w:val="17"/>
          <w:b w:val="1"/>
          <w:bCs w:val="1"/>
          <w:color w:val="auto"/>
        </w:rPr>
      </w:pPr>
    </w:p>
    <w:p>
      <w:pPr>
        <w:ind w:firstLine="8"/>
        <w:spacing w:after="0" w:line="261" w:lineRule="auto"/>
        <w:tabs>
          <w:tab w:leader="none" w:pos="216"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such Indebtedness does not exceed the lesser of the cost or fair market value of the fixed assets financed with such Indebtedness and (ii) such Indebtedness does not exceed Two Hundred Fifty Thousand Dollars ($250,000.00) in the aggregate at any given time;</w:t>
      </w:r>
    </w:p>
    <w:p>
      <w:pPr>
        <w:spacing w:after="0" w:line="183" w:lineRule="exact"/>
        <w:rPr>
          <w:rFonts w:ascii="Arial" w:cs="Arial" w:eastAsia="Arial" w:hAnsi="Arial"/>
          <w:sz w:val="18"/>
          <w:szCs w:val="18"/>
          <w:color w:val="auto"/>
        </w:rPr>
      </w:pPr>
    </w:p>
    <w:p>
      <w:pPr>
        <w:jc w:val="both"/>
        <w:ind w:firstLine="2642"/>
        <w:spacing w:after="0" w:line="279" w:lineRule="auto"/>
        <w:tabs>
          <w:tab w:leader="none" w:pos="3502" w:val="left"/>
        </w:tabs>
        <w:numPr>
          <w:ilvl w:val="1"/>
          <w:numId w:val="8"/>
        </w:numPr>
        <w:rPr>
          <w:rFonts w:ascii="Arial" w:cs="Arial" w:eastAsia="Arial" w:hAnsi="Arial"/>
          <w:sz w:val="17"/>
          <w:szCs w:val="17"/>
          <w:b w:val="1"/>
          <w:bCs w:val="1"/>
          <w:color w:val="auto"/>
        </w:rPr>
      </w:pPr>
      <w:r>
        <w:rPr>
          <w:rFonts w:ascii="Arial" w:cs="Arial" w:eastAsia="Arial" w:hAnsi="Arial"/>
          <w:sz w:val="17"/>
          <w:szCs w:val="17"/>
          <w:color w:val="auto"/>
        </w:rPr>
        <w:t>Indebtedness consisting of (i) unsecured guarantees incurred in the ordinary course of business with respect to surety and appeal bonds, performance bonds, bid bonds, appeal bonds, completion guarantees and similar obligations incurred in the ordinary course of business, and (ii) unsecured guarantees arising with respect to customary indemnification obligations to purchasers in connection with dispositions permitted under Section 7.1; not to exceed, for (i) and (ii), Fifty Thousand Dollars ($50,000.00) in the aggregate at any given time;</w:t>
      </w:r>
    </w:p>
    <w:p>
      <w:pPr>
        <w:spacing w:after="0" w:line="171" w:lineRule="exact"/>
        <w:rPr>
          <w:rFonts w:ascii="Arial" w:cs="Arial" w:eastAsia="Arial" w:hAnsi="Arial"/>
          <w:sz w:val="17"/>
          <w:szCs w:val="17"/>
          <w:b w:val="1"/>
          <w:bCs w:val="1"/>
          <w:color w:val="auto"/>
        </w:rPr>
      </w:pPr>
    </w:p>
    <w:p>
      <w:pPr>
        <w:jc w:val="both"/>
        <w:ind w:firstLine="2642"/>
        <w:spacing w:after="0" w:line="259" w:lineRule="auto"/>
        <w:tabs>
          <w:tab w:leader="none" w:pos="3482"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Indebtedness owed to any Person providing property, casualty, liability, or other insurance to Borrower or any of its Subsidiaries, so long as the amount of such Indebtedness is not in excess of the amount of the unpaid cost of, and shall be incurred only to defer the cost of, such insurance for the year in which such Indebtedness is incurred and such Indebtedness is outstanding only during such year, not to exceed Seven Hundred Fifty Thousand Dollars ($750,000.00) in the aggregate;</w:t>
      </w:r>
    </w:p>
    <w:p>
      <w:pPr>
        <w:spacing w:after="0" w:line="186" w:lineRule="exact"/>
        <w:rPr>
          <w:rFonts w:ascii="Arial" w:cs="Arial" w:eastAsia="Arial" w:hAnsi="Arial"/>
          <w:sz w:val="18"/>
          <w:szCs w:val="18"/>
          <w:b w:val="1"/>
          <w:bCs w:val="1"/>
          <w:color w:val="auto"/>
        </w:rPr>
      </w:pPr>
    </w:p>
    <w:p>
      <w:pPr>
        <w:jc w:val="both"/>
        <w:ind w:firstLine="2642"/>
        <w:spacing w:after="0" w:line="286" w:lineRule="auto"/>
        <w:tabs>
          <w:tab w:leader="none" w:pos="3462" w:val="left"/>
        </w:tabs>
        <w:numPr>
          <w:ilvl w:val="1"/>
          <w:numId w:val="8"/>
        </w:numPr>
        <w:rPr>
          <w:rFonts w:ascii="Arial" w:cs="Arial" w:eastAsia="Arial" w:hAnsi="Arial"/>
          <w:sz w:val="17"/>
          <w:szCs w:val="17"/>
          <w:b w:val="1"/>
          <w:bCs w:val="1"/>
          <w:color w:val="auto"/>
        </w:rPr>
      </w:pPr>
      <w:r>
        <w:rPr>
          <w:rFonts w:ascii="Arial" w:cs="Arial" w:eastAsia="Arial" w:hAnsi="Arial"/>
          <w:sz w:val="17"/>
          <w:szCs w:val="17"/>
          <w:color w:val="auto"/>
        </w:rPr>
        <w:t>Indebtedness incurred in the ordinary course of business in respect of credit cards, credit card processing services, debit cards, stored value cards, commercial cards (including so called “purchase cards,” “procurement cards,” or “P-cards”) issued by any issuer other than Bank, in an aggregate amount not to exceed One Hundred Fifty Thousand Dollars ($150,000.00) at any given time;</w:t>
      </w:r>
    </w:p>
    <w:p>
      <w:pPr>
        <w:spacing w:after="0" w:line="165" w:lineRule="exact"/>
        <w:rPr>
          <w:rFonts w:ascii="Arial" w:cs="Arial" w:eastAsia="Arial" w:hAnsi="Arial"/>
          <w:sz w:val="17"/>
          <w:szCs w:val="17"/>
          <w:b w:val="1"/>
          <w:bCs w:val="1"/>
          <w:color w:val="auto"/>
        </w:rPr>
      </w:pPr>
    </w:p>
    <w:p>
      <w:pPr>
        <w:ind w:left="3500" w:hanging="858"/>
        <w:spacing w:after="0"/>
        <w:tabs>
          <w:tab w:leader="none" w:pos="3500" w:val="left"/>
        </w:tabs>
        <w:numPr>
          <w:ilvl w:val="1"/>
          <w:numId w:val="8"/>
        </w:numPr>
        <w:rPr>
          <w:rFonts w:ascii="Arial" w:cs="Arial" w:eastAsia="Arial" w:hAnsi="Arial"/>
          <w:sz w:val="17"/>
          <w:szCs w:val="17"/>
          <w:b w:val="1"/>
          <w:bCs w:val="1"/>
          <w:color w:val="auto"/>
        </w:rPr>
      </w:pPr>
      <w:r>
        <w:rPr>
          <w:rFonts w:ascii="Arial" w:cs="Arial" w:eastAsia="Arial" w:hAnsi="Arial"/>
          <w:sz w:val="17"/>
          <w:szCs w:val="17"/>
          <w:color w:val="auto"/>
        </w:rPr>
        <w:t>Indebtedness relating to one or more letters of credit obtained by Borrower or any of its Subsidiaries in an</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aggregate face amount for all such letters of credit not to exceed One Hundred Fifty Thousand Dollars ($150,000.00); and</w:t>
      </w:r>
    </w:p>
    <w:p>
      <w:pPr>
        <w:spacing w:after="0" w:line="210" w:lineRule="exact"/>
        <w:rPr>
          <w:rFonts w:ascii="Arial" w:cs="Arial" w:eastAsia="Arial" w:hAnsi="Arial"/>
          <w:sz w:val="17"/>
          <w:szCs w:val="17"/>
          <w:b w:val="1"/>
          <w:bCs w:val="1"/>
          <w:color w:val="auto"/>
        </w:rPr>
      </w:pPr>
    </w:p>
    <w:p>
      <w:pPr>
        <w:ind w:left="3520" w:hanging="878"/>
        <w:spacing w:after="0"/>
        <w:tabs>
          <w:tab w:leader="none" w:pos="3520"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Subordinated Debt.</w:t>
      </w:r>
    </w:p>
    <w:p>
      <w:pPr>
        <w:spacing w:after="0" w:line="387" w:lineRule="exact"/>
        <w:rPr>
          <w:sz w:val="20"/>
          <w:szCs w:val="20"/>
          <w:color w:val="auto"/>
        </w:rPr>
      </w:pPr>
    </w:p>
    <w:p>
      <w:pPr>
        <w:ind w:left="280" w:hanging="269"/>
        <w:spacing w:after="0"/>
        <w:tabs>
          <w:tab w:leader="none" w:pos="280" w:val="left"/>
        </w:tabs>
        <w:numPr>
          <w:ilvl w:val="0"/>
          <w:numId w:val="9"/>
        </w:numPr>
        <w:rPr>
          <w:rFonts w:ascii="Arial" w:cs="Arial" w:eastAsia="Arial" w:hAnsi="Arial"/>
          <w:sz w:val="15"/>
          <w:szCs w:val="15"/>
          <w:color w:val="auto"/>
        </w:rPr>
      </w:pPr>
      <w:r>
        <w:rPr>
          <w:rFonts w:ascii="Arial" w:cs="Arial" w:eastAsia="Arial" w:hAnsi="Arial"/>
          <w:sz w:val="18"/>
          <w:szCs w:val="18"/>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490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ind w:left="880"/>
        <w:spacing w:after="0"/>
        <w:rPr>
          <w:sz w:val="20"/>
          <w:szCs w:val="20"/>
          <w:color w:val="auto"/>
        </w:rPr>
      </w:pPr>
      <w:r>
        <w:rPr>
          <w:rFonts w:ascii="Arial" w:cs="Arial" w:eastAsia="Arial" w:hAnsi="Arial"/>
          <w:sz w:val="18"/>
          <w:szCs w:val="18"/>
          <w:color w:val="auto"/>
        </w:rPr>
        <w:t>“Permitted Investment” means:</w:t>
      </w:r>
    </w:p>
    <w:p>
      <w:pPr>
        <w:spacing w:after="0" w:line="225" w:lineRule="exact"/>
        <w:rPr>
          <w:sz w:val="20"/>
          <w:szCs w:val="20"/>
          <w:color w:val="auto"/>
        </w:rPr>
      </w:pPr>
    </w:p>
    <w:p>
      <w:pPr>
        <w:ind w:left="3500" w:hanging="858"/>
        <w:spacing w:after="0"/>
        <w:tabs>
          <w:tab w:leader="none" w:pos="35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Investments existing on the Closing Date disclosed in the Perfection Certificate;</w:t>
      </w:r>
    </w:p>
    <w:p>
      <w:pPr>
        <w:spacing w:after="0" w:line="225" w:lineRule="exact"/>
        <w:rPr>
          <w:rFonts w:ascii="Arial" w:cs="Arial" w:eastAsia="Arial" w:hAnsi="Arial"/>
          <w:sz w:val="18"/>
          <w:szCs w:val="18"/>
          <w:b w:val="1"/>
          <w:bCs w:val="1"/>
          <w:color w:val="auto"/>
        </w:rPr>
      </w:pPr>
    </w:p>
    <w:p>
      <w:pPr>
        <w:ind w:left="3520" w:hanging="878"/>
        <w:spacing w:after="0"/>
        <w:tabs>
          <w:tab w:leader="none" w:pos="352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Investments in negotiable instruments deposited or to be deposited for collection in the ordinary course of</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business and consistent with past practice;</w:t>
      </w:r>
    </w:p>
    <w:p>
      <w:pPr>
        <w:spacing w:after="0" w:line="210" w:lineRule="exact"/>
        <w:rPr>
          <w:rFonts w:ascii="Arial" w:cs="Arial" w:eastAsia="Arial" w:hAnsi="Arial"/>
          <w:sz w:val="16"/>
          <w:szCs w:val="16"/>
          <w:b w:val="1"/>
          <w:bCs w:val="1"/>
          <w:color w:val="auto"/>
        </w:rPr>
      </w:pPr>
    </w:p>
    <w:p>
      <w:pPr>
        <w:ind w:left="3480" w:hanging="838"/>
        <w:spacing w:after="0"/>
        <w:tabs>
          <w:tab w:leader="none" w:pos="34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b w:val="1"/>
          <w:bCs w:val="1"/>
          <w:color w:val="auto"/>
        </w:rPr>
      </w:pPr>
    </w:p>
    <w:p>
      <w:pPr>
        <w:jc w:val="both"/>
        <w:ind w:firstLine="2642"/>
        <w:spacing w:after="0" w:line="264" w:lineRule="auto"/>
        <w:tabs>
          <w:tab w:leader="none" w:pos="3502"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securities acquired in connection with the satisfaction or enforcement of Indebtedness or claims due or owing to Borrower or any of its Subsidiaries (in bankruptcy of customers or suppliers or otherwise outside the ordinary course of business) or as security for any such Indebtedness or claims;</w:t>
      </w:r>
    </w:p>
    <w:p>
      <w:pPr>
        <w:spacing w:after="0" w:line="181" w:lineRule="exact"/>
        <w:rPr>
          <w:rFonts w:ascii="Arial" w:cs="Arial" w:eastAsia="Arial" w:hAnsi="Arial"/>
          <w:sz w:val="18"/>
          <w:szCs w:val="18"/>
          <w:b w:val="1"/>
          <w:bCs w:val="1"/>
          <w:color w:val="auto"/>
        </w:rPr>
      </w:pPr>
    </w:p>
    <w:p>
      <w:pPr>
        <w:jc w:val="both"/>
        <w:ind w:firstLine="2642"/>
        <w:spacing w:after="0" w:line="264" w:lineRule="auto"/>
        <w:tabs>
          <w:tab w:leader="none" w:pos="3482"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deposits of cash made in the ordinary course of business to secure performance of operating leases under which Borrower or any of its Subsidiaries is lessee thereunder; not to exceed Two Hundred Fifty Thousand Dollars ($250,000.00) in the aggregate at any time;</w:t>
      </w:r>
    </w:p>
    <w:p>
      <w:pPr>
        <w:spacing w:after="0" w:line="181" w:lineRule="exact"/>
        <w:rPr>
          <w:rFonts w:ascii="Arial" w:cs="Arial" w:eastAsia="Arial" w:hAnsi="Arial"/>
          <w:sz w:val="18"/>
          <w:szCs w:val="18"/>
          <w:b w:val="1"/>
          <w:bCs w:val="1"/>
          <w:color w:val="auto"/>
        </w:rPr>
      </w:pPr>
    </w:p>
    <w:p>
      <w:pPr>
        <w:ind w:right="20" w:firstLine="2642"/>
        <w:spacing w:after="0" w:line="277" w:lineRule="auto"/>
        <w:tabs>
          <w:tab w:leader="none" w:pos="3462"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Investments acquired in connection with the settlement of delinquent Accounts in the ordinary course of business or in connection with the bankruptcy or reorganization of suppliers or customers;</w:t>
      </w:r>
    </w:p>
    <w:p>
      <w:pPr>
        <w:spacing w:after="0" w:line="170" w:lineRule="exact"/>
        <w:rPr>
          <w:rFonts w:ascii="Arial" w:cs="Arial" w:eastAsia="Arial" w:hAnsi="Arial"/>
          <w:sz w:val="18"/>
          <w:szCs w:val="18"/>
          <w:b w:val="1"/>
          <w:bCs w:val="1"/>
          <w:color w:val="auto"/>
        </w:rPr>
      </w:pPr>
    </w:p>
    <w:p>
      <w:pPr>
        <w:ind w:left="3500" w:hanging="858"/>
        <w:spacing w:after="0"/>
        <w:tabs>
          <w:tab w:leader="none" w:pos="350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Investments received as the non-cash portion of consideration received in connection with transactions</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permitted pursuant to Section 7.1;</w:t>
      </w:r>
    </w:p>
    <w:p>
      <w:pPr>
        <w:spacing w:after="0" w:line="210" w:lineRule="exact"/>
        <w:rPr>
          <w:rFonts w:ascii="Arial" w:cs="Arial" w:eastAsia="Arial" w:hAnsi="Arial"/>
          <w:sz w:val="17"/>
          <w:szCs w:val="17"/>
          <w:b w:val="1"/>
          <w:bCs w:val="1"/>
          <w:color w:val="auto"/>
        </w:rPr>
      </w:pPr>
    </w:p>
    <w:p>
      <w:pPr>
        <w:jc w:val="both"/>
        <w:ind w:firstLine="2642"/>
        <w:spacing w:after="0" w:line="264" w:lineRule="auto"/>
        <w:tabs>
          <w:tab w:leader="none" w:pos="3502"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loans or advances to employees, officers or directors of Borrower or any of its Subsidiaries in the ordinary course of business for travel, relocation and related expenses; provided that the aggregate amount of all such loans and advances does not exceed One Hundred Fifty Thousand Dollars ($150,000.00) at any time outstanding;</w:t>
      </w:r>
    </w:p>
    <w:p>
      <w:pPr>
        <w:spacing w:after="0" w:line="181" w:lineRule="exact"/>
        <w:rPr>
          <w:rFonts w:ascii="Arial" w:cs="Arial" w:eastAsia="Arial" w:hAnsi="Arial"/>
          <w:sz w:val="18"/>
          <w:szCs w:val="18"/>
          <w:b w:val="1"/>
          <w:bCs w:val="1"/>
          <w:color w:val="auto"/>
        </w:rPr>
      </w:pPr>
    </w:p>
    <w:p>
      <w:pPr>
        <w:ind w:left="3460" w:hanging="818"/>
        <w:spacing w:after="0"/>
        <w:tabs>
          <w:tab w:leader="none" w:pos="3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Investments constituting deposits described in the definition of Permitted Liens;</w:t>
      </w:r>
    </w:p>
    <w:p>
      <w:pPr>
        <w:spacing w:after="0" w:line="225" w:lineRule="exact"/>
        <w:rPr>
          <w:rFonts w:ascii="Arial" w:cs="Arial" w:eastAsia="Arial" w:hAnsi="Arial"/>
          <w:sz w:val="18"/>
          <w:szCs w:val="18"/>
          <w:b w:val="1"/>
          <w:bCs w:val="1"/>
          <w:color w:val="auto"/>
        </w:rPr>
      </w:pPr>
    </w:p>
    <w:p>
      <w:pPr>
        <w:ind w:left="3460" w:hanging="818"/>
        <w:spacing w:after="0"/>
        <w:tabs>
          <w:tab w:leader="none" w:pos="346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Investments in, or consisting of, Subsidiaries created or acquired by Borrower, so long as Borrower and such</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Subsidiary complies with Section 6.11; and</w:t>
      </w:r>
    </w:p>
    <w:p>
      <w:pPr>
        <w:spacing w:after="0" w:line="210" w:lineRule="exact"/>
        <w:rPr>
          <w:rFonts w:ascii="Arial" w:cs="Arial" w:eastAsia="Arial" w:hAnsi="Arial"/>
          <w:sz w:val="16"/>
          <w:szCs w:val="16"/>
          <w:b w:val="1"/>
          <w:bCs w:val="1"/>
          <w:color w:val="auto"/>
        </w:rPr>
      </w:pPr>
    </w:p>
    <w:p>
      <w:pPr>
        <w:jc w:val="both"/>
        <w:ind w:firstLine="2642"/>
        <w:spacing w:after="0" w:line="255" w:lineRule="auto"/>
        <w:tabs>
          <w:tab w:leader="none" w:pos="3502"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 marketable direct obligations issued or unconditionally guaranteed by the United States of America or any agency or any State thereof maturing within one (1) year from the date of acquisition thereof, (ii) commercial paper maturing no more than one (1) year from the date of creation thereof and currently having rating of at least A-2 or P-2 from either Standard &amp; Poor’s Corporation or Moody’s Investors Service, (iii) certificates of deposit maturing no more than one (1) year from the date of investment therein issued by Bank, (iv) Bank’s money market accounts, (v) corporate bonds maturing no more than one (1) year from the date of purchase with a credit rating of at least A2 or A and (vi) money market funds that are rated AAA.</w:t>
      </w:r>
    </w:p>
    <w:p>
      <w:pPr>
        <w:spacing w:after="0" w:line="193"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6"/>
          <w:szCs w:val="16"/>
          <w:color w:val="auto"/>
        </w:rPr>
        <w:t>“Permitted Licenses” are (a) licenses of over-the-counter software that is commercially available to the public and (b) exclusive and non-exclusive licenses for the use of the Intellectual Property of Borrower or any of its Subsidiaries entered into in the ordinary course of business, provided, that, with respect to each such license described in clause (b) (i) the license constitutes an arms-length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(ii) Borrower delivers to Bank copies of the final executed licensing documents in connection with each such license promptly, and in any event within thirty (30) days of the consummation thereof, and (iii) all upfront payments, royalties, milestone payments or other proceeds arising from the licensing agreement that are payable to Borrower or any of its Subsidiaries are paid to a deposit account maintained at the Bank; provided, however, that with respect to each exclusive license, (i) no Event of Default has occurred or is continuing at the time of such license; (ii) any such license could not result in a legal transfer of title of the licensed property but must be on terms and conditions substantially consistent with, or more favorable to Borrower than, the terms and conditions of Borrower’s exclusive licenses in effect, or to which Borrower has agreed and disclosed in writing to Bank, on or as of the Closing Date; and (iii) LUNAR® shall not be subject to any exclusive license.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ind w:left="880"/>
        <w:spacing w:after="0"/>
        <w:rPr>
          <w:sz w:val="20"/>
          <w:szCs w:val="20"/>
          <w:color w:val="auto"/>
        </w:rPr>
      </w:pPr>
      <w:r>
        <w:rPr>
          <w:rFonts w:ascii="Arial" w:cs="Arial" w:eastAsia="Arial" w:hAnsi="Arial"/>
          <w:sz w:val="18"/>
          <w:szCs w:val="18"/>
          <w:color w:val="auto"/>
        </w:rPr>
        <w:t>“Permitted Liens” means the following:</w:t>
      </w:r>
    </w:p>
    <w:p>
      <w:pPr>
        <w:spacing w:after="0" w:line="225" w:lineRule="exact"/>
        <w:rPr>
          <w:sz w:val="20"/>
          <w:szCs w:val="20"/>
          <w:color w:val="auto"/>
        </w:rPr>
      </w:pPr>
    </w:p>
    <w:p>
      <w:pPr>
        <w:ind w:left="3500" w:hanging="858"/>
        <w:spacing w:after="0"/>
        <w:tabs>
          <w:tab w:leader="none" w:pos="350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Any Liens existing on the Closing Date and disclosed in the Perfection Certificate or arising under this</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Agreement or the other Loan Documents;</w:t>
      </w:r>
    </w:p>
    <w:p>
      <w:pPr>
        <w:spacing w:after="0" w:line="210" w:lineRule="exact"/>
        <w:rPr>
          <w:rFonts w:ascii="Arial" w:cs="Arial" w:eastAsia="Arial" w:hAnsi="Arial"/>
          <w:sz w:val="17"/>
          <w:szCs w:val="17"/>
          <w:b w:val="1"/>
          <w:bCs w:val="1"/>
          <w:color w:val="auto"/>
        </w:rPr>
      </w:pPr>
    </w:p>
    <w:p>
      <w:pPr>
        <w:jc w:val="both"/>
        <w:ind w:firstLine="2642"/>
        <w:spacing w:after="0" w:line="264" w:lineRule="auto"/>
        <w:tabs>
          <w:tab w:leader="none" w:pos="3502"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Liens for taxes, fees, assessments or other governmental charges or levies, either not delinquent or being contested in good faith by appropriate proceedings; provided the same do not secure payments in excess of Fifty Thousand Dollars ($50,000.00) in the aggregate;</w:t>
      </w:r>
    </w:p>
    <w:p>
      <w:pPr>
        <w:spacing w:after="0" w:line="181" w:lineRule="exact"/>
        <w:rPr>
          <w:rFonts w:ascii="Arial" w:cs="Arial" w:eastAsia="Arial" w:hAnsi="Arial"/>
          <w:sz w:val="18"/>
          <w:szCs w:val="18"/>
          <w:b w:val="1"/>
          <w:bCs w:val="1"/>
          <w:color w:val="auto"/>
        </w:rPr>
      </w:pPr>
    </w:p>
    <w:p>
      <w:pPr>
        <w:jc w:val="both"/>
        <w:ind w:firstLine="2642"/>
        <w:spacing w:after="0" w:line="255" w:lineRule="auto"/>
        <w:tabs>
          <w:tab w:leader="none" w:pos="3482"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Liens (i) upon or in any fixed asset which was not financed by Bank acquired or held by Borrower or any of its Subsidiaries to secure the purchase price of such fixed asset or indebtedness incurred solely for the purpose of financing the acquisition of such fixed asset, or (ii) existing on such fixed asset at the time of its acquisition, provided that the Lien is confined solely to the property so acquired and improvements thereon, and other directly-related assets such as proceeds (including insurance proceeds), products, replacements, substitutions and accessions thereto; provided, however, that individual financing of assets provided by one lender or lessor, as the case may be, may be cross-collateralized to other individual financings of assets provided by such lender or lessor, respectively;</w:t>
      </w:r>
    </w:p>
    <w:p>
      <w:pPr>
        <w:spacing w:after="0" w:line="193" w:lineRule="exact"/>
        <w:rPr>
          <w:rFonts w:ascii="Arial" w:cs="Arial" w:eastAsia="Arial" w:hAnsi="Arial"/>
          <w:sz w:val="18"/>
          <w:szCs w:val="18"/>
          <w:b w:val="1"/>
          <w:bCs w:val="1"/>
          <w:color w:val="auto"/>
        </w:rPr>
      </w:pPr>
    </w:p>
    <w:p>
      <w:pPr>
        <w:jc w:val="both"/>
        <w:ind w:firstLine="2642"/>
        <w:spacing w:after="0" w:line="286" w:lineRule="auto"/>
        <w:tabs>
          <w:tab w:leader="none" w:pos="3502"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Liens incurred in connection with the extension, renewal or refinancing of the indebtedness secured by Liens of the type described in clauses (a) through (c) above, provided that any extension, renewal or replacement Lien shall be limited to the property encumbered by the existing Lien and the principal amount of the indebtedness being extended, renewed or refinanced does not increase;</w:t>
      </w:r>
    </w:p>
    <w:p>
      <w:pPr>
        <w:spacing w:after="0" w:line="165" w:lineRule="exact"/>
        <w:rPr>
          <w:rFonts w:ascii="Arial" w:cs="Arial" w:eastAsia="Arial" w:hAnsi="Arial"/>
          <w:sz w:val="17"/>
          <w:szCs w:val="17"/>
          <w:b w:val="1"/>
          <w:bCs w:val="1"/>
          <w:color w:val="auto"/>
        </w:rPr>
      </w:pPr>
    </w:p>
    <w:p>
      <w:pPr>
        <w:ind w:left="3480" w:hanging="838"/>
        <w:spacing w:after="0"/>
        <w:tabs>
          <w:tab w:leader="none" w:pos="348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Liens arising solely as a result of the existence of judgments, orders, or awards that do not constitute an Event</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of Default under Section 8.7 of this Agreement;</w:t>
      </w:r>
    </w:p>
    <w:p>
      <w:pPr>
        <w:spacing w:after="0" w:line="210" w:lineRule="exact"/>
        <w:rPr>
          <w:rFonts w:ascii="Arial" w:cs="Arial" w:eastAsia="Arial" w:hAnsi="Arial"/>
          <w:sz w:val="16"/>
          <w:szCs w:val="16"/>
          <w:b w:val="1"/>
          <w:bCs w:val="1"/>
          <w:color w:val="auto"/>
        </w:rPr>
      </w:pPr>
    </w:p>
    <w:p>
      <w:pPr>
        <w:jc w:val="both"/>
        <w:ind w:firstLine="2642"/>
        <w:spacing w:after="0" w:line="264" w:lineRule="auto"/>
        <w:tabs>
          <w:tab w:leader="none" w:pos="3462"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interests of lessors under operating leases and UCC financing statements filed as a precautionary measure in connection with operating leases, consignment of goods or otherwise solely for precautionary purposes relating to arrangements not constituting Indebtedness;</w:t>
      </w:r>
    </w:p>
    <w:p>
      <w:pPr>
        <w:spacing w:after="0" w:line="181" w:lineRule="exact"/>
        <w:rPr>
          <w:rFonts w:ascii="Arial" w:cs="Arial" w:eastAsia="Arial" w:hAnsi="Arial"/>
          <w:sz w:val="18"/>
          <w:szCs w:val="18"/>
          <w:b w:val="1"/>
          <w:bCs w:val="1"/>
          <w:color w:val="auto"/>
        </w:rPr>
      </w:pPr>
    </w:p>
    <w:p>
      <w:pPr>
        <w:jc w:val="both"/>
        <w:ind w:firstLine="2642"/>
        <w:spacing w:after="0" w:line="259" w:lineRule="auto"/>
        <w:tabs>
          <w:tab w:leader="none" w:pos="3492"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Liens arising by operation of law in favor of warehousemen, landlords, carriers, mechanics, materialmen, laborers, repairmen, workmen or suppliers, or other statutory Liens, incurred in the ordinary course of business and not in connection with the borrowing of money, and which Liens either are for sums not more than thirty (30) days’ delinquent or are being contested in good faith by appropriate proceedings and for which adequate reserves are maintained;</w:t>
      </w:r>
    </w:p>
    <w:p>
      <w:pPr>
        <w:spacing w:after="0" w:line="186" w:lineRule="exact"/>
        <w:rPr>
          <w:rFonts w:ascii="Arial" w:cs="Arial" w:eastAsia="Arial" w:hAnsi="Arial"/>
          <w:sz w:val="18"/>
          <w:szCs w:val="18"/>
          <w:b w:val="1"/>
          <w:bCs w:val="1"/>
          <w:color w:val="auto"/>
        </w:rPr>
      </w:pPr>
    </w:p>
    <w:p>
      <w:pPr>
        <w:ind w:firstLine="2642"/>
        <w:spacing w:after="0" w:line="277" w:lineRule="auto"/>
        <w:tabs>
          <w:tab w:leader="none" w:pos="3502"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Liens on amounts pledged or deposited in the ordinary course of business in connection with obtaining worker’s compensation or other unemployment insurance or other social security laws or regulations;</w:t>
      </w:r>
    </w:p>
    <w:p>
      <w:pPr>
        <w:spacing w:after="0" w:line="170" w:lineRule="exact"/>
        <w:rPr>
          <w:rFonts w:ascii="Arial" w:cs="Arial" w:eastAsia="Arial" w:hAnsi="Arial"/>
          <w:sz w:val="18"/>
          <w:szCs w:val="18"/>
          <w:b w:val="1"/>
          <w:bCs w:val="1"/>
          <w:color w:val="auto"/>
        </w:rPr>
      </w:pPr>
    </w:p>
    <w:p>
      <w:pPr>
        <w:jc w:val="both"/>
        <w:ind w:firstLine="2642"/>
        <w:spacing w:after="0" w:line="259" w:lineRule="auto"/>
        <w:tabs>
          <w:tab w:leader="none" w:pos="3452"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customary rights of set-off, revocation, refund or chargeback under deposit agreements or under the Uniform Commercial Code or common law of banks or other financial institutions where Borrower or any of its Subsidiaries maintains deposits (other than deposits intended as cash collateral) in the ordinary course of business; provided that, unless such deposits are maintained in a deposit account that is Excluded Collateral, Bank has a prior, perfected security interest in all such deposits;</w:t>
      </w:r>
    </w:p>
    <w:p>
      <w:pPr>
        <w:spacing w:after="0" w:line="186" w:lineRule="exact"/>
        <w:rPr>
          <w:rFonts w:ascii="Arial" w:cs="Arial" w:eastAsia="Arial" w:hAnsi="Arial"/>
          <w:sz w:val="18"/>
          <w:szCs w:val="18"/>
          <w:b w:val="1"/>
          <w:bCs w:val="1"/>
          <w:color w:val="auto"/>
        </w:rPr>
      </w:pPr>
    </w:p>
    <w:p>
      <w:pPr>
        <w:ind w:firstLine="2642"/>
        <w:spacing w:after="0" w:line="277" w:lineRule="auto"/>
        <w:tabs>
          <w:tab w:leader="none" w:pos="3462"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Liens on insurance policies and the proceeds thereof securing the financing of the premiums with respect thereto, not to exceed Seven Hundred Fifty Thousand Dollars ($750,000.00) in the aggregate at any time; and</w:t>
      </w:r>
    </w:p>
    <w:p>
      <w:pPr>
        <w:spacing w:after="0" w:line="170" w:lineRule="exact"/>
        <w:rPr>
          <w:rFonts w:ascii="Arial" w:cs="Arial" w:eastAsia="Arial" w:hAnsi="Arial"/>
          <w:sz w:val="18"/>
          <w:szCs w:val="18"/>
          <w:b w:val="1"/>
          <w:bCs w:val="1"/>
          <w:color w:val="auto"/>
        </w:rPr>
      </w:pPr>
    </w:p>
    <w:p>
      <w:pPr>
        <w:ind w:left="3520" w:hanging="878"/>
        <w:spacing w:after="0"/>
        <w:tabs>
          <w:tab w:leader="none" w:pos="35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Liens consisting of Permitted Licenses.</w:t>
      </w:r>
    </w:p>
    <w:p>
      <w:pPr>
        <w:spacing w:after="0" w:line="225"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“Person” means any individual, sole proprietorship, partnership, limited liability company, joint venture, trust, unincorporated organization, association, corporation, institution, public benefit corporation, firm, joint stock company, estate, entity or governmental agency.</w:t>
      </w:r>
    </w:p>
    <w:p>
      <w:pPr>
        <w:spacing w:after="0" w:line="170" w:lineRule="exact"/>
        <w:rPr>
          <w:sz w:val="20"/>
          <w:szCs w:val="20"/>
          <w:color w:val="auto"/>
        </w:rPr>
      </w:pPr>
    </w:p>
    <w:p>
      <w:pPr>
        <w:jc w:val="both"/>
        <w:ind w:firstLine="877"/>
        <w:spacing w:after="0" w:line="312" w:lineRule="auto"/>
        <w:rPr>
          <w:sz w:val="20"/>
          <w:szCs w:val="20"/>
          <w:color w:val="auto"/>
        </w:rPr>
      </w:pPr>
      <w:r>
        <w:rPr>
          <w:rFonts w:ascii="Arial" w:cs="Arial" w:eastAsia="Arial" w:hAnsi="Arial"/>
          <w:sz w:val="16"/>
          <w:szCs w:val="16"/>
          <w:color w:val="auto"/>
        </w:rPr>
        <w:t>“Prepayment Fee” is, with respect to the Term Loan subject to prepayment (other than pursuant to a refinancing by Bank or a syndicate of lenders of which Bank is a part or the agent thereof) prior to the Term Loan Maturity Date, whether by mandatory or voluntary prepayment, acceleration or otherwise, an additional fee in an amount equal to (i) for a prepayment made on or after the Closing Date through and including the first anniversary of</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jc w:val="both"/>
        <w:ind w:right="20"/>
        <w:spacing w:after="0" w:line="259" w:lineRule="auto"/>
        <w:rPr>
          <w:sz w:val="20"/>
          <w:szCs w:val="20"/>
          <w:color w:val="auto"/>
        </w:rPr>
      </w:pPr>
      <w:r>
        <w:rPr>
          <w:rFonts w:ascii="Arial" w:cs="Arial" w:eastAsia="Arial" w:hAnsi="Arial"/>
          <w:sz w:val="18"/>
          <w:szCs w:val="18"/>
          <w:color w:val="auto"/>
        </w:rPr>
        <w:t>the Closing Date, two percent (2.00%) of the principal amount of the Term Loan prepaid; (ii) for a prepayment made after the first anniversary of the Closing Date through and including the second anniversary of the Closing Date, one percent (1.00%) of the principal amount of the Term Loan prepaid; and (iii) for a prepayment made after the second anniversary of the Closing Date and prior to the Term Loan Maturity Date, one-half of one percent (0.50%) of the principal amount of the Term Loan prepaid.</w:t>
      </w:r>
    </w:p>
    <w:p>
      <w:pPr>
        <w:spacing w:after="0" w:line="187"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“Prime Rate” means the Prime Rate published in the Money Rates section of the Western Edition of The Wall Street Journal. Bank may price loans to its customers at, above or below the Prime Rate. Any change in the Prime Rate shall take effect at the opening of business on the day specified in the public announcement of a change in Prime Rate.</w:t>
      </w:r>
    </w:p>
    <w:p>
      <w:pPr>
        <w:spacing w:after="0" w:line="181" w:lineRule="exact"/>
        <w:rPr>
          <w:sz w:val="20"/>
          <w:szCs w:val="20"/>
          <w:color w:val="auto"/>
        </w:rPr>
      </w:pPr>
    </w:p>
    <w:p>
      <w:pPr>
        <w:jc w:val="both"/>
        <w:ind w:firstLine="877"/>
        <w:spacing w:after="0" w:line="276" w:lineRule="auto"/>
        <w:rPr>
          <w:sz w:val="20"/>
          <w:szCs w:val="20"/>
          <w:color w:val="auto"/>
        </w:rPr>
      </w:pPr>
      <w:r>
        <w:rPr>
          <w:rFonts w:ascii="Arial" w:cs="Arial" w:eastAsia="Arial" w:hAnsi="Arial"/>
          <w:sz w:val="17"/>
          <w:szCs w:val="17"/>
          <w:color w:val="auto"/>
        </w:rPr>
        <w:t>“Registration” means any registration, authorization, approval, license, permit, clearance, certificate, and exemption issued or allowed by the FDA or state pharmacy licensing authorities (including, without limitation, new drug applications, abbreviated new drug applications, biologics license applications, investigational new drug applications, over-the-counter drug monograph, device pre-market approval applications, device pre-market notifications, investigational device exemptions, product recertifications, manufacturing approvals, registrations and authorizations, CE Marks, pricing and reimbursement approvals, labeling approvals or their foreign equivalent, controlled substance registrations, and wholesale distributor permits).</w:t>
      </w:r>
    </w:p>
    <w:p>
      <w:pPr>
        <w:spacing w:after="0" w:line="173"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“Regulatory Action” means an administrative, regulatory, or judicial enforcement action, proceeding, investigation or inspection, FDA Form 483 notice of inspectional observation, warning letter, untitled letter, other notice of violation letter, recall, seizure, Section 305 notice or other similar written communication, injunction or consent decree, issued by the FDA or a federal or state court.</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“Responsible Officer” means each of the Chief Executive Officer, the Chief Operating Officer, the Chief Financial Officer and the Controller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8"/>
          <w:szCs w:val="18"/>
          <w:color w:val="auto"/>
        </w:rPr>
        <w:t>“Shares” means one hundred percent (100%) of the issued and outstanding capital stock, membership units or other securities owned or held of record by Borrower or Borrower’s Subsidiary, in any Subsidiary; provided that, in the event Borrower demonstrates, to Bank’s reasonable satisfaction, that a pledge of more than sixty-five percent (65%) of the Shares of such Subsidiary which is a Foreign Subsidiary, creates an adverse tax consequence to Borrower under the IRC, “Shares” means sixty-five percent (65%) of the issued and outstanding capital stock, membership units or other securities owned or held of record by Borrower or its Subsidiary in such Foreign Subsidiary.</w:t>
      </w:r>
    </w:p>
    <w:p>
      <w:pPr>
        <w:spacing w:after="0" w:line="188" w:lineRule="exact"/>
        <w:rPr>
          <w:sz w:val="20"/>
          <w:szCs w:val="20"/>
          <w:color w:val="auto"/>
        </w:rPr>
      </w:pPr>
    </w:p>
    <w:p>
      <w:pPr>
        <w:jc w:val="both"/>
        <w:ind w:firstLine="877"/>
        <w:spacing w:after="0" w:line="290" w:lineRule="auto"/>
        <w:rPr>
          <w:sz w:val="20"/>
          <w:szCs w:val="20"/>
          <w:color w:val="auto"/>
        </w:rPr>
      </w:pPr>
      <w:r>
        <w:rPr>
          <w:rFonts w:ascii="Arial" w:cs="Arial" w:eastAsia="Arial" w:hAnsi="Arial"/>
          <w:sz w:val="16"/>
          <w:szCs w:val="16"/>
          <w:color w:val="auto"/>
        </w:rPr>
        <w:t>“Solvent” means, with respect to any Person on a particular date, that on such date (a) the fair value of the property of such Person is greater than the total amount of liabilities, including subordinated and contingent liabilities, of such Person; (b) the present fair saleable value of the assets of such Person is not less than the amount that will be required to pay the probable liability of such Person on its debts and liabilities, including subordinated and contingent liabilities as they become absolute and matured; (c) such Person does not intend to, and does not believe that it will, incur debts or liabilities beyond such Person’s ability to pay as such debts and liabilities mature; and (d) such Person is not engaged in a business or transaction, and is not about to engage in a business or transaction, for which such Person’s property would constitute an unreasonably small capital. The amount of contingent liabilities (such as litigation, guaranties and pension plan liabilities) at any time shall be computed as the amount that, in light of all the facts and circumstances existing at the time, represents the amount that would reasonably be expected to become an actual or matured liability.</w:t>
      </w:r>
    </w:p>
    <w:p>
      <w:pPr>
        <w:spacing w:after="0" w:line="166"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“Subordinated Debt” means any debt incurred by Borrower that is subordinated to the debt owing by Borrower to Bank on terms reasonably acceptable to Bank (and identified as being such by Borrower and Bank).</w:t>
      </w:r>
    </w:p>
    <w:p>
      <w:pPr>
        <w:spacing w:after="0" w:line="170" w:lineRule="exact"/>
        <w:rPr>
          <w:sz w:val="20"/>
          <w:szCs w:val="20"/>
          <w:color w:val="auto"/>
        </w:rPr>
      </w:pPr>
    </w:p>
    <w:p>
      <w:pPr>
        <w:jc w:val="both"/>
        <w:ind w:right="20" w:firstLine="877"/>
        <w:spacing w:after="0" w:line="286" w:lineRule="auto"/>
        <w:rPr>
          <w:sz w:val="20"/>
          <w:szCs w:val="20"/>
          <w:color w:val="auto"/>
        </w:rPr>
      </w:pPr>
      <w:r>
        <w:rPr>
          <w:rFonts w:ascii="Arial" w:cs="Arial" w:eastAsia="Arial" w:hAnsi="Arial"/>
          <w:sz w:val="17"/>
          <w:szCs w:val="17"/>
          <w:color w:val="auto"/>
        </w:rPr>
        <w:t>“Subsidiary” means any corporation, company or partnership in which (i) any general partnership interest or (ii) more than fifty percent (50%) of the stock or other units of ownership which by the terms thereof has the ordinary voting power to elect the Board of Directors, managers or trustees of the entity, at the time as of which any determination is being made, is owned by Borrower, either directly or through an Affiliate.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ind w:left="880"/>
        <w:spacing w:after="0"/>
        <w:rPr>
          <w:sz w:val="20"/>
          <w:szCs w:val="20"/>
          <w:color w:val="auto"/>
        </w:rPr>
      </w:pPr>
      <w:r>
        <w:rPr>
          <w:rFonts w:ascii="Arial" w:cs="Arial" w:eastAsia="Arial" w:hAnsi="Arial"/>
          <w:sz w:val="18"/>
          <w:szCs w:val="18"/>
          <w:color w:val="auto"/>
        </w:rPr>
        <w:t>“Term Loan” is defined in Section 2.1(a)(i) hereof.</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“Term Loan Maturity Date” is October 1, 2022.</w:t>
      </w:r>
    </w:p>
    <w:p>
      <w:pPr>
        <w:spacing w:after="0" w:line="225"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“Trademarks”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6" w:lineRule="exact"/>
        <w:rPr>
          <w:sz w:val="20"/>
          <w:szCs w:val="20"/>
          <w:color w:val="auto"/>
        </w:rPr>
      </w:pPr>
    </w:p>
    <w:p>
      <w:pPr>
        <w:jc w:val="both"/>
        <w:ind w:firstLine="1755"/>
        <w:spacing w:after="0" w:line="298" w:lineRule="auto"/>
        <w:rPr>
          <w:sz w:val="20"/>
          <w:szCs w:val="20"/>
          <w:color w:val="auto"/>
        </w:rPr>
      </w:pPr>
      <w:r>
        <w:rPr>
          <w:rFonts w:ascii="Arial" w:cs="Arial" w:eastAsia="Arial" w:hAnsi="Arial"/>
          <w:sz w:val="16"/>
          <w:szCs w:val="16"/>
          <w:b w:val="1"/>
          <w:bCs w:val="1"/>
          <w:color w:val="auto"/>
        </w:rPr>
        <w:t>1.2 Accounting Terms</w:t>
      </w:r>
      <w:r>
        <w:rPr>
          <w:rFonts w:ascii="Arial" w:cs="Arial" w:eastAsia="Arial" w:hAnsi="Arial"/>
          <w:sz w:val="16"/>
          <w:szCs w:val="16"/>
          <w:color w:val="auto"/>
        </w:rPr>
        <w:t>. All accounting terms not specifically defined herein shall be construed in accordance with GAAP</w:t>
      </w:r>
      <w:r>
        <w:rPr>
          <w:rFonts w:ascii="Arial" w:cs="Arial" w:eastAsia="Arial" w:hAnsi="Arial"/>
          <w:sz w:val="16"/>
          <w:szCs w:val="16"/>
          <w:b w:val="1"/>
          <w:bCs w:val="1"/>
          <w:color w:val="auto"/>
        </w:rPr>
        <w:t xml:space="preserve"> </w:t>
      </w:r>
      <w:r>
        <w:rPr>
          <w:rFonts w:ascii="Arial" w:cs="Arial" w:eastAsia="Arial" w:hAnsi="Arial"/>
          <w:sz w:val="16"/>
          <w:szCs w:val="16"/>
          <w:color w:val="auto"/>
        </w:rPr>
        <w:t>and all calculations made hereunder shall be made in accordance with GAAP. When used herein, the terms “financial statements” shall include the notes and schedules thereto. Notwithstanding any other provision contained herein, any obligations of a person under a lease (whether now existing or entered into in the future) that is not (or would not be) a capital lease under GAAP as in effect and implemented on the Closing Date shall not be treated as a capital lease as a result of the adoption and implementation of changes in GAAP issued by the Financial Accounting Standards Board on February 25, 2016.</w:t>
      </w:r>
    </w:p>
    <w:p>
      <w:pPr>
        <w:spacing w:after="0" w:line="154" w:lineRule="exact"/>
        <w:rPr>
          <w:sz w:val="20"/>
          <w:szCs w:val="20"/>
          <w:color w:val="auto"/>
        </w:rPr>
      </w:pPr>
    </w:p>
    <w:p>
      <w:pPr>
        <w:ind w:left="1660" w:hanging="775"/>
        <w:spacing w:after="0"/>
        <w:tabs>
          <w:tab w:leader="none" w:pos="1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OAN AND</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ERMS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AYMENT</w:t>
      </w:r>
      <w:r>
        <w:rPr>
          <w:rFonts w:ascii="Arial" w:cs="Arial" w:eastAsia="Arial" w:hAnsi="Arial"/>
          <w:sz w:val="18"/>
          <w:szCs w:val="18"/>
          <w:b w:val="1"/>
          <w:bCs w:val="1"/>
          <w:color w:val="auto"/>
        </w:rPr>
        <w:t>.</w:t>
      </w:r>
    </w:p>
    <w:p>
      <w:pPr>
        <w:spacing w:after="0" w:line="225" w:lineRule="exact"/>
        <w:rPr>
          <w:sz w:val="20"/>
          <w:szCs w:val="20"/>
          <w:color w:val="auto"/>
        </w:rPr>
      </w:pPr>
    </w:p>
    <w:p>
      <w:pPr>
        <w:ind w:left="1760"/>
        <w:spacing w:after="0"/>
        <w:tabs>
          <w:tab w:leader="none" w:pos="26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Credit Extensions</w:t>
      </w:r>
      <w:r>
        <w:rPr>
          <w:rFonts w:ascii="Arial" w:cs="Arial" w:eastAsia="Arial" w:hAnsi="Arial"/>
          <w:sz w:val="16"/>
          <w:szCs w:val="16"/>
          <w:color w:val="auto"/>
        </w:rPr>
        <w:t>.</w:t>
      </w:r>
    </w:p>
    <w:p>
      <w:pPr>
        <w:spacing w:after="0" w:line="229"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Borrower promises to pay to the order of Bank, in lawful money of the United States of America, the aggregate unpaid principal amount of all Credit Extensions made by Bank to Borrower hereunder. Borrower shall also pay interest on the unpaid principal amount of such Credit Extensions at rates in accordance with the terms hereof.</w:t>
      </w:r>
    </w:p>
    <w:p>
      <w:pPr>
        <w:spacing w:after="0" w:line="177" w:lineRule="exact"/>
        <w:rPr>
          <w:sz w:val="20"/>
          <w:szCs w:val="20"/>
          <w:color w:val="auto"/>
        </w:rPr>
      </w:pPr>
    </w:p>
    <w:p>
      <w:pPr>
        <w:ind w:left="3500" w:hanging="858"/>
        <w:spacing w:after="0"/>
        <w:tabs>
          <w:tab w:leader="none" w:pos="3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Term Loan.</w:t>
      </w:r>
    </w:p>
    <w:p>
      <w:pPr>
        <w:spacing w:after="0" w:line="229" w:lineRule="exact"/>
        <w:rPr>
          <w:rFonts w:ascii="Arial" w:cs="Arial" w:eastAsia="Arial" w:hAnsi="Arial"/>
          <w:sz w:val="18"/>
          <w:szCs w:val="18"/>
          <w:b w:val="1"/>
          <w:bCs w:val="1"/>
          <w:color w:val="auto"/>
        </w:rPr>
      </w:pPr>
    </w:p>
    <w:p>
      <w:pPr>
        <w:jc w:val="both"/>
        <w:ind w:firstLine="3519"/>
        <w:spacing w:after="0" w:line="259" w:lineRule="auto"/>
        <w:tabs>
          <w:tab w:leader="none" w:pos="4330" w:val="left"/>
        </w:tabs>
        <w:numPr>
          <w:ilvl w:val="1"/>
          <w:numId w:val="13"/>
        </w:numPr>
        <w:rPr>
          <w:rFonts w:ascii="Arial" w:cs="Arial" w:eastAsia="Arial" w:hAnsi="Arial"/>
          <w:sz w:val="18"/>
          <w:szCs w:val="18"/>
          <w:b w:val="1"/>
          <w:bCs w:val="1"/>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Subject to the terms and conditions of this Agreement, the Bank agrees to make a term loan to Borrower on the Closing Date, or as soon thereafter as practical, in the amount of Ten Million Dollars ($10,000,000.00) (the “Term Loan”). After repayment, the Term Loan may not be reborrowed. Upon the extension of the Term Loan pursuant to this Section 2.1(a)(i), Bank has no further obligations to make Credit Extensions.</w:t>
      </w:r>
    </w:p>
    <w:p>
      <w:pPr>
        <w:spacing w:after="0" w:line="186" w:lineRule="exact"/>
        <w:rPr>
          <w:rFonts w:ascii="Arial" w:cs="Arial" w:eastAsia="Arial" w:hAnsi="Arial"/>
          <w:sz w:val="18"/>
          <w:szCs w:val="18"/>
          <w:b w:val="1"/>
          <w:bCs w:val="1"/>
          <w:color w:val="auto"/>
        </w:rPr>
      </w:pPr>
    </w:p>
    <w:p>
      <w:pPr>
        <w:jc w:val="both"/>
        <w:ind w:firstLine="3519"/>
        <w:spacing w:after="0" w:line="291" w:lineRule="auto"/>
        <w:tabs>
          <w:tab w:leader="none" w:pos="4380" w:val="left"/>
        </w:tabs>
        <w:numPr>
          <w:ilvl w:val="1"/>
          <w:numId w:val="13"/>
        </w:numPr>
        <w:rPr>
          <w:rFonts w:ascii="Arial" w:cs="Arial" w:eastAsia="Arial" w:hAnsi="Arial"/>
          <w:sz w:val="16"/>
          <w:szCs w:val="16"/>
          <w:b w:val="1"/>
          <w:bCs w:val="1"/>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Borrower shall make monthly payments of interest only on each Payment Date through and including the Payment Date immediately preceding the Amortization Date . Commencing on the Amortization Date, and continuing on the Payment Date of each month thereafter, Borrower shall make consecutive equal monthly payments of principal, together with applicable interest, in arrears, to Bank, as calculated by Bank (which calculations shall be deemed correct absent manifest error) based upon: (1) the amount of the Term Loan, (2) the effective rate of interest, as determined in Section 2.3(a), and (3) a repayment schedule equal to thirty (30) months, if the Amortization Date is June 1, 2020, or twenty-four (24) months, if the Amortization Date is December 1, 2020. All unpaid principal and accrued and unpaid interest with respect to the Term Loan is due and payable in full on the Term Loan Maturity Date. The Term Loan may only be prepaid in accordance with Section 2.1(a)(iii).</w:t>
      </w:r>
    </w:p>
    <w:p>
      <w:pPr>
        <w:spacing w:after="0" w:line="167" w:lineRule="exact"/>
        <w:rPr>
          <w:rFonts w:ascii="Arial" w:cs="Arial" w:eastAsia="Arial" w:hAnsi="Arial"/>
          <w:sz w:val="16"/>
          <w:szCs w:val="16"/>
          <w:b w:val="1"/>
          <w:bCs w:val="1"/>
          <w:color w:val="auto"/>
        </w:rPr>
      </w:pPr>
    </w:p>
    <w:p>
      <w:pPr>
        <w:ind w:left="4440" w:hanging="921"/>
        <w:spacing w:after="0"/>
        <w:tabs>
          <w:tab w:leader="none" w:pos="4440" w:val="left"/>
        </w:tabs>
        <w:numPr>
          <w:ilvl w:val="1"/>
          <w:numId w:val="13"/>
        </w:numPr>
        <w:rPr>
          <w:rFonts w:ascii="Arial" w:cs="Arial" w:eastAsia="Arial" w:hAnsi="Arial"/>
          <w:sz w:val="18"/>
          <w:szCs w:val="18"/>
          <w:b w:val="1"/>
          <w:bCs w:val="1"/>
          <w:color w:val="auto"/>
        </w:rPr>
      </w:pPr>
      <w:r>
        <w:rPr>
          <w:rFonts w:ascii="Arial" w:cs="Arial" w:eastAsia="Arial" w:hAnsi="Arial"/>
          <w:sz w:val="18"/>
          <w:szCs w:val="18"/>
          <w:u w:val="single" w:color="auto"/>
          <w:color w:val="auto"/>
        </w:rPr>
        <w:t>Prepayment</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firstLine="4397"/>
        <w:spacing w:after="0" w:line="257" w:lineRule="auto"/>
        <w:tabs>
          <w:tab w:leader="none" w:pos="5147" w:val="left"/>
        </w:tabs>
        <w:numPr>
          <w:ilvl w:val="2"/>
          <w:numId w:val="13"/>
        </w:numPr>
        <w:rPr>
          <w:rFonts w:ascii="Arial" w:cs="Arial" w:eastAsia="Arial" w:hAnsi="Arial"/>
          <w:sz w:val="18"/>
          <w:szCs w:val="18"/>
          <w:color w:val="auto"/>
        </w:rPr>
      </w:pPr>
      <w:r>
        <w:rPr>
          <w:rFonts w:ascii="Arial" w:cs="Arial" w:eastAsia="Arial" w:hAnsi="Arial"/>
          <w:sz w:val="18"/>
          <w:szCs w:val="18"/>
          <w:u w:val="single" w:color="auto"/>
          <w:color w:val="auto"/>
        </w:rPr>
        <w:t>Voluntary Prepayment</w:t>
      </w:r>
      <w:r>
        <w:rPr>
          <w:rFonts w:ascii="Arial" w:cs="Arial" w:eastAsia="Arial" w:hAnsi="Arial"/>
          <w:sz w:val="18"/>
          <w:szCs w:val="18"/>
          <w:color w:val="auto"/>
        </w:rPr>
        <w:t>. Borrower shall have the option to prepay all, but not less than all, of the Term Loan advanced by Bank under this Agreement, provided Borrower (A) delivers written notice to Bank of its election to prepay the Term Loan at least five (5) Business Days prior to such prepayment and (B) pays, on the date of such prepayment, (a) all outstanding principal with respect to the Term Loan, plus accrued but unpaid interest, (b) the Final Payment, (c) the Prepayment Fee, plus (d) all other sums, including Bank Expenses, if any, that shall have become due and payable hereunder as a result of such prepayment.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jc w:val="both"/>
        <w:ind w:firstLine="4397"/>
        <w:spacing w:after="0" w:line="272" w:lineRule="auto"/>
        <w:tabs>
          <w:tab w:leader="none" w:pos="5197"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Mandatory Prepayment Upon an Acceleration</w:t>
      </w:r>
      <w:r>
        <w:rPr>
          <w:rFonts w:ascii="Arial" w:cs="Arial" w:eastAsia="Arial" w:hAnsi="Arial"/>
          <w:sz w:val="17"/>
          <w:szCs w:val="17"/>
          <w:color w:val="auto"/>
        </w:rPr>
        <w:t>. If the Term Loan is accelerated following the occurrence and continuance of an Event of Default, Borrower shall immediately pay to Bank an amount equal to the sum of (A) all outstanding principal with respect to the Term Loan, plus accrued but unpaid interest, (B) the Final Payment, (C) the Prepayment Fee, plus (D) all other sums, including Bank Expenses, if any, that shall have become due and payable hereunder as a result of such acceleration, including interest at the Default Rate with respect to any past due amounts. Notwithstanding (but without duplication with) the foregoing, on the Term Loan Maturity Date, if the Final Payment had not previously been paid in full in connection with the prepayment of the Term Loan in full, Borrower shall pay to Bank the Final Payment, or outstanding portion thereof, as the case may be, in respect of the Term Loan.</w:t>
      </w:r>
    </w:p>
    <w:p>
      <w:pPr>
        <w:spacing w:after="0" w:line="174" w:lineRule="exact"/>
        <w:rPr>
          <w:sz w:val="20"/>
          <w:szCs w:val="20"/>
          <w:color w:val="auto"/>
        </w:rPr>
      </w:pPr>
    </w:p>
    <w:tbl>
      <w:tblPr>
        <w:tblLayout w:type="fixed"/>
        <w:tblInd w:w="1760" w:type="dxa"/>
        <w:tblCellMar>
          <w:top w:w="0" w:type="dxa"/>
          <w:left w:w="0" w:type="dxa"/>
          <w:bottom w:w="0" w:type="dxa"/>
          <w:right w:w="0" w:type="dxa"/>
        </w:tblCellMar>
      </w:tblPr>
      <w:tr>
        <w:trPr>
          <w:trHeight w:val="234"/>
        </w:trPr>
        <w:tc>
          <w:tcPr>
            <w:tcW w:w="56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2.2</w:t>
            </w:r>
          </w:p>
        </w:tc>
        <w:tc>
          <w:tcPr>
            <w:tcW w:w="3660" w:type="dxa"/>
            <w:vAlign w:val="bottom"/>
          </w:tcPr>
          <w:p>
            <w:pPr>
              <w:ind w:left="320"/>
              <w:spacing w:after="0"/>
              <w:rPr>
                <w:sz w:val="20"/>
                <w:szCs w:val="20"/>
                <w:color w:val="auto"/>
              </w:rPr>
            </w:pPr>
            <w:r>
              <w:rPr>
                <w:rFonts w:ascii="Arial" w:cs="Arial" w:eastAsia="Arial" w:hAnsi="Arial"/>
                <w:sz w:val="18"/>
                <w:szCs w:val="18"/>
                <w:b w:val="1"/>
                <w:bCs w:val="1"/>
                <w:color w:val="auto"/>
              </w:rPr>
              <w:t>[Intentionally Omitted.]</w:t>
            </w:r>
          </w:p>
        </w:tc>
      </w:tr>
      <w:tr>
        <w:trPr>
          <w:trHeight w:val="432"/>
        </w:trPr>
        <w:tc>
          <w:tcPr>
            <w:tcW w:w="56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2.3</w:t>
            </w:r>
          </w:p>
        </w:tc>
        <w:tc>
          <w:tcPr>
            <w:tcW w:w="3660" w:type="dxa"/>
            <w:vAlign w:val="bottom"/>
          </w:tcPr>
          <w:p>
            <w:pPr>
              <w:ind w:left="320"/>
              <w:spacing w:after="0"/>
              <w:rPr>
                <w:sz w:val="20"/>
                <w:szCs w:val="20"/>
                <w:color w:val="auto"/>
              </w:rPr>
            </w:pPr>
            <w:r>
              <w:rPr>
                <w:rFonts w:ascii="Arial" w:cs="Arial" w:eastAsia="Arial" w:hAnsi="Arial"/>
                <w:sz w:val="18"/>
                <w:szCs w:val="18"/>
                <w:b w:val="1"/>
                <w:bCs w:val="1"/>
                <w:color w:val="auto"/>
                <w:w w:val="88"/>
              </w:rPr>
              <w:t>Interest Rates, Payments, and Calculations.</w:t>
            </w:r>
          </w:p>
        </w:tc>
      </w:tr>
    </w:tbl>
    <w:p>
      <w:pPr>
        <w:spacing w:after="0" w:line="198" w:lineRule="exact"/>
        <w:rPr>
          <w:sz w:val="20"/>
          <w:szCs w:val="20"/>
          <w:color w:val="auto"/>
        </w:rPr>
      </w:pPr>
    </w:p>
    <w:p>
      <w:pPr>
        <w:ind w:firstLine="2642"/>
        <w:spacing w:after="0" w:line="282" w:lineRule="auto"/>
        <w:tabs>
          <w:tab w:leader="none" w:pos="349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 Rate. </w:t>
      </w:r>
      <w:r>
        <w:rPr>
          <w:rFonts w:ascii="Arial" w:cs="Arial" w:eastAsia="Arial" w:hAnsi="Arial"/>
          <w:sz w:val="18"/>
          <w:szCs w:val="18"/>
          <w:color w:val="auto"/>
        </w:rPr>
        <w:t>Except as set forth in Section 2.3(b), the Term Loan shall bear interest, on the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Daily Balance thereof, at a floating rate equal to one and one-quarter percent (1.25%) above the Prime Rate.</w:t>
      </w:r>
    </w:p>
    <w:p>
      <w:pPr>
        <w:spacing w:after="0" w:line="161" w:lineRule="exact"/>
        <w:rPr>
          <w:rFonts w:ascii="Arial" w:cs="Arial" w:eastAsia="Arial" w:hAnsi="Arial"/>
          <w:sz w:val="18"/>
          <w:szCs w:val="18"/>
          <w:b w:val="1"/>
          <w:bCs w:val="1"/>
          <w:color w:val="auto"/>
        </w:rPr>
      </w:pPr>
    </w:p>
    <w:p>
      <w:pPr>
        <w:jc w:val="both"/>
        <w:ind w:firstLine="2642"/>
        <w:spacing w:after="0" w:line="258" w:lineRule="auto"/>
        <w:tabs>
          <w:tab w:leader="none" w:pos="350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Late Fee; Default Rate</w:t>
      </w:r>
      <w:r>
        <w:rPr>
          <w:rFonts w:ascii="Arial" w:cs="Arial" w:eastAsia="Arial" w:hAnsi="Arial"/>
          <w:sz w:val="18"/>
          <w:szCs w:val="18"/>
          <w:color w:val="auto"/>
        </w:rPr>
        <w:t>. If any payment is not made within ten (10) days after the date such payment is due,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shall pay Bank a late fee equal to the greater of (i) five percent (5.00%) of the amount of such unpaid amount or (ii) the maximum amount permitted to be charged under applicable law, not in any case to be less than Twenty Five Dollars ($25). All Obligations shall bear interest, from and after the occurrence and during the continuance of an Event of Default, at a rate equal to five (5) percentage points above the interest rate applicable immediately prior to the occurrence of the Event of Default (the “Default Rate”).</w:t>
      </w:r>
    </w:p>
    <w:p>
      <w:pPr>
        <w:spacing w:after="0" w:line="183" w:lineRule="exact"/>
        <w:rPr>
          <w:rFonts w:ascii="Arial" w:cs="Arial" w:eastAsia="Arial" w:hAnsi="Arial"/>
          <w:sz w:val="18"/>
          <w:szCs w:val="18"/>
          <w:b w:val="1"/>
          <w:bCs w:val="1"/>
          <w:color w:val="auto"/>
        </w:rPr>
      </w:pPr>
    </w:p>
    <w:p>
      <w:pPr>
        <w:jc w:val="both"/>
        <w:ind w:firstLine="2642"/>
        <w:spacing w:after="0" w:line="288" w:lineRule="auto"/>
        <w:tabs>
          <w:tab w:leader="none" w:pos="3482"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Payments</w:t>
      </w:r>
      <w:r>
        <w:rPr>
          <w:rFonts w:ascii="Arial" w:cs="Arial" w:eastAsia="Arial" w:hAnsi="Arial"/>
          <w:sz w:val="16"/>
          <w:szCs w:val="16"/>
          <w:color w:val="auto"/>
        </w:rPr>
        <w:t>. Interest hereunder shall be due and payable on each Payment Date. Bank shall, at its option,</w:t>
      </w:r>
      <w:r>
        <w:rPr>
          <w:rFonts w:ascii="Arial" w:cs="Arial" w:eastAsia="Arial" w:hAnsi="Arial"/>
          <w:sz w:val="16"/>
          <w:szCs w:val="16"/>
          <w:b w:val="1"/>
          <w:bCs w:val="1"/>
          <w:color w:val="auto"/>
        </w:rPr>
        <w:t xml:space="preserve"> </w:t>
      </w:r>
      <w:r>
        <w:rPr>
          <w:rFonts w:ascii="Arial" w:cs="Arial" w:eastAsia="Arial" w:hAnsi="Arial"/>
          <w:sz w:val="16"/>
          <w:szCs w:val="16"/>
          <w:color w:val="auto"/>
        </w:rPr>
        <w:t>charge such interest, all Bank Expenses, and all Periodic Payments against any of Borrower’s deposit accounts. Any interest not paid when due, whether as a result of insufficient funds or otherwise, shall be compounded by becoming a part of the Obligations, and such interest shall thereafter accrue interest at the rate then applicable hereunder; provided that no such compounding shall occur if Borrower has sufficient funds in its deposit accounts and Bank fails to debit any such interest payments. All payments shall be free and clear of any taxes, withholdings, duties, impositions or other charges, to the end that Bank will receive the entire amount of any Obligations payable hereunder, regardless of source of payment. Notwithstanding the foregoing, in no event shall Borrower be obligated to pay, or reimburse Bank for, any tax imposed on the net income or net profits of Bank (including any franchise taxes and branch profits taxes), in each case imposed by the jurisdiction (or by any political subdivision or taxing authority thereof) in which Bank is organized or the jurisdiction (or by any political subdivision or taxing authority thereof) in which Bank’s principal office or lending office is located or imposed as a result of a present or former connection between Bank and the jurisdiction or taxing authority imposing the tax (other than any such connection arising solely from Bank having executed, delivered or performed its obligations or received payment under, or enforced its rights or remedies under this Agreement or any other Loan Document).</w:t>
      </w:r>
    </w:p>
    <w:p>
      <w:pPr>
        <w:spacing w:after="0" w:line="164" w:lineRule="exact"/>
        <w:rPr>
          <w:rFonts w:ascii="Arial" w:cs="Arial" w:eastAsia="Arial" w:hAnsi="Arial"/>
          <w:sz w:val="16"/>
          <w:szCs w:val="16"/>
          <w:b w:val="1"/>
          <w:bCs w:val="1"/>
          <w:color w:val="auto"/>
        </w:rPr>
      </w:pPr>
    </w:p>
    <w:p>
      <w:pPr>
        <w:jc w:val="both"/>
        <w:ind w:firstLine="2642"/>
        <w:spacing w:after="0" w:line="261" w:lineRule="auto"/>
        <w:tabs>
          <w:tab w:leader="none" w:pos="350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Computation</w:t>
      </w:r>
      <w:r>
        <w:rPr>
          <w:rFonts w:ascii="Arial" w:cs="Arial" w:eastAsia="Arial" w:hAnsi="Arial"/>
          <w:sz w:val="18"/>
          <w:szCs w:val="18"/>
          <w:color w:val="auto"/>
        </w:rPr>
        <w:t>. In the event the Prime Rate is changed from time to time hereafter, the applicable rate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hereunder shall be increased or decreased, effective as of the day the Prime Rate is changed, by an amount equal to such change in the Prime Rate. All interest chargeable under the Loan Documents shall be computed on the basis of a three hundred sixty (360) day year for the actual number of days elapsed.</w:t>
      </w:r>
    </w:p>
    <w:p>
      <w:pPr>
        <w:spacing w:after="0" w:line="180" w:lineRule="exact"/>
        <w:rPr>
          <w:sz w:val="20"/>
          <w:szCs w:val="20"/>
          <w:color w:val="auto"/>
        </w:rPr>
      </w:pPr>
    </w:p>
    <w:p>
      <w:pPr>
        <w:jc w:val="both"/>
        <w:ind w:firstLine="1755"/>
        <w:spacing w:after="0" w:line="254" w:lineRule="auto"/>
        <w:rPr>
          <w:sz w:val="20"/>
          <w:szCs w:val="20"/>
          <w:color w:val="auto"/>
        </w:rPr>
      </w:pPr>
      <w:r>
        <w:rPr>
          <w:rFonts w:ascii="Arial" w:cs="Arial" w:eastAsia="Arial" w:hAnsi="Arial"/>
          <w:sz w:val="18"/>
          <w:szCs w:val="18"/>
          <w:b w:val="1"/>
          <w:bCs w:val="1"/>
          <w:color w:val="auto"/>
        </w:rPr>
        <w:t>2.4 Crediting Payments</w:t>
      </w:r>
      <w:r>
        <w:rPr>
          <w:rFonts w:ascii="Arial" w:cs="Arial" w:eastAsia="Arial" w:hAnsi="Arial"/>
          <w:sz w:val="18"/>
          <w:szCs w:val="18"/>
          <w:color w:val="auto"/>
        </w:rPr>
        <w:t>. Unless an Event of Default has occurred and is continuing, Bank shall credit a wire transfer of</w:t>
      </w:r>
      <w:r>
        <w:rPr>
          <w:rFonts w:ascii="Arial" w:cs="Arial" w:eastAsia="Arial" w:hAnsi="Arial"/>
          <w:sz w:val="18"/>
          <w:szCs w:val="18"/>
          <w:b w:val="1"/>
          <w:bCs w:val="1"/>
          <w:color w:val="auto"/>
        </w:rPr>
        <w:t xml:space="preserve"> </w:t>
      </w:r>
      <w:r>
        <w:rPr>
          <w:rFonts w:ascii="Arial" w:cs="Arial" w:eastAsia="Arial" w:hAnsi="Arial"/>
          <w:sz w:val="18"/>
          <w:szCs w:val="18"/>
          <w:color w:val="auto"/>
        </w:rPr>
        <w:t>funds, check or other item of payment to such deposit account or Obligation as Borrower specifies. While an Event of Default has occurred and is continuing, the receipt by Bank of any wire transfer of funds, check, or other item of payment shall be immediately applied to conditionally reduce Obligations, but shall not be considered a payment on account unless such payment is of immediately available federal funds or unless and until such check or other item of payment is honored when presented for payment. Notwithstanding anything to the contrary contained herein, any wire transfer or payment received by Bank after 2:00 p.m. Pacific time shall be deemed to have been received by Bank as of the opening of business on the immediately following Business Day. Whenever any payment to Bank under the Loan Documents would otherwise be due (except by reason of acceleration) on a date that is not a Business Day, such payment shall instead be due on the next Business Day, and additional fees or interest, as the case may be, shall accrue and be payable for the period of such extension.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ind w:left="1760"/>
        <w:spacing w:after="0"/>
        <w:tabs>
          <w:tab w:leader="none" w:pos="262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Fees</w:t>
      </w:r>
      <w:r>
        <w:rPr>
          <w:rFonts w:ascii="Arial" w:cs="Arial" w:eastAsia="Arial" w:hAnsi="Arial"/>
          <w:sz w:val="16"/>
          <w:szCs w:val="16"/>
          <w:color w:val="auto"/>
        </w:rPr>
        <w:t>. Borrower shall pay to Bank the following:</w:t>
      </w:r>
    </w:p>
    <w:p>
      <w:pPr>
        <w:spacing w:after="0" w:line="225" w:lineRule="exact"/>
        <w:rPr>
          <w:sz w:val="20"/>
          <w:szCs w:val="20"/>
          <w:color w:val="auto"/>
        </w:rPr>
      </w:pPr>
    </w:p>
    <w:p>
      <w:pPr>
        <w:ind w:firstLine="2642"/>
        <w:spacing w:after="0" w:line="282" w:lineRule="auto"/>
        <w:tabs>
          <w:tab w:leader="none" w:pos="349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Facility Fee</w:t>
      </w:r>
      <w:r>
        <w:rPr>
          <w:rFonts w:ascii="Arial" w:cs="Arial" w:eastAsia="Arial" w:hAnsi="Arial"/>
          <w:sz w:val="18"/>
          <w:szCs w:val="18"/>
          <w:color w:val="auto"/>
        </w:rPr>
        <w:t>. A Facility Fee equal to Fifty Thousand Dollars ($50,000.00), which shall be nonrefundable;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of which hereby is acknowledged by Bank;</w:t>
      </w:r>
    </w:p>
    <w:p>
      <w:pPr>
        <w:spacing w:after="0" w:line="161" w:lineRule="exact"/>
        <w:rPr>
          <w:rFonts w:ascii="Arial" w:cs="Arial" w:eastAsia="Arial" w:hAnsi="Arial"/>
          <w:sz w:val="18"/>
          <w:szCs w:val="18"/>
          <w:b w:val="1"/>
          <w:bCs w:val="1"/>
          <w:color w:val="auto"/>
        </w:rPr>
      </w:pPr>
    </w:p>
    <w:p>
      <w:pPr>
        <w:ind w:left="3520" w:hanging="878"/>
        <w:spacing w:after="0"/>
        <w:tabs>
          <w:tab w:leader="none" w:pos="3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Final Payment</w:t>
      </w:r>
      <w:r>
        <w:rPr>
          <w:rFonts w:ascii="Arial" w:cs="Arial" w:eastAsia="Arial" w:hAnsi="Arial"/>
          <w:sz w:val="18"/>
          <w:szCs w:val="18"/>
          <w:color w:val="auto"/>
        </w:rPr>
        <w:t>. The Final Payment, when due hereunder;</w:t>
      </w:r>
    </w:p>
    <w:p>
      <w:pPr>
        <w:spacing w:after="0" w:line="225" w:lineRule="exact"/>
        <w:rPr>
          <w:rFonts w:ascii="Arial" w:cs="Arial" w:eastAsia="Arial" w:hAnsi="Arial"/>
          <w:sz w:val="18"/>
          <w:szCs w:val="18"/>
          <w:b w:val="1"/>
          <w:bCs w:val="1"/>
          <w:color w:val="auto"/>
        </w:rPr>
      </w:pPr>
    </w:p>
    <w:p>
      <w:pPr>
        <w:ind w:left="3480" w:hanging="838"/>
        <w:spacing w:after="0"/>
        <w:tabs>
          <w:tab w:leader="none" w:pos="34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Prepayment Payment</w:t>
      </w:r>
      <w:r>
        <w:rPr>
          <w:rFonts w:ascii="Arial" w:cs="Arial" w:eastAsia="Arial" w:hAnsi="Arial"/>
          <w:sz w:val="18"/>
          <w:szCs w:val="18"/>
          <w:color w:val="auto"/>
        </w:rPr>
        <w:t>. The Prepayment Fee, when due hereunder; and</w:t>
      </w:r>
    </w:p>
    <w:p>
      <w:pPr>
        <w:spacing w:after="0" w:line="225" w:lineRule="exact"/>
        <w:rPr>
          <w:rFonts w:ascii="Arial" w:cs="Arial" w:eastAsia="Arial" w:hAnsi="Arial"/>
          <w:sz w:val="18"/>
          <w:szCs w:val="18"/>
          <w:b w:val="1"/>
          <w:bCs w:val="1"/>
          <w:color w:val="auto"/>
        </w:rPr>
      </w:pPr>
    </w:p>
    <w:p>
      <w:pPr>
        <w:ind w:left="3520" w:hanging="878"/>
        <w:spacing w:after="0"/>
        <w:tabs>
          <w:tab w:leader="none" w:pos="352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Bank Expenses</w:t>
      </w:r>
      <w:r>
        <w:rPr>
          <w:rFonts w:ascii="Arial" w:cs="Arial" w:eastAsia="Arial" w:hAnsi="Arial"/>
          <w:sz w:val="16"/>
          <w:szCs w:val="16"/>
          <w:color w:val="auto"/>
        </w:rPr>
        <w:t>. On the Closing Date, all Bank Expenses incurred through the Closing Date, and, after the</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Closing Date, all Bank Expenses, as and when they are incurred by Bank, notice of which has been provided by Bank to Borrower.</w:t>
      </w:r>
    </w:p>
    <w:p>
      <w:pPr>
        <w:spacing w:after="0" w:line="207" w:lineRule="exact"/>
        <w:rPr>
          <w:sz w:val="20"/>
          <w:szCs w:val="20"/>
          <w:color w:val="auto"/>
        </w:rPr>
      </w:pPr>
    </w:p>
    <w:p>
      <w:pPr>
        <w:jc w:val="both"/>
        <w:ind w:firstLine="1755"/>
        <w:spacing w:after="0" w:line="258" w:lineRule="auto"/>
        <w:rPr>
          <w:sz w:val="20"/>
          <w:szCs w:val="20"/>
          <w:color w:val="auto"/>
        </w:rPr>
      </w:pPr>
      <w:r>
        <w:rPr>
          <w:rFonts w:ascii="Arial" w:cs="Arial" w:eastAsia="Arial" w:hAnsi="Arial"/>
          <w:sz w:val="18"/>
          <w:szCs w:val="18"/>
          <w:b w:val="1"/>
          <w:bCs w:val="1"/>
          <w:color w:val="auto"/>
        </w:rPr>
        <w:t>2.6 Term</w:t>
      </w:r>
      <w:r>
        <w:rPr>
          <w:rFonts w:ascii="Arial" w:cs="Arial" w:eastAsia="Arial" w:hAnsi="Arial"/>
          <w:sz w:val="18"/>
          <w:szCs w:val="18"/>
          <w:color w:val="auto"/>
        </w:rPr>
        <w:t>. This Agreement shall become effective on the Closing Date and, subject to Section 13.7, shall continue in full</w:t>
      </w:r>
      <w:r>
        <w:rPr>
          <w:rFonts w:ascii="Arial" w:cs="Arial" w:eastAsia="Arial" w:hAnsi="Arial"/>
          <w:sz w:val="18"/>
          <w:szCs w:val="18"/>
          <w:b w:val="1"/>
          <w:bCs w:val="1"/>
          <w:color w:val="auto"/>
        </w:rPr>
        <w:t xml:space="preserve"> </w:t>
      </w:r>
      <w:r>
        <w:rPr>
          <w:rFonts w:ascii="Arial" w:cs="Arial" w:eastAsia="Arial" w:hAnsi="Arial"/>
          <w:sz w:val="18"/>
          <w:szCs w:val="18"/>
          <w:color w:val="auto"/>
        </w:rPr>
        <w:t>force and effect for so long as any Obligations remain outstanding or Bank has any obligation to make Credit Extensions under this Agreement. Notwithstanding the foregoing, Bank shall have the right to terminate its obligation to make Credit Extensions under this Agreement immediately and without notice upon the occurrence and during the continuance of an Event of Default. Notwithstanding termination, Bank’s Lien on the Collateral shall remain in effect for so long as any Obligations are outstanding.</w:t>
      </w:r>
    </w:p>
    <w:p>
      <w:pPr>
        <w:spacing w:after="0" w:line="184" w:lineRule="exact"/>
        <w:rPr>
          <w:sz w:val="20"/>
          <w:szCs w:val="20"/>
          <w:color w:val="auto"/>
        </w:rPr>
      </w:pPr>
    </w:p>
    <w:p>
      <w:pPr>
        <w:ind w:left="1660" w:hanging="775"/>
        <w:spacing w:after="0"/>
        <w:tabs>
          <w:tab w:leader="none" w:pos="1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ONDITIONS OF</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OANS</w:t>
      </w:r>
      <w:r>
        <w:rPr>
          <w:rFonts w:ascii="Arial" w:cs="Arial" w:eastAsia="Arial" w:hAnsi="Arial"/>
          <w:sz w:val="18"/>
          <w:szCs w:val="18"/>
          <w:b w:val="1"/>
          <w:bCs w:val="1"/>
          <w:color w:val="auto"/>
        </w:rPr>
        <w:t>.</w:t>
      </w:r>
    </w:p>
    <w:p>
      <w:pPr>
        <w:spacing w:after="0" w:line="225" w:lineRule="exact"/>
        <w:rPr>
          <w:sz w:val="20"/>
          <w:szCs w:val="20"/>
          <w:color w:val="auto"/>
        </w:rPr>
      </w:pPr>
    </w:p>
    <w:p>
      <w:pPr>
        <w:ind w:firstLine="1755"/>
        <w:spacing w:after="0" w:line="282" w:lineRule="auto"/>
        <w:rPr>
          <w:sz w:val="20"/>
          <w:szCs w:val="20"/>
          <w:color w:val="auto"/>
        </w:rPr>
      </w:pPr>
      <w:r>
        <w:rPr>
          <w:rFonts w:ascii="Arial" w:cs="Arial" w:eastAsia="Arial" w:hAnsi="Arial"/>
          <w:sz w:val="18"/>
          <w:szCs w:val="18"/>
          <w:b w:val="1"/>
          <w:bCs w:val="1"/>
          <w:color w:val="auto"/>
        </w:rPr>
        <w:t>3.1 Conditions Precedent to Initial Credit Extension</w:t>
      </w:r>
      <w:r>
        <w:rPr>
          <w:rFonts w:ascii="Arial" w:cs="Arial" w:eastAsia="Arial" w:hAnsi="Arial"/>
          <w:sz w:val="18"/>
          <w:szCs w:val="18"/>
          <w:color w:val="auto"/>
        </w:rPr>
        <w:t>. The obligation of Bank to make the initial Credit Extension 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condition precedent that Bank shall have received, in form and substance satisfactory to Bank, the following:</w:t>
      </w:r>
    </w:p>
    <w:p>
      <w:pPr>
        <w:spacing w:after="0" w:line="166" w:lineRule="exact"/>
        <w:rPr>
          <w:sz w:val="20"/>
          <w:szCs w:val="20"/>
          <w:color w:val="auto"/>
        </w:rPr>
      </w:pPr>
    </w:p>
    <w:p>
      <w:pPr>
        <w:ind w:left="3500" w:hanging="858"/>
        <w:spacing w:after="0"/>
        <w:tabs>
          <w:tab w:leader="none" w:pos="350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this Agreement;</w:t>
      </w:r>
    </w:p>
    <w:p>
      <w:pPr>
        <w:spacing w:after="0" w:line="225" w:lineRule="exact"/>
        <w:rPr>
          <w:rFonts w:ascii="Arial" w:cs="Arial" w:eastAsia="Arial" w:hAnsi="Arial"/>
          <w:sz w:val="18"/>
          <w:szCs w:val="18"/>
          <w:b w:val="1"/>
          <w:bCs w:val="1"/>
          <w:color w:val="auto"/>
        </w:rPr>
      </w:pPr>
    </w:p>
    <w:p>
      <w:pPr>
        <w:ind w:left="3520" w:hanging="878"/>
        <w:spacing w:after="0"/>
        <w:tabs>
          <w:tab w:leader="none" w:pos="352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a certificate of the Secretary of Borrower with respect to incumbency and resolutions authorizing the</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execution and delivery of this Agreement;</w:t>
      </w:r>
    </w:p>
    <w:p>
      <w:pPr>
        <w:spacing w:after="0" w:line="210" w:lineRule="exact"/>
        <w:rPr>
          <w:rFonts w:ascii="Arial" w:cs="Arial" w:eastAsia="Arial" w:hAnsi="Arial"/>
          <w:sz w:val="17"/>
          <w:szCs w:val="17"/>
          <w:b w:val="1"/>
          <w:bCs w:val="1"/>
          <w:color w:val="auto"/>
        </w:rPr>
      </w:pPr>
    </w:p>
    <w:p>
      <w:pPr>
        <w:ind w:left="3480" w:hanging="838"/>
        <w:spacing w:after="0"/>
        <w:tabs>
          <w:tab w:leader="none" w:pos="34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UCC National Form Financing Statement;</w:t>
      </w:r>
    </w:p>
    <w:p>
      <w:pPr>
        <w:spacing w:after="0" w:line="225" w:lineRule="exact"/>
        <w:rPr>
          <w:rFonts w:ascii="Arial" w:cs="Arial" w:eastAsia="Arial" w:hAnsi="Arial"/>
          <w:sz w:val="18"/>
          <w:szCs w:val="18"/>
          <w:b w:val="1"/>
          <w:bCs w:val="1"/>
          <w:color w:val="auto"/>
        </w:rPr>
      </w:pPr>
    </w:p>
    <w:p>
      <w:pPr>
        <w:ind w:left="3520" w:hanging="878"/>
        <w:spacing w:after="0"/>
        <w:tabs>
          <w:tab w:leader="none" w:pos="352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 side letter with respect to the Fee in Lieu;</w:t>
      </w:r>
    </w:p>
    <w:p>
      <w:pPr>
        <w:spacing w:after="0" w:line="225" w:lineRule="exact"/>
        <w:rPr>
          <w:rFonts w:ascii="Arial" w:cs="Arial" w:eastAsia="Arial" w:hAnsi="Arial"/>
          <w:sz w:val="18"/>
          <w:szCs w:val="18"/>
          <w:b w:val="1"/>
          <w:bCs w:val="1"/>
          <w:color w:val="auto"/>
        </w:rPr>
      </w:pPr>
    </w:p>
    <w:p>
      <w:pPr>
        <w:ind w:left="3480" w:hanging="838"/>
        <w:spacing w:after="0"/>
        <w:tabs>
          <w:tab w:leader="none" w:pos="34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evidence of insurance;</w:t>
      </w:r>
    </w:p>
    <w:p>
      <w:pPr>
        <w:spacing w:after="0" w:line="225" w:lineRule="exact"/>
        <w:rPr>
          <w:rFonts w:ascii="Arial" w:cs="Arial" w:eastAsia="Arial" w:hAnsi="Arial"/>
          <w:sz w:val="18"/>
          <w:szCs w:val="18"/>
          <w:b w:val="1"/>
          <w:bCs w:val="1"/>
          <w:color w:val="auto"/>
        </w:rPr>
      </w:pPr>
    </w:p>
    <w:p>
      <w:pPr>
        <w:ind w:left="3460" w:hanging="818"/>
        <w:spacing w:after="0"/>
        <w:tabs>
          <w:tab w:leader="none" w:pos="34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payment of the fees and Bank Expenses then due specified in Section 2.5 hereof;</w:t>
      </w:r>
    </w:p>
    <w:p>
      <w:pPr>
        <w:spacing w:after="0" w:line="225" w:lineRule="exact"/>
        <w:rPr>
          <w:rFonts w:ascii="Arial" w:cs="Arial" w:eastAsia="Arial" w:hAnsi="Arial"/>
          <w:sz w:val="18"/>
          <w:szCs w:val="18"/>
          <w:b w:val="1"/>
          <w:bCs w:val="1"/>
          <w:color w:val="auto"/>
        </w:rPr>
      </w:pPr>
    </w:p>
    <w:p>
      <w:pPr>
        <w:ind w:left="3500" w:hanging="858"/>
        <w:spacing w:after="0"/>
        <w:tabs>
          <w:tab w:leader="none" w:pos="350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current financial statements of Borrower;</w:t>
      </w:r>
    </w:p>
    <w:p>
      <w:pPr>
        <w:spacing w:after="0" w:line="225" w:lineRule="exact"/>
        <w:rPr>
          <w:rFonts w:ascii="Arial" w:cs="Arial" w:eastAsia="Arial" w:hAnsi="Arial"/>
          <w:sz w:val="18"/>
          <w:szCs w:val="18"/>
          <w:b w:val="1"/>
          <w:bCs w:val="1"/>
          <w:color w:val="auto"/>
        </w:rPr>
      </w:pPr>
    </w:p>
    <w:p>
      <w:pPr>
        <w:ind w:left="3520" w:hanging="878"/>
        <w:spacing w:after="0"/>
        <w:tabs>
          <w:tab w:leader="none" w:pos="3520"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subject to Section 6.7, an account control agreement with respect to Borrower’s account with Oppenheimer;</w:t>
      </w:r>
    </w:p>
    <w:p>
      <w:pPr>
        <w:spacing w:after="0" w:line="248" w:lineRule="exact"/>
        <w:rPr>
          <w:rFonts w:ascii="Arial" w:cs="Arial" w:eastAsia="Arial" w:hAnsi="Arial"/>
          <w:sz w:val="16"/>
          <w:szCs w:val="16"/>
          <w:b w:val="1"/>
          <w:bCs w:val="1"/>
          <w:color w:val="auto"/>
        </w:rPr>
      </w:pPr>
    </w:p>
    <w:p>
      <w:pPr>
        <w:ind w:left="3460" w:hanging="818"/>
        <w:spacing w:after="0"/>
        <w:tabs>
          <w:tab w:leader="none" w:pos="34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completed perfection certificate of Borrower (the “Perfection Certificate”);</w:t>
      </w:r>
    </w:p>
    <w:p>
      <w:pPr>
        <w:spacing w:after="0" w:line="225" w:lineRule="exact"/>
        <w:rPr>
          <w:rFonts w:ascii="Arial" w:cs="Arial" w:eastAsia="Arial" w:hAnsi="Arial"/>
          <w:sz w:val="18"/>
          <w:szCs w:val="18"/>
          <w:b w:val="1"/>
          <w:bCs w:val="1"/>
          <w:color w:val="auto"/>
        </w:rPr>
      </w:pPr>
    </w:p>
    <w:p>
      <w:pPr>
        <w:ind w:left="3460" w:hanging="818"/>
        <w:spacing w:after="0"/>
        <w:tabs>
          <w:tab w:leader="none" w:pos="34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 landlord’s consent for each of Borrower’s leased locations;</w:t>
      </w:r>
    </w:p>
    <w:p>
      <w:pPr>
        <w:spacing w:after="0" w:line="225" w:lineRule="exact"/>
        <w:rPr>
          <w:rFonts w:ascii="Arial" w:cs="Arial" w:eastAsia="Arial" w:hAnsi="Arial"/>
          <w:sz w:val="18"/>
          <w:szCs w:val="18"/>
          <w:b w:val="1"/>
          <w:bCs w:val="1"/>
          <w:color w:val="auto"/>
        </w:rPr>
      </w:pPr>
    </w:p>
    <w:p>
      <w:pPr>
        <w:ind w:firstLine="2642"/>
        <w:spacing w:after="0" w:line="277" w:lineRule="auto"/>
        <w:tabs>
          <w:tab w:leader="none" w:pos="3502"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 bailee waiver for each location where Borrower maintains Collateral having a book value in excess of Two Hundred Fifty Thousand Dollars ($250,000.00); and</w:t>
      </w:r>
    </w:p>
    <w:p>
      <w:pPr>
        <w:spacing w:after="0" w:line="170" w:lineRule="exact"/>
        <w:rPr>
          <w:rFonts w:ascii="Arial" w:cs="Arial" w:eastAsia="Arial" w:hAnsi="Arial"/>
          <w:sz w:val="18"/>
          <w:szCs w:val="18"/>
          <w:b w:val="1"/>
          <w:bCs w:val="1"/>
          <w:color w:val="auto"/>
        </w:rPr>
      </w:pPr>
    </w:p>
    <w:p>
      <w:pPr>
        <w:ind w:left="3460" w:hanging="818"/>
        <w:spacing w:after="0"/>
        <w:tabs>
          <w:tab w:leader="none" w:pos="3460"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such other documents, and completion of such other matters, as Bank may reasonably deem necessary or</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appropriate.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ind w:firstLine="1755"/>
        <w:spacing w:after="0" w:line="282" w:lineRule="auto"/>
        <w:rPr>
          <w:sz w:val="20"/>
          <w:szCs w:val="20"/>
          <w:color w:val="auto"/>
        </w:rPr>
      </w:pPr>
      <w:r>
        <w:rPr>
          <w:rFonts w:ascii="Arial" w:cs="Arial" w:eastAsia="Arial" w:hAnsi="Arial"/>
          <w:sz w:val="18"/>
          <w:szCs w:val="18"/>
          <w:b w:val="1"/>
          <w:bCs w:val="1"/>
          <w:color w:val="auto"/>
        </w:rPr>
        <w:t>3.2 Conditions Precedent to all Credit Extensions</w:t>
      </w:r>
      <w:r>
        <w:rPr>
          <w:rFonts w:ascii="Arial" w:cs="Arial" w:eastAsia="Arial" w:hAnsi="Arial"/>
          <w:sz w:val="18"/>
          <w:szCs w:val="18"/>
          <w:color w:val="auto"/>
        </w:rPr>
        <w:t>. The obligation of Bank to make each Credit Extension,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initial Credit Extension, is further subject to the following conditions:</w:t>
      </w:r>
    </w:p>
    <w:p>
      <w:pPr>
        <w:spacing w:after="0" w:line="166" w:lineRule="exact"/>
        <w:rPr>
          <w:sz w:val="20"/>
          <w:szCs w:val="20"/>
          <w:color w:val="auto"/>
        </w:rPr>
      </w:pPr>
    </w:p>
    <w:p>
      <w:pPr>
        <w:ind w:left="3500" w:hanging="858"/>
        <w:spacing w:after="0"/>
        <w:tabs>
          <w:tab w:leader="none" w:pos="35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timely receipt by Bank of the Term Loan Request Form as provided in Section 2.1; and</w:t>
      </w:r>
    </w:p>
    <w:p>
      <w:pPr>
        <w:spacing w:after="0" w:line="225" w:lineRule="exact"/>
        <w:rPr>
          <w:rFonts w:ascii="Arial" w:cs="Arial" w:eastAsia="Arial" w:hAnsi="Arial"/>
          <w:sz w:val="18"/>
          <w:szCs w:val="18"/>
          <w:b w:val="1"/>
          <w:bCs w:val="1"/>
          <w:color w:val="auto"/>
        </w:rPr>
      </w:pPr>
    </w:p>
    <w:p>
      <w:pPr>
        <w:jc w:val="both"/>
        <w:ind w:firstLine="2642"/>
        <w:spacing w:after="0" w:line="257" w:lineRule="auto"/>
        <w:tabs>
          <w:tab w:leader="none" w:pos="3502"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representations and warranties contained in Section 5 shall be true and correct in all material respects on and as of the date of such Term Loan Request Form and on the effective date of each Credit Extension as though made at and as of each such date, and no Event of Default shall have occurred and be continuing, or would exist after giving effect to such Credit Extension. The making of each Credit Extension shall be deemed to be a representation and warranty by Borrower on the date of such Credit Extension as to the accuracy of the facts referred to in this Section 3.2.</w:t>
      </w:r>
    </w:p>
    <w:p>
      <w:pPr>
        <w:spacing w:after="0" w:line="184" w:lineRule="exact"/>
        <w:rPr>
          <w:sz w:val="20"/>
          <w:szCs w:val="20"/>
          <w:color w:val="auto"/>
        </w:rPr>
      </w:pPr>
    </w:p>
    <w:p>
      <w:pPr>
        <w:ind w:left="1760"/>
        <w:spacing w:after="0"/>
        <w:tabs>
          <w:tab w:leader="none" w:pos="26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7"/>
          <w:szCs w:val="17"/>
          <w:b w:val="1"/>
          <w:bCs w:val="1"/>
          <w:color w:val="auto"/>
        </w:rPr>
        <w:t>Conditions Subsequent</w:t>
      </w:r>
      <w:r>
        <w:rPr>
          <w:rFonts w:ascii="Arial" w:cs="Arial" w:eastAsia="Arial" w:hAnsi="Arial"/>
          <w:sz w:val="17"/>
          <w:szCs w:val="17"/>
          <w:color w:val="auto"/>
        </w:rPr>
        <w:t>. The obligations of Bank to make each Credit Extension, is further subject to the following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conditions subsequent:</w:t>
      </w:r>
    </w:p>
    <w:p>
      <w:pPr>
        <w:spacing w:after="0" w:line="211" w:lineRule="exact"/>
        <w:rPr>
          <w:sz w:val="20"/>
          <w:szCs w:val="20"/>
          <w:color w:val="auto"/>
        </w:rPr>
      </w:pPr>
    </w:p>
    <w:p>
      <w:pPr>
        <w:jc w:val="both"/>
        <w:ind w:firstLine="2642"/>
        <w:spacing w:after="0" w:line="286" w:lineRule="auto"/>
        <w:tabs>
          <w:tab w:leader="none" w:pos="3492" w:val="left"/>
        </w:tabs>
        <w:numPr>
          <w:ilvl w:val="1"/>
          <w:numId w:val="20"/>
        </w:numPr>
        <w:rPr>
          <w:rFonts w:ascii="Arial" w:cs="Arial" w:eastAsia="Arial" w:hAnsi="Arial"/>
          <w:sz w:val="17"/>
          <w:szCs w:val="17"/>
          <w:b w:val="1"/>
          <w:bCs w:val="1"/>
          <w:color w:val="auto"/>
        </w:rPr>
      </w:pPr>
      <w:r>
        <w:rPr>
          <w:rFonts w:ascii="Arial" w:cs="Arial" w:eastAsia="Arial" w:hAnsi="Arial"/>
          <w:sz w:val="17"/>
          <w:szCs w:val="17"/>
          <w:color w:val="auto"/>
        </w:rPr>
        <w:t>subject to Section 6.7, within ninety (90) days from the Closing Date (the “Transition Period”), evidence that the balances in Borrower’s account(s) with Wells Fargo (the “Wells Account”) have been transferred to Borrower’s account with Bank; provided that, during such Transition Period, the balance in such Wells Account shall not exceed Seven Hundred Fifty Thousand Dollars ($750,000.00); and</w:t>
      </w:r>
    </w:p>
    <w:p>
      <w:pPr>
        <w:spacing w:after="0" w:line="165" w:lineRule="exact"/>
        <w:rPr>
          <w:rFonts w:ascii="Arial" w:cs="Arial" w:eastAsia="Arial" w:hAnsi="Arial"/>
          <w:sz w:val="17"/>
          <w:szCs w:val="17"/>
          <w:b w:val="1"/>
          <w:bCs w:val="1"/>
          <w:color w:val="auto"/>
        </w:rPr>
      </w:pPr>
    </w:p>
    <w:p>
      <w:pPr>
        <w:ind w:left="3520" w:hanging="878"/>
        <w:spacing w:after="0"/>
        <w:tabs>
          <w:tab w:leader="none" w:pos="3520"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[reserved].</w:t>
      </w:r>
    </w:p>
    <w:p>
      <w:pPr>
        <w:spacing w:after="0" w:line="221" w:lineRule="exact"/>
        <w:rPr>
          <w:rFonts w:ascii="Arial" w:cs="Arial" w:eastAsia="Arial" w:hAnsi="Arial"/>
          <w:sz w:val="18"/>
          <w:szCs w:val="18"/>
          <w:b w:val="1"/>
          <w:bCs w:val="1"/>
          <w:color w:val="auto"/>
        </w:rPr>
      </w:pPr>
    </w:p>
    <w:p>
      <w:pPr>
        <w:ind w:left="1660" w:hanging="775"/>
        <w:spacing w:after="0"/>
        <w:tabs>
          <w:tab w:leader="none" w:pos="1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REATION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NTEREST</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1755"/>
        <w:spacing w:after="0" w:line="277" w:lineRule="auto"/>
        <w:rPr>
          <w:sz w:val="20"/>
          <w:szCs w:val="20"/>
          <w:color w:val="auto"/>
        </w:rPr>
      </w:pPr>
      <w:r>
        <w:rPr>
          <w:rFonts w:ascii="Arial" w:cs="Arial" w:eastAsia="Arial" w:hAnsi="Arial"/>
          <w:sz w:val="17"/>
          <w:szCs w:val="17"/>
          <w:b w:val="1"/>
          <w:bCs w:val="1"/>
          <w:color w:val="auto"/>
        </w:rPr>
        <w:t>4.1 Grant of Security Interest</w:t>
      </w:r>
      <w:r>
        <w:rPr>
          <w:rFonts w:ascii="Arial" w:cs="Arial" w:eastAsia="Arial" w:hAnsi="Arial"/>
          <w:sz w:val="17"/>
          <w:szCs w:val="17"/>
          <w:color w:val="auto"/>
        </w:rPr>
        <w:t>. Borrower grants and pledges to Bank a continuing security interest in all presently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and hereafter acquired or arising Collateral in order to secure prompt repayment of any and all Obligations and in order to secure prompt performance by Borrower of each of its covenants and duties under the Loan Documents. Except as set forth in the Perfection Certificate, and except for Permitted Liens which have priority over the Liens in favor of Bank, such security interest constitutes a valid, first priority security interest in the presently existing Collateral, and will constitute a valid, first priority security interest in Collateral acquired after the date hereof.</w:t>
      </w:r>
    </w:p>
    <w:p>
      <w:pPr>
        <w:spacing w:after="0" w:line="168"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17"/>
          <w:szCs w:val="17"/>
          <w:b w:val="1"/>
          <w:bCs w:val="1"/>
          <w:color w:val="auto"/>
        </w:rPr>
        <w:t>4.2 Delivery of Additional Documentation Required</w:t>
      </w:r>
      <w:r>
        <w:rPr>
          <w:rFonts w:ascii="Arial" w:cs="Arial" w:eastAsia="Arial" w:hAnsi="Arial"/>
          <w:sz w:val="17"/>
          <w:szCs w:val="17"/>
          <w:color w:val="auto"/>
        </w:rPr>
        <w:t>. Borrower shall from time to time execute and deliver to Bank, at the</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reasonable request of Bank, all Negotiable Collateral, all financing statements and other documents that Bank may reasonably request, in form reasonably satisfactory to Bank, to perfect and continue the perfection of Bank’s security interests in the Collateral and in order to fully consummate all of the transactions contemplated under the Loan Documents. Borrower from time to time may deposit with Bank specific time deposit accounts to secure specific Obligations, and Borrower authorizes Bank to hold such deposits in pledge and to decline to honor any drafts thereon or any request by Borrower or any other Person to pay or otherwise transfer any part of such balances for so long as such specific Obligations are outstanding.</w:t>
      </w:r>
    </w:p>
    <w:p>
      <w:pPr>
        <w:spacing w:after="0" w:line="174" w:lineRule="exact"/>
        <w:rPr>
          <w:sz w:val="20"/>
          <w:szCs w:val="20"/>
          <w:color w:val="auto"/>
        </w:rPr>
      </w:pPr>
    </w:p>
    <w:p>
      <w:pPr>
        <w:jc w:val="both"/>
        <w:ind w:firstLine="1755"/>
        <w:spacing w:after="0" w:line="261" w:lineRule="auto"/>
        <w:rPr>
          <w:sz w:val="20"/>
          <w:szCs w:val="20"/>
          <w:color w:val="auto"/>
        </w:rPr>
      </w:pPr>
      <w:r>
        <w:rPr>
          <w:rFonts w:ascii="Arial" w:cs="Arial" w:eastAsia="Arial" w:hAnsi="Arial"/>
          <w:sz w:val="18"/>
          <w:szCs w:val="18"/>
          <w:b w:val="1"/>
          <w:bCs w:val="1"/>
          <w:color w:val="auto"/>
        </w:rPr>
        <w:t>4.3 Right to Inspect</w:t>
      </w:r>
      <w:r>
        <w:rPr>
          <w:rFonts w:ascii="Arial" w:cs="Arial" w:eastAsia="Arial" w:hAnsi="Arial"/>
          <w:sz w:val="18"/>
          <w:szCs w:val="18"/>
          <w:color w:val="auto"/>
        </w:rPr>
        <w:t>. Bank (through any of its officers, employees, or agents) shall have the right, upon reasonable prior</w:t>
      </w:r>
      <w:r>
        <w:rPr>
          <w:rFonts w:ascii="Arial" w:cs="Arial" w:eastAsia="Arial" w:hAnsi="Arial"/>
          <w:sz w:val="18"/>
          <w:szCs w:val="18"/>
          <w:b w:val="1"/>
          <w:bCs w:val="1"/>
          <w:color w:val="auto"/>
        </w:rPr>
        <w:t xml:space="preserve"> </w:t>
      </w:r>
      <w:r>
        <w:rPr>
          <w:rFonts w:ascii="Arial" w:cs="Arial" w:eastAsia="Arial" w:hAnsi="Arial"/>
          <w:sz w:val="18"/>
          <w:szCs w:val="18"/>
          <w:color w:val="auto"/>
        </w:rPr>
        <w:t>notice, from time to time during Borrower’s usual business hours but no more than once a year (unless an Event of Default has occurred and is continuing), to inspect Borrower’s Books and to make copies thereof and to check, test and appraise the Collateral in order to verify Borrower’s financial condition or the amount, condition of, or any other matter relating to, the Collateral.</w:t>
      </w:r>
    </w:p>
    <w:p>
      <w:pPr>
        <w:spacing w:after="0" w:line="180"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18"/>
          <w:szCs w:val="18"/>
          <w:b w:val="1"/>
          <w:bCs w:val="1"/>
          <w:color w:val="auto"/>
        </w:rPr>
        <w:t xml:space="preserve">4.4 Pledge of Collateral. </w:t>
      </w:r>
      <w:r>
        <w:rPr>
          <w:rFonts w:ascii="Arial" w:cs="Arial" w:eastAsia="Arial" w:hAnsi="Arial"/>
          <w:sz w:val="18"/>
          <w:szCs w:val="18"/>
          <w:color w:val="auto"/>
        </w:rPr>
        <w:t>Borrower hereby pledges, assigns and grants to Bank a security interest in all the Shares,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On the Closing Date, or, to the extent not certificated as of the Closing Date, within ten (10) days of the certification of any Shares, the certificate or certificates for the Shares will be delivered to Bank, accompanied by an instrument of assignment duly executed in blank by Borrower. To the extent required by the terms and conditions governing the Shares, Borrower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 w:name="page21"/>
    <w:bookmarkEnd w:id="20"/>
    <w:p>
      <w:pPr>
        <w:jc w:val="both"/>
        <w:spacing w:after="0" w:line="288" w:lineRule="auto"/>
        <w:rPr>
          <w:sz w:val="20"/>
          <w:szCs w:val="20"/>
          <w:color w:val="auto"/>
        </w:rPr>
      </w:pPr>
      <w:r>
        <w:rPr>
          <w:rFonts w:ascii="Arial" w:cs="Arial" w:eastAsia="Arial" w:hAnsi="Arial"/>
          <w:sz w:val="16"/>
          <w:szCs w:val="16"/>
          <w:color w:val="auto"/>
        </w:rPr>
        <w:t>shall cause the books of each entity whose Shares are part of the Collateral and any transfer agent to reflect the pledge of the Shares. Upon the occurrence and during the continuance of an Event of Default hereunder, Bank may effect the transfer of any securities included in the Collateral (including but not limited to the Shares) into the name of Bank and cause new (as applicable) certificates representing such securities to be issued in the name of Bank or its transferee. Borrower will execute and deliver such documents, and take or cause to be taken such actions, as Bank may reasonably request to perfect or continue the perfection of Bank’s security interest in the Shares. Unless an Event of Default shall have occurred and be continuing, Borrower shall be entitled to exercise any voting rights with respect to the Shares and to give consents, waivers and ratifications in respect thereof, provided that no vote shall be cast or consent, waiver or ratification given or action taken which would be inconsistent with any of the terms of this Agreement or which would constitute or create any violation of any of such terms. All such rights to vote and give consents, waivers and ratifications shall terminate upon the occurrence and continuance of an Event of Default. Bank reserves the right to take such steps in any jurisdiction of organization of any Foreign Subsidiary to perfect and maintain the perfection of any security interest granted with respect to the Shares (and any assets, as applicable) of any Foreign Subsidiary.</w:t>
      </w:r>
    </w:p>
    <w:p>
      <w:pPr>
        <w:spacing w:after="0" w:line="165" w:lineRule="exact"/>
        <w:rPr>
          <w:sz w:val="20"/>
          <w:szCs w:val="20"/>
          <w:color w:val="auto"/>
        </w:rPr>
      </w:pPr>
    </w:p>
    <w:p>
      <w:pPr>
        <w:ind w:left="1660" w:hanging="775"/>
        <w:spacing w:after="0"/>
        <w:tabs>
          <w:tab w:leader="none" w:pos="1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ARRANTIES</w:t>
      </w:r>
      <w:r>
        <w:rPr>
          <w:rFonts w:ascii="Arial" w:cs="Arial" w:eastAsia="Arial" w:hAnsi="Arial"/>
          <w:sz w:val="18"/>
          <w:szCs w:val="18"/>
          <w:b w:val="1"/>
          <w:bCs w:val="1"/>
          <w:color w:val="auto"/>
        </w:rPr>
        <w: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Borrower represents and warrants as follows:</w:t>
      </w:r>
    </w:p>
    <w:p>
      <w:pPr>
        <w:spacing w:after="0" w:line="221" w:lineRule="exact"/>
        <w:rPr>
          <w:sz w:val="20"/>
          <w:szCs w:val="20"/>
          <w:color w:val="auto"/>
        </w:rPr>
      </w:pPr>
    </w:p>
    <w:p>
      <w:pPr>
        <w:jc w:val="both"/>
        <w:ind w:firstLine="1755"/>
        <w:spacing w:after="0" w:line="289" w:lineRule="auto"/>
        <w:rPr>
          <w:sz w:val="20"/>
          <w:szCs w:val="20"/>
          <w:color w:val="auto"/>
        </w:rPr>
      </w:pPr>
      <w:r>
        <w:rPr>
          <w:rFonts w:ascii="Arial" w:cs="Arial" w:eastAsia="Arial" w:hAnsi="Arial"/>
          <w:sz w:val="17"/>
          <w:szCs w:val="17"/>
          <w:b w:val="1"/>
          <w:bCs w:val="1"/>
          <w:color w:val="auto"/>
        </w:rPr>
        <w:t>5.1 Due Organization and Qualification</w:t>
      </w:r>
      <w:r>
        <w:rPr>
          <w:rFonts w:ascii="Arial" w:cs="Arial" w:eastAsia="Arial" w:hAnsi="Arial"/>
          <w:sz w:val="17"/>
          <w:szCs w:val="17"/>
          <w:color w:val="auto"/>
        </w:rPr>
        <w:t>. Borrower and each Subsidiary is a corporation duly existing under the laws of its</w:t>
      </w:r>
      <w:r>
        <w:rPr>
          <w:rFonts w:ascii="Arial" w:cs="Arial" w:eastAsia="Arial" w:hAnsi="Arial"/>
          <w:sz w:val="17"/>
          <w:szCs w:val="17"/>
          <w:b w:val="1"/>
          <w:bCs w:val="1"/>
          <w:color w:val="auto"/>
        </w:rPr>
        <w:t xml:space="preserve"> </w:t>
      </w:r>
      <w:r>
        <w:rPr>
          <w:rFonts w:ascii="Arial" w:cs="Arial" w:eastAsia="Arial" w:hAnsi="Arial"/>
          <w:sz w:val="17"/>
          <w:szCs w:val="17"/>
          <w:color w:val="auto"/>
        </w:rPr>
        <w:t>state of incorporation and qualified and licensed to do business in any state in which the conduct of its business or its ownership of property requires that it be so qualified, unless the failure to so qualify or be licensed could not reasonably be expected to have a Material Adverse Effect.</w:t>
      </w:r>
    </w:p>
    <w:p>
      <w:pPr>
        <w:spacing w:after="0" w:line="158" w:lineRule="exact"/>
        <w:rPr>
          <w:sz w:val="20"/>
          <w:szCs w:val="20"/>
          <w:color w:val="auto"/>
        </w:rPr>
      </w:pPr>
    </w:p>
    <w:p>
      <w:pPr>
        <w:jc w:val="both"/>
        <w:ind w:firstLine="1755"/>
        <w:spacing w:after="0" w:line="258" w:lineRule="auto"/>
        <w:rPr>
          <w:sz w:val="20"/>
          <w:szCs w:val="20"/>
          <w:color w:val="auto"/>
        </w:rPr>
      </w:pPr>
      <w:r>
        <w:rPr>
          <w:rFonts w:ascii="Arial" w:cs="Arial" w:eastAsia="Arial" w:hAnsi="Arial"/>
          <w:sz w:val="18"/>
          <w:szCs w:val="18"/>
          <w:b w:val="1"/>
          <w:bCs w:val="1"/>
          <w:color w:val="auto"/>
        </w:rPr>
        <w:t>5.2 Due Authorization; No Conflict</w:t>
      </w:r>
      <w:r>
        <w:rPr>
          <w:rFonts w:ascii="Arial" w:cs="Arial" w:eastAsia="Arial" w:hAnsi="Arial"/>
          <w:sz w:val="18"/>
          <w:szCs w:val="18"/>
          <w:color w:val="auto"/>
        </w:rPr>
        <w:t>. The execution, delivery, and performance of the Loan Documents are within</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powers, have been duly authorized, and are not in conflict with nor constitute a breach of any provision contained in Borrower’s Articles of Incorporation or Bylaws, nor will they constitute an event of default under any material agreement to which Borrower is a party or by which Borrower is bound. Borrower is not in default under any material agreement to which it is a party or by which it is bound, other than defaults that could not reasonably be expected to have a Material Adverse Effect.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320" w:type="dxa"/>
            <w:vAlign w:val="bottom"/>
          </w:tcPr>
          <w:p>
            <w:pPr>
              <w:jc w:val="right"/>
              <w:ind w:right="250"/>
              <w:spacing w:after="0"/>
              <w:rPr>
                <w:sz w:val="20"/>
                <w:szCs w:val="20"/>
                <w:color w:val="auto"/>
              </w:rPr>
            </w:pPr>
            <w:r>
              <w:rPr>
                <w:rFonts w:ascii="Arial" w:cs="Arial" w:eastAsia="Arial" w:hAnsi="Arial"/>
                <w:sz w:val="18"/>
                <w:szCs w:val="18"/>
                <w:b w:val="1"/>
                <w:bCs w:val="1"/>
                <w:color w:val="auto"/>
              </w:rPr>
              <w:t>5.3</w:t>
            </w:r>
          </w:p>
        </w:tc>
        <w:tc>
          <w:tcPr>
            <w:tcW w:w="9100" w:type="dxa"/>
            <w:vAlign w:val="bottom"/>
          </w:tcPr>
          <w:p>
            <w:pPr>
              <w:ind w:left="320"/>
              <w:spacing w:after="0"/>
              <w:rPr>
                <w:sz w:val="20"/>
                <w:szCs w:val="20"/>
                <w:color w:val="auto"/>
              </w:rPr>
            </w:pPr>
            <w:r>
              <w:rPr>
                <w:rFonts w:ascii="Arial" w:cs="Arial" w:eastAsia="Arial" w:hAnsi="Arial"/>
                <w:sz w:val="18"/>
                <w:szCs w:val="18"/>
                <w:b w:val="1"/>
                <w:bCs w:val="1"/>
                <w:color w:val="auto"/>
                <w:w w:val="94"/>
              </w:rPr>
              <w:t>No Prior Encumbrances</w:t>
            </w:r>
            <w:r>
              <w:rPr>
                <w:rFonts w:ascii="Arial" w:cs="Arial" w:eastAsia="Arial" w:hAnsi="Arial"/>
                <w:sz w:val="18"/>
                <w:szCs w:val="18"/>
                <w:color w:val="auto"/>
                <w:w w:val="94"/>
              </w:rPr>
              <w:t>.  Borrower has good and marketable title to its property, free and clear of Liens, except for</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Permitted Liens.</w:t>
            </w:r>
          </w:p>
        </w:tc>
        <w:tc>
          <w:tcPr>
            <w:tcW w:w="9100" w:type="dxa"/>
            <w:vAlign w:val="bottom"/>
          </w:tcPr>
          <w:p>
            <w:pPr>
              <w:spacing w:after="0"/>
              <w:rPr>
                <w:sz w:val="20"/>
                <w:szCs w:val="20"/>
                <w:color w:val="auto"/>
              </w:rPr>
            </w:pPr>
          </w:p>
        </w:tc>
      </w:tr>
      <w:tr>
        <w:trPr>
          <w:trHeight w:val="432"/>
        </w:trPr>
        <w:tc>
          <w:tcPr>
            <w:tcW w:w="2320" w:type="dxa"/>
            <w:vAlign w:val="bottom"/>
          </w:tcPr>
          <w:p>
            <w:pPr>
              <w:jc w:val="right"/>
              <w:ind w:right="250"/>
              <w:spacing w:after="0"/>
              <w:rPr>
                <w:sz w:val="20"/>
                <w:szCs w:val="20"/>
                <w:color w:val="auto"/>
              </w:rPr>
            </w:pPr>
            <w:r>
              <w:rPr>
                <w:rFonts w:ascii="Arial" w:cs="Arial" w:eastAsia="Arial" w:hAnsi="Arial"/>
                <w:sz w:val="18"/>
                <w:szCs w:val="18"/>
                <w:b w:val="1"/>
                <w:bCs w:val="1"/>
                <w:color w:val="auto"/>
              </w:rPr>
              <w:t>5.4</w:t>
            </w:r>
          </w:p>
        </w:tc>
        <w:tc>
          <w:tcPr>
            <w:tcW w:w="9100" w:type="dxa"/>
            <w:vAlign w:val="bottom"/>
          </w:tcPr>
          <w:p>
            <w:pPr>
              <w:ind w:left="320"/>
              <w:spacing w:after="0"/>
              <w:rPr>
                <w:sz w:val="20"/>
                <w:szCs w:val="20"/>
                <w:color w:val="auto"/>
              </w:rPr>
            </w:pPr>
            <w:r>
              <w:rPr>
                <w:rFonts w:ascii="Arial" w:cs="Arial" w:eastAsia="Arial" w:hAnsi="Arial"/>
                <w:sz w:val="18"/>
                <w:szCs w:val="18"/>
                <w:b w:val="1"/>
                <w:bCs w:val="1"/>
                <w:color w:val="auto"/>
              </w:rPr>
              <w:t>[Reserved.]</w:t>
            </w:r>
          </w:p>
        </w:tc>
      </w:tr>
      <w:tr>
        <w:trPr>
          <w:trHeight w:val="418"/>
        </w:trPr>
        <w:tc>
          <w:tcPr>
            <w:tcW w:w="2320" w:type="dxa"/>
            <w:vAlign w:val="bottom"/>
          </w:tcPr>
          <w:p>
            <w:pPr>
              <w:jc w:val="right"/>
              <w:ind w:right="250"/>
              <w:spacing w:after="0"/>
              <w:rPr>
                <w:sz w:val="20"/>
                <w:szCs w:val="20"/>
                <w:color w:val="auto"/>
              </w:rPr>
            </w:pPr>
            <w:r>
              <w:rPr>
                <w:rFonts w:ascii="Arial" w:cs="Arial" w:eastAsia="Arial" w:hAnsi="Arial"/>
                <w:sz w:val="18"/>
                <w:szCs w:val="18"/>
                <w:b w:val="1"/>
                <w:bCs w:val="1"/>
                <w:color w:val="auto"/>
              </w:rPr>
              <w:t>5.5</w:t>
            </w:r>
          </w:p>
        </w:tc>
        <w:tc>
          <w:tcPr>
            <w:tcW w:w="9100" w:type="dxa"/>
            <w:vAlign w:val="bottom"/>
          </w:tcPr>
          <w:p>
            <w:pPr>
              <w:ind w:left="320"/>
              <w:spacing w:after="0"/>
              <w:rPr>
                <w:sz w:val="20"/>
                <w:szCs w:val="20"/>
                <w:color w:val="auto"/>
              </w:rPr>
            </w:pPr>
            <w:r>
              <w:rPr>
                <w:rFonts w:ascii="Arial" w:cs="Arial" w:eastAsia="Arial" w:hAnsi="Arial"/>
                <w:sz w:val="18"/>
                <w:szCs w:val="18"/>
                <w:b w:val="1"/>
                <w:bCs w:val="1"/>
                <w:color w:val="auto"/>
                <w:w w:val="93"/>
              </w:rPr>
              <w:t>Merchantable Inventory</w:t>
            </w:r>
            <w:r>
              <w:rPr>
                <w:rFonts w:ascii="Arial" w:cs="Arial" w:eastAsia="Arial" w:hAnsi="Arial"/>
                <w:sz w:val="18"/>
                <w:szCs w:val="18"/>
                <w:color w:val="auto"/>
                <w:w w:val="93"/>
              </w:rPr>
              <w:t>. All Inventory is in all material respects of good and marketable quality, free from all material</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defects, except for Inventory for which adequate reserves have been made.</w:t>
            </w:r>
          </w:p>
        </w:tc>
      </w:tr>
      <w:tr>
        <w:trPr>
          <w:trHeight w:val="432"/>
        </w:trPr>
        <w:tc>
          <w:tcPr>
            <w:tcW w:w="2320" w:type="dxa"/>
            <w:vAlign w:val="bottom"/>
          </w:tcPr>
          <w:p>
            <w:pPr>
              <w:jc w:val="right"/>
              <w:ind w:right="250"/>
              <w:spacing w:after="0"/>
              <w:rPr>
                <w:sz w:val="20"/>
                <w:szCs w:val="20"/>
                <w:color w:val="auto"/>
              </w:rPr>
            </w:pPr>
            <w:r>
              <w:rPr>
                <w:rFonts w:ascii="Arial" w:cs="Arial" w:eastAsia="Arial" w:hAnsi="Arial"/>
                <w:sz w:val="18"/>
                <w:szCs w:val="18"/>
                <w:b w:val="1"/>
                <w:bCs w:val="1"/>
                <w:color w:val="auto"/>
              </w:rPr>
              <w:t>5.6</w:t>
            </w:r>
          </w:p>
        </w:tc>
        <w:tc>
          <w:tcPr>
            <w:tcW w:w="9100" w:type="dxa"/>
            <w:vAlign w:val="bottom"/>
          </w:tcPr>
          <w:p>
            <w:pPr>
              <w:ind w:left="320"/>
              <w:spacing w:after="0"/>
              <w:rPr>
                <w:sz w:val="20"/>
                <w:szCs w:val="20"/>
                <w:color w:val="auto"/>
              </w:rPr>
            </w:pPr>
            <w:r>
              <w:rPr>
                <w:rFonts w:ascii="Arial" w:cs="Arial" w:eastAsia="Arial" w:hAnsi="Arial"/>
                <w:sz w:val="18"/>
                <w:szCs w:val="18"/>
                <w:b w:val="1"/>
                <w:bCs w:val="1"/>
                <w:color w:val="auto"/>
                <w:w w:val="92"/>
              </w:rPr>
              <w:t>Intellectual Property</w:t>
            </w:r>
            <w:r>
              <w:rPr>
                <w:rFonts w:ascii="Arial" w:cs="Arial" w:eastAsia="Arial" w:hAnsi="Arial"/>
                <w:sz w:val="18"/>
                <w:szCs w:val="18"/>
                <w:color w:val="auto"/>
                <w:w w:val="92"/>
              </w:rPr>
              <w:t>. Borrower is the sole owner of the Intellectual Property, except for non-exclusive licenses granted</w:t>
            </w:r>
          </w:p>
        </w:tc>
      </w:tr>
    </w:tbl>
    <w:p>
      <w:pPr>
        <w:jc w:val="both"/>
        <w:spacing w:after="0" w:line="253" w:lineRule="auto"/>
        <w:rPr>
          <w:sz w:val="20"/>
          <w:szCs w:val="20"/>
          <w:color w:val="auto"/>
        </w:rPr>
      </w:pPr>
      <w:r>
        <w:rPr>
          <w:rFonts w:ascii="Arial" w:cs="Arial" w:eastAsia="Arial" w:hAnsi="Arial"/>
          <w:sz w:val="18"/>
          <w:szCs w:val="18"/>
          <w:color w:val="auto"/>
        </w:rPr>
        <w:t>by Borrower to its customers in the ordinary course of business, and except for Permitted Licenses. Each of the Patents is valid and enforceable, and no part of the Intellectual Property has been judged invalid or unenforceable, in whole or in part, and, to Borrower’s knowledge, no claim has been made that any part of the Intellectual Property violates the rights of any third party. Except as set forth in the Perfection Certificate and except as otherwise permitted under Section 7.5, Borrower is not a party to, or bound by, any agreement that restricts the grant by Borrower of a security interest in Borrower’s rights under such agreement.</w:t>
      </w:r>
    </w:p>
    <w:p>
      <w:pPr>
        <w:spacing w:after="0" w:line="187" w:lineRule="exact"/>
        <w:rPr>
          <w:sz w:val="20"/>
          <w:szCs w:val="20"/>
          <w:color w:val="auto"/>
        </w:rPr>
      </w:pPr>
    </w:p>
    <w:p>
      <w:pPr>
        <w:jc w:val="both"/>
        <w:ind w:firstLine="1755"/>
        <w:spacing w:after="0" w:line="261" w:lineRule="auto"/>
        <w:rPr>
          <w:sz w:val="20"/>
          <w:szCs w:val="20"/>
          <w:color w:val="auto"/>
        </w:rPr>
      </w:pPr>
      <w:r>
        <w:rPr>
          <w:rFonts w:ascii="Arial" w:cs="Arial" w:eastAsia="Arial" w:hAnsi="Arial"/>
          <w:sz w:val="18"/>
          <w:szCs w:val="18"/>
          <w:b w:val="1"/>
          <w:bCs w:val="1"/>
          <w:color w:val="auto"/>
        </w:rPr>
        <w:t>5.7 Name; Location of Chief Executive Office</w:t>
      </w:r>
      <w:r>
        <w:rPr>
          <w:rFonts w:ascii="Arial" w:cs="Arial" w:eastAsia="Arial" w:hAnsi="Arial"/>
          <w:sz w:val="18"/>
          <w:szCs w:val="18"/>
          <w:color w:val="auto"/>
        </w:rPr>
        <w:t>. Except as disclosed in the Perfection Certificate, Borrower has not done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under any name other than that specified on the signature page hereof as of the Closing Date. The chief executive office of Borrower is located at the address indicated in Section 10 hereof as of the Closing Date. All Borrower’s Inventory and Equipment is located only at the location set forth in Section 10 hereof as of the Closing Date.</w:t>
      </w:r>
    </w:p>
    <w:p>
      <w:pPr>
        <w:spacing w:after="0" w:line="180" w:lineRule="exact"/>
        <w:rPr>
          <w:sz w:val="20"/>
          <w:szCs w:val="20"/>
          <w:color w:val="auto"/>
        </w:rPr>
      </w:pPr>
    </w:p>
    <w:p>
      <w:pPr>
        <w:jc w:val="both"/>
        <w:ind w:firstLine="1755"/>
        <w:spacing w:after="0" w:line="282" w:lineRule="auto"/>
        <w:rPr>
          <w:sz w:val="20"/>
          <w:szCs w:val="20"/>
          <w:color w:val="auto"/>
        </w:rPr>
      </w:pPr>
      <w:r>
        <w:rPr>
          <w:rFonts w:ascii="Arial" w:cs="Arial" w:eastAsia="Arial" w:hAnsi="Arial"/>
          <w:sz w:val="18"/>
          <w:szCs w:val="18"/>
          <w:b w:val="1"/>
          <w:bCs w:val="1"/>
          <w:color w:val="auto"/>
        </w:rPr>
        <w:t>5.8 Litigation</w:t>
      </w:r>
      <w:r>
        <w:rPr>
          <w:rFonts w:ascii="Arial" w:cs="Arial" w:eastAsia="Arial" w:hAnsi="Arial"/>
          <w:sz w:val="18"/>
          <w:szCs w:val="18"/>
          <w:color w:val="auto"/>
        </w:rPr>
        <w:t>. There are no actions or proceedings pending by or against Borrower or any Subsidiary before any court or</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agency in which an adverse decision could reasonably be expected to have a Material Adverse Effect.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jc w:val="both"/>
        <w:ind w:firstLine="1755"/>
        <w:spacing w:after="0" w:line="258" w:lineRule="auto"/>
        <w:rPr>
          <w:sz w:val="20"/>
          <w:szCs w:val="20"/>
          <w:color w:val="auto"/>
        </w:rPr>
      </w:pPr>
      <w:r>
        <w:rPr>
          <w:rFonts w:ascii="Arial" w:cs="Arial" w:eastAsia="Arial" w:hAnsi="Arial"/>
          <w:sz w:val="18"/>
          <w:szCs w:val="18"/>
          <w:b w:val="1"/>
          <w:bCs w:val="1"/>
          <w:color w:val="auto"/>
        </w:rPr>
        <w:t>5.9 No Material Adverse Change in Financial Statements</w:t>
      </w:r>
      <w:r>
        <w:rPr>
          <w:rFonts w:ascii="Arial" w:cs="Arial" w:eastAsia="Arial" w:hAnsi="Arial"/>
          <w:sz w:val="18"/>
          <w:szCs w:val="18"/>
          <w:color w:val="auto"/>
        </w:rPr>
        <w:t>. All consolidated and consolidating (as applicable)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related to Borrower and any Subsidiary that Bank has received from Borrower fairly present in all material respects Borrower’s financial condition as of the date thereof and Borrower’s consolidated and consolidating (as applicable) results of operations for the period then ended. There has not been a material adverse change in the consolidated or the consolidating (as applicable) financial condition of Borrower since the date of the most recent of such financial statements submitted to Bank.</w:t>
      </w:r>
    </w:p>
    <w:p>
      <w:pPr>
        <w:spacing w:after="0" w:line="184" w:lineRule="exact"/>
        <w:rPr>
          <w:sz w:val="20"/>
          <w:szCs w:val="20"/>
          <w:color w:val="auto"/>
        </w:rPr>
      </w:pPr>
    </w:p>
    <w:p>
      <w:pPr>
        <w:jc w:val="both"/>
        <w:ind w:firstLine="1755"/>
        <w:spacing w:after="0" w:line="282" w:lineRule="auto"/>
        <w:rPr>
          <w:sz w:val="20"/>
          <w:szCs w:val="20"/>
          <w:color w:val="auto"/>
        </w:rPr>
      </w:pPr>
      <w:r>
        <w:rPr>
          <w:rFonts w:ascii="Arial" w:cs="Arial" w:eastAsia="Arial" w:hAnsi="Arial"/>
          <w:sz w:val="18"/>
          <w:szCs w:val="18"/>
          <w:b w:val="1"/>
          <w:bCs w:val="1"/>
          <w:color w:val="auto"/>
        </w:rPr>
        <w:t>5.10 Solvency, Payment of Debts</w:t>
      </w:r>
      <w:r>
        <w:rPr>
          <w:rFonts w:ascii="Arial" w:cs="Arial" w:eastAsia="Arial" w:hAnsi="Arial"/>
          <w:sz w:val="18"/>
          <w:szCs w:val="18"/>
          <w:color w:val="auto"/>
        </w:rPr>
        <w:t>. After giving effect to the consummation of the transactions contemplated hereby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Closing Date, Borrower is Solvent.</w:t>
      </w:r>
    </w:p>
    <w:p>
      <w:pPr>
        <w:spacing w:after="0" w:line="162" w:lineRule="exact"/>
        <w:rPr>
          <w:sz w:val="20"/>
          <w:szCs w:val="20"/>
          <w:color w:val="auto"/>
        </w:rPr>
      </w:pPr>
    </w:p>
    <w:p>
      <w:pPr>
        <w:jc w:val="both"/>
        <w:ind w:firstLine="1755"/>
        <w:spacing w:after="0" w:line="255" w:lineRule="auto"/>
        <w:rPr>
          <w:sz w:val="20"/>
          <w:szCs w:val="20"/>
          <w:color w:val="auto"/>
        </w:rPr>
      </w:pPr>
      <w:r>
        <w:rPr>
          <w:rFonts w:ascii="Arial" w:cs="Arial" w:eastAsia="Arial" w:hAnsi="Arial"/>
          <w:sz w:val="18"/>
          <w:szCs w:val="18"/>
          <w:b w:val="1"/>
          <w:bCs w:val="1"/>
          <w:color w:val="auto"/>
        </w:rPr>
        <w:t>5.11 Regulatory Compliance</w:t>
      </w:r>
      <w:r>
        <w:rPr>
          <w:rFonts w:ascii="Arial" w:cs="Arial" w:eastAsia="Arial" w:hAnsi="Arial"/>
          <w:sz w:val="18"/>
          <w:szCs w:val="18"/>
          <w:color w:val="auto"/>
        </w:rPr>
        <w:t>. Borrower and each Subsidiary have met the minimum funding requirements of ERISA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any employee benefit plans subject to ERISA in all material respects, and no event has occurred resulting from Borrower's failure to comply with ERISA that could result in Borrower's incurring any material liability. Borrower is not an "investment company" or a company "controlled" by an "investment company" within the meaning of the Investment Company Act of 1940. Borrower is not engaged principally, or as one of the important activities, in the business of extending credit for the purpose of purchasing or carrying margin stock (within the meaning of Regulations T and U of the Board of Governors of the Federal Reserve System). Borrower has complied with all the provisions of the Federal Fair Labor Standards Act in all material respects. Borrower has not violated any statutes, laws, ordinances or rules applicable to it, violation of which could reasonably be expected to have a Material Adverse Effect.</w:t>
      </w:r>
    </w:p>
    <w:p>
      <w:pPr>
        <w:spacing w:after="0" w:line="189" w:lineRule="exact"/>
        <w:rPr>
          <w:sz w:val="20"/>
          <w:szCs w:val="20"/>
          <w:color w:val="auto"/>
        </w:rPr>
      </w:pPr>
    </w:p>
    <w:p>
      <w:pPr>
        <w:jc w:val="both"/>
        <w:ind w:firstLine="877"/>
        <w:spacing w:after="0" w:line="291" w:lineRule="auto"/>
        <w:rPr>
          <w:sz w:val="20"/>
          <w:szCs w:val="20"/>
          <w:color w:val="auto"/>
        </w:rPr>
      </w:pPr>
      <w:r>
        <w:rPr>
          <w:rFonts w:ascii="Arial" w:cs="Arial" w:eastAsia="Arial" w:hAnsi="Arial"/>
          <w:sz w:val="16"/>
          <w:szCs w:val="16"/>
          <w:color w:val="auto"/>
        </w:rPr>
        <w:t>None of Borrower, any of its Subsidiaries, or, to Borrower's knowledge, any of Borrower's or its Subsidiaries' Affiliates or any of their respective agents acting or benefiting in any capacity in connection with the transactions contemplated by this Agreement, is (i) in violation of any Anti-Terrorism Law,</w:t>
      </w:r>
    </w:p>
    <w:p>
      <w:pPr>
        <w:jc w:val="both"/>
        <w:ind w:firstLine="8"/>
        <w:spacing w:after="0" w:line="252" w:lineRule="auto"/>
        <w:tabs>
          <w:tab w:leader="none" w:pos="2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w:t>
      </w:r>
    </w:p>
    <w:p>
      <w:pPr>
        <w:spacing w:after="0" w:line="190" w:lineRule="exact"/>
        <w:rPr>
          <w:sz w:val="20"/>
          <w:szCs w:val="20"/>
          <w:color w:val="auto"/>
        </w:rPr>
      </w:pPr>
    </w:p>
    <w:p>
      <w:pPr>
        <w:jc w:val="both"/>
        <w:ind w:firstLine="1755"/>
        <w:spacing w:after="0" w:line="254" w:lineRule="auto"/>
        <w:rPr>
          <w:sz w:val="20"/>
          <w:szCs w:val="20"/>
          <w:color w:val="auto"/>
        </w:rPr>
      </w:pPr>
      <w:r>
        <w:rPr>
          <w:rFonts w:ascii="Arial" w:cs="Arial" w:eastAsia="Arial" w:hAnsi="Arial"/>
          <w:sz w:val="18"/>
          <w:szCs w:val="18"/>
          <w:b w:val="1"/>
          <w:bCs w:val="1"/>
          <w:color w:val="auto"/>
        </w:rPr>
        <w:t>5.12 Environmental Condition</w:t>
      </w:r>
      <w:r>
        <w:rPr>
          <w:rFonts w:ascii="Arial" w:cs="Arial" w:eastAsia="Arial" w:hAnsi="Arial"/>
          <w:sz w:val="18"/>
          <w:szCs w:val="18"/>
          <w:color w:val="auto"/>
        </w:rPr>
        <w:t>. Except as could not reasonably be expected to have a Material Adverse Effect: none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or any Subsidiary’s properties or assets has ever been used by Borrower or any Subsidiary in the disposal of, or to produce, store, handle, treat, release, or transport, any hazardous waste or hazardous substance other than in accordance with applicable law; to Borrower’s knowledge, none of Borrower’s properties or assets has ever been designated or identified in any manner pursuant to any environmental protection statute as a hazardous waste or hazardous substance disposal site, or a candidate for closure pursuant to any environmental protection statute; no lien arising under any environmental protection statute has attached to any revenues or to any real or personal property owned by Borrower or any Subsidiary; and neither Borrower nor any Subsidiary has received a summons, citation, notice, or directive from the Environmental Protection Agency or any other federal, state or other governmental agency concerning any action or omission by Borrower or any Subsidiary resulting in the releasing, or otherwise disposing of hazardous waste or hazardous substances into the environment that.</w:t>
      </w:r>
    </w:p>
    <w:p>
      <w:pPr>
        <w:spacing w:after="0" w:line="189" w:lineRule="exact"/>
        <w:rPr>
          <w:sz w:val="20"/>
          <w:szCs w:val="20"/>
          <w:color w:val="auto"/>
        </w:rPr>
      </w:pPr>
    </w:p>
    <w:p>
      <w:pPr>
        <w:jc w:val="both"/>
        <w:ind w:firstLine="1755"/>
        <w:spacing w:after="0" w:line="266" w:lineRule="auto"/>
        <w:rPr>
          <w:sz w:val="20"/>
          <w:szCs w:val="20"/>
          <w:color w:val="auto"/>
        </w:rPr>
      </w:pPr>
      <w:r>
        <w:rPr>
          <w:rFonts w:ascii="Arial" w:cs="Arial" w:eastAsia="Arial" w:hAnsi="Arial"/>
          <w:sz w:val="18"/>
          <w:szCs w:val="18"/>
          <w:b w:val="1"/>
          <w:bCs w:val="1"/>
          <w:color w:val="auto"/>
        </w:rPr>
        <w:t>5.13 Taxes</w:t>
      </w:r>
      <w:r>
        <w:rPr>
          <w:rFonts w:ascii="Arial" w:cs="Arial" w:eastAsia="Arial" w:hAnsi="Arial"/>
          <w:sz w:val="18"/>
          <w:szCs w:val="18"/>
          <w:color w:val="auto"/>
        </w:rPr>
        <w:t>. Borrower and each Subsidiary have filed or caused to be filed all tax returns required to be filed, and have paid,</w:t>
      </w:r>
      <w:r>
        <w:rPr>
          <w:rFonts w:ascii="Arial" w:cs="Arial" w:eastAsia="Arial" w:hAnsi="Arial"/>
          <w:sz w:val="18"/>
          <w:szCs w:val="18"/>
          <w:b w:val="1"/>
          <w:bCs w:val="1"/>
          <w:color w:val="auto"/>
        </w:rPr>
        <w:t xml:space="preserve"> </w:t>
      </w:r>
      <w:r>
        <w:rPr>
          <w:rFonts w:ascii="Arial" w:cs="Arial" w:eastAsia="Arial" w:hAnsi="Arial"/>
          <w:sz w:val="18"/>
          <w:szCs w:val="18"/>
          <w:color w:val="auto"/>
        </w:rPr>
        <w:t>or have made adequate provision for the payment of, all taxes reflected therein, unless such taxes are being contested in good faith by appropriate proceedings and for which adequate reserves are maintained.</w:t>
      </w:r>
    </w:p>
    <w:p>
      <w:pPr>
        <w:spacing w:after="0" w:line="176" w:lineRule="exact"/>
        <w:rPr>
          <w:sz w:val="20"/>
          <w:szCs w:val="20"/>
          <w:color w:val="auto"/>
        </w:rPr>
      </w:pPr>
    </w:p>
    <w:p>
      <w:pPr>
        <w:ind w:left="1760"/>
        <w:spacing w:after="0"/>
        <w:tabs>
          <w:tab w:leader="none" w:pos="2700" w:val="left"/>
        </w:tabs>
        <w:rPr>
          <w:sz w:val="20"/>
          <w:szCs w:val="20"/>
          <w:color w:val="auto"/>
        </w:rPr>
      </w:pPr>
      <w:r>
        <w:rPr>
          <w:rFonts w:ascii="Arial" w:cs="Arial" w:eastAsia="Arial" w:hAnsi="Arial"/>
          <w:sz w:val="18"/>
          <w:szCs w:val="18"/>
          <w:b w:val="1"/>
          <w:bCs w:val="1"/>
          <w:color w:val="auto"/>
        </w:rPr>
        <w:t>5.14</w:t>
      </w:r>
      <w:r>
        <w:rPr>
          <w:sz w:val="20"/>
          <w:szCs w:val="20"/>
          <w:color w:val="auto"/>
        </w:rPr>
        <w:tab/>
      </w:r>
      <w:r>
        <w:rPr>
          <w:rFonts w:ascii="Arial" w:cs="Arial" w:eastAsia="Arial" w:hAnsi="Arial"/>
          <w:sz w:val="16"/>
          <w:szCs w:val="16"/>
          <w:b w:val="1"/>
          <w:bCs w:val="1"/>
          <w:color w:val="auto"/>
        </w:rPr>
        <w:t>Subsidiaries</w:t>
      </w:r>
      <w:r>
        <w:rPr>
          <w:rFonts w:ascii="Arial" w:cs="Arial" w:eastAsia="Arial" w:hAnsi="Arial"/>
          <w:sz w:val="16"/>
          <w:szCs w:val="16"/>
          <w:color w:val="auto"/>
        </w:rPr>
        <w:t>. Borrower does not own any stock, partnership interest or other equity securities of any Person, except for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Permitted Investments.</w:t>
      </w:r>
    </w:p>
    <w:p>
      <w:pPr>
        <w:spacing w:after="0" w:line="207" w:lineRule="exact"/>
        <w:rPr>
          <w:sz w:val="20"/>
          <w:szCs w:val="20"/>
          <w:color w:val="auto"/>
        </w:rPr>
      </w:pPr>
    </w:p>
    <w:p>
      <w:pPr>
        <w:jc w:val="both"/>
        <w:ind w:firstLine="1755"/>
        <w:spacing w:after="0" w:line="266" w:lineRule="auto"/>
        <w:rPr>
          <w:sz w:val="20"/>
          <w:szCs w:val="20"/>
          <w:color w:val="auto"/>
        </w:rPr>
      </w:pPr>
      <w:r>
        <w:rPr>
          <w:rFonts w:ascii="Arial" w:cs="Arial" w:eastAsia="Arial" w:hAnsi="Arial"/>
          <w:sz w:val="18"/>
          <w:szCs w:val="18"/>
          <w:b w:val="1"/>
          <w:bCs w:val="1"/>
          <w:color w:val="auto"/>
        </w:rPr>
        <w:t>5.15 Government Consents</w:t>
      </w:r>
      <w:r>
        <w:rPr>
          <w:rFonts w:ascii="Arial" w:cs="Arial" w:eastAsia="Arial" w:hAnsi="Arial"/>
          <w:sz w:val="18"/>
          <w:szCs w:val="18"/>
          <w:color w:val="auto"/>
        </w:rPr>
        <w:t>. Borrower and each Subsidiary have obtained all material consents, approvals and</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authorizations of, made all material declarations or filings with, and given all material notices to, all governmental authorities that are necessary for the continued operation of Borrower’s business as currently conducted.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jc w:val="both"/>
        <w:ind w:firstLine="1755"/>
        <w:spacing w:after="0" w:line="282" w:lineRule="auto"/>
        <w:rPr>
          <w:sz w:val="20"/>
          <w:szCs w:val="20"/>
          <w:color w:val="auto"/>
        </w:rPr>
      </w:pPr>
      <w:r>
        <w:rPr>
          <w:rFonts w:ascii="Arial" w:cs="Arial" w:eastAsia="Arial" w:hAnsi="Arial"/>
          <w:sz w:val="18"/>
          <w:szCs w:val="18"/>
          <w:b w:val="1"/>
          <w:bCs w:val="1"/>
          <w:color w:val="auto"/>
        </w:rPr>
        <w:t>5.16 Accounts</w:t>
      </w:r>
      <w:r>
        <w:rPr>
          <w:rFonts w:ascii="Arial" w:cs="Arial" w:eastAsia="Arial" w:hAnsi="Arial"/>
          <w:sz w:val="18"/>
          <w:szCs w:val="18"/>
          <w:color w:val="auto"/>
        </w:rPr>
        <w:t>. Except to the extent permitted under Section 6.7, none of Borrower’s nor any Subsidiary’s cash or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is maintained or invested with a Person other than Bank.</w:t>
      </w:r>
    </w:p>
    <w:p>
      <w:pPr>
        <w:spacing w:after="0" w:line="162" w:lineRule="exact"/>
        <w:rPr>
          <w:sz w:val="20"/>
          <w:szCs w:val="20"/>
          <w:color w:val="auto"/>
        </w:rPr>
      </w:pPr>
    </w:p>
    <w:p>
      <w:pPr>
        <w:jc w:val="both"/>
        <w:ind w:firstLine="1755"/>
        <w:spacing w:after="0" w:line="220" w:lineRule="exact"/>
        <w:rPr>
          <w:sz w:val="20"/>
          <w:szCs w:val="20"/>
          <w:color w:val="auto"/>
        </w:rPr>
      </w:pPr>
      <w:r>
        <w:rPr>
          <w:rFonts w:ascii="Arial" w:cs="Arial" w:eastAsia="Arial" w:hAnsi="Arial"/>
          <w:sz w:val="18"/>
          <w:szCs w:val="18"/>
          <w:b w:val="1"/>
          <w:bCs w:val="1"/>
          <w:color w:val="auto"/>
        </w:rPr>
        <w:t xml:space="preserve">5.17 Shares. </w:t>
      </w:r>
      <w:r>
        <w:rPr>
          <w:rFonts w:ascii="Arial" w:cs="Arial" w:eastAsia="Arial" w:hAnsi="Arial"/>
          <w:sz w:val="18"/>
          <w:szCs w:val="18"/>
          <w:color w:val="auto"/>
        </w:rPr>
        <w:t>Borrower has full power and authority to create a first lien on the Shares and no disability or contractual</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exists that would prohibit Borrower from pledging the Shares pursuant to this Agreement. To Borrower’s knowledge, there are no subscriptions, warrants, rights of first refusal or other restrictions on transfer relative to, or options exercisable with respect to the Shares. The Shares have been and will be duly authorized and validly issued, and are fully paid and, if applicable, non</w:t>
      </w:r>
      <w:r>
        <w:rPr>
          <w:rFonts w:ascii="MS PGothic" w:cs="MS PGothic" w:eastAsia="MS PGothic" w:hAnsi="MS PGothic"/>
          <w:sz w:val="18"/>
          <w:szCs w:val="18"/>
          <w:color w:val="auto"/>
        </w:rPr>
        <w:t>‑</w:t>
      </w:r>
      <w:r>
        <w:rPr>
          <w:rFonts w:ascii="Arial" w:cs="Arial" w:eastAsia="Arial" w:hAnsi="Arial"/>
          <w:sz w:val="18"/>
          <w:szCs w:val="18"/>
          <w:color w:val="auto"/>
        </w:rPr>
        <w:t>assessable. To Borrower’s knowledge, the Shares are not the subject of any present or threatened suit, action, arbitration, administrative or other proceeding, and Borrower knows of no reasonable grounds for the institution of any such proceedings.</w:t>
      </w:r>
    </w:p>
    <w:p>
      <w:pPr>
        <w:spacing w:after="0" w:line="198" w:lineRule="exact"/>
        <w:rPr>
          <w:sz w:val="20"/>
          <w:szCs w:val="20"/>
          <w:color w:val="auto"/>
        </w:rPr>
      </w:pPr>
    </w:p>
    <w:p>
      <w:pPr>
        <w:jc w:val="both"/>
        <w:ind w:firstLine="1755"/>
        <w:spacing w:after="0" w:line="266" w:lineRule="auto"/>
        <w:rPr>
          <w:sz w:val="20"/>
          <w:szCs w:val="20"/>
          <w:color w:val="auto"/>
        </w:rPr>
      </w:pPr>
      <w:r>
        <w:rPr>
          <w:rFonts w:ascii="Arial" w:cs="Arial" w:eastAsia="Arial" w:hAnsi="Arial"/>
          <w:sz w:val="18"/>
          <w:szCs w:val="18"/>
          <w:b w:val="1"/>
          <w:bCs w:val="1"/>
          <w:color w:val="auto"/>
        </w:rPr>
        <w:t>5.18 Full Disclosure</w:t>
      </w:r>
      <w:r>
        <w:rPr>
          <w:rFonts w:ascii="Arial" w:cs="Arial" w:eastAsia="Arial" w:hAnsi="Arial"/>
          <w:sz w:val="18"/>
          <w:szCs w:val="18"/>
          <w:color w:val="auto"/>
        </w:rPr>
        <w:t>. No representation, warranty or other statement made by Borrower in any certificate or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furnished to Bank contains any untrue statement of a material fact or omits to state a material fact necessary in order to make the statements contained in such certificates or statements not misleading in any material respect.</w:t>
      </w:r>
    </w:p>
    <w:p>
      <w:pPr>
        <w:spacing w:after="0" w:line="176" w:lineRule="exact"/>
        <w:rPr>
          <w:sz w:val="20"/>
          <w:szCs w:val="20"/>
          <w:color w:val="auto"/>
        </w:rPr>
      </w:pPr>
    </w:p>
    <w:p>
      <w:pPr>
        <w:ind w:left="1660" w:hanging="775"/>
        <w:spacing w:after="0"/>
        <w:tabs>
          <w:tab w:leader="none" w:pos="1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FFIRMATIVE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OVENANTS</w:t>
      </w:r>
      <w:r>
        <w:rPr>
          <w:rFonts w:ascii="Arial" w:cs="Arial" w:eastAsia="Arial" w:hAnsi="Arial"/>
          <w:sz w:val="18"/>
          <w:szCs w:val="18"/>
          <w:b w:val="1"/>
          <w:bCs w:val="1"/>
          <w:color w:val="auto"/>
        </w:rPr>
        <w: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Borrower shall do all of the following:</w:t>
      </w:r>
    </w:p>
    <w:p>
      <w:pPr>
        <w:spacing w:after="0" w:line="221" w:lineRule="exact"/>
        <w:rPr>
          <w:sz w:val="20"/>
          <w:szCs w:val="20"/>
          <w:color w:val="auto"/>
        </w:rPr>
      </w:pPr>
    </w:p>
    <w:p>
      <w:pPr>
        <w:jc w:val="both"/>
        <w:ind w:firstLine="1755"/>
        <w:spacing w:after="0" w:line="303" w:lineRule="auto"/>
        <w:rPr>
          <w:sz w:val="20"/>
          <w:szCs w:val="20"/>
          <w:color w:val="auto"/>
        </w:rPr>
      </w:pPr>
      <w:r>
        <w:rPr>
          <w:rFonts w:ascii="Arial" w:cs="Arial" w:eastAsia="Arial" w:hAnsi="Arial"/>
          <w:sz w:val="16"/>
          <w:szCs w:val="16"/>
          <w:b w:val="1"/>
          <w:bCs w:val="1"/>
          <w:color w:val="auto"/>
        </w:rPr>
        <w:t>6.1 Good Standing</w:t>
      </w:r>
      <w:r>
        <w:rPr>
          <w:rFonts w:ascii="Arial" w:cs="Arial" w:eastAsia="Arial" w:hAnsi="Arial"/>
          <w:sz w:val="16"/>
          <w:szCs w:val="16"/>
          <w:color w:val="auto"/>
        </w:rPr>
        <w:t>. Borrower shall maintain its and each of its Subsidiaries’ corporate existence and good standing in its</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of incorporation and maintain qualification in each jurisdiction in which qualification is required under applicable law, unless the failure to so qualify or be licensed could not reasonably be expected to have a Material Adverse Effect. Borrower shall maintain, and shall cause each of its Subsidiaries to maintain, in force all licenses, approvals and agreements, the loss of which could reasonably be expected to have a Material Adverse Effect.</w:t>
      </w:r>
    </w:p>
    <w:p>
      <w:pPr>
        <w:spacing w:after="0" w:line="151" w:lineRule="exact"/>
        <w:rPr>
          <w:sz w:val="20"/>
          <w:szCs w:val="20"/>
          <w:color w:val="auto"/>
        </w:rPr>
      </w:pPr>
    </w:p>
    <w:p>
      <w:pPr>
        <w:ind w:left="1760"/>
        <w:spacing w:after="0"/>
        <w:tabs>
          <w:tab w:leader="none" w:pos="26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Government Compliance</w:t>
      </w:r>
      <w:r>
        <w:rPr>
          <w:rFonts w:ascii="Arial" w:cs="Arial" w:eastAsia="Arial" w:hAnsi="Arial"/>
          <w:sz w:val="16"/>
          <w:szCs w:val="16"/>
          <w:color w:val="auto"/>
        </w:rPr>
        <w:t>.</w:t>
      </w:r>
    </w:p>
    <w:p>
      <w:pPr>
        <w:spacing w:after="0" w:line="229" w:lineRule="exact"/>
        <w:rPr>
          <w:sz w:val="20"/>
          <w:szCs w:val="20"/>
          <w:color w:val="auto"/>
        </w:rPr>
      </w:pPr>
    </w:p>
    <w:p>
      <w:pPr>
        <w:jc w:val="both"/>
        <w:ind w:firstLine="2642"/>
        <w:spacing w:after="0" w:line="259" w:lineRule="auto"/>
        <w:tabs>
          <w:tab w:leader="none" w:pos="3492"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Borrower shall meet, and shall cause each Subsidiary to meet, the minimum funding requirements of ERISA with respect to any employee benefit plans subject to ERISA in all material respects. Borrower shall comply, and shall cause each Subsidiary to comply, with all statutes, laws, ordinances and government rules and regulations to which it is subject, noncompliance with which could reasonably be expected to have a Material Adverse Effect.</w:t>
      </w:r>
    </w:p>
    <w:p>
      <w:pPr>
        <w:spacing w:after="0" w:line="186" w:lineRule="exact"/>
        <w:rPr>
          <w:rFonts w:ascii="Arial" w:cs="Arial" w:eastAsia="Arial" w:hAnsi="Arial"/>
          <w:sz w:val="18"/>
          <w:szCs w:val="18"/>
          <w:b w:val="1"/>
          <w:bCs w:val="1"/>
          <w:color w:val="auto"/>
        </w:rPr>
      </w:pPr>
    </w:p>
    <w:p>
      <w:pPr>
        <w:jc w:val="both"/>
        <w:ind w:firstLine="2642"/>
        <w:spacing w:after="0" w:line="264" w:lineRule="auto"/>
        <w:tabs>
          <w:tab w:leader="none" w:pos="3502"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Obtain and keep in full force and effect, all of the Governmental Approvals necessary for the performance by Borrower and its Subsidiaries of their respective businesses and obligations under the Loan Documents and the grant of a security interest to Bank in all of the Collateral.</w:t>
      </w:r>
    </w:p>
    <w:p>
      <w:pPr>
        <w:spacing w:after="0" w:line="177" w:lineRule="exact"/>
        <w:rPr>
          <w:sz w:val="20"/>
          <w:szCs w:val="20"/>
          <w:color w:val="auto"/>
        </w:rPr>
      </w:pPr>
    </w:p>
    <w:p>
      <w:pPr>
        <w:jc w:val="both"/>
        <w:ind w:firstLine="1755"/>
        <w:spacing w:after="0" w:line="287" w:lineRule="auto"/>
        <w:rPr>
          <w:sz w:val="20"/>
          <w:szCs w:val="20"/>
          <w:color w:val="auto"/>
        </w:rPr>
      </w:pPr>
      <w:r>
        <w:rPr>
          <w:rFonts w:ascii="Arial" w:cs="Arial" w:eastAsia="Arial" w:hAnsi="Arial"/>
          <w:sz w:val="16"/>
          <w:szCs w:val="16"/>
          <w:b w:val="1"/>
          <w:bCs w:val="1"/>
          <w:color w:val="auto"/>
        </w:rPr>
        <w:t>6.3 Financial Statements, Reports, Certificates</w:t>
      </w:r>
      <w:r>
        <w:rPr>
          <w:rFonts w:ascii="Arial" w:cs="Arial" w:eastAsia="Arial" w:hAnsi="Arial"/>
          <w:sz w:val="16"/>
          <w:szCs w:val="16"/>
          <w:color w:val="auto"/>
        </w:rPr>
        <w:t>. Borrower shall deliver the following to Bank: (a) as soon as available,</w:t>
      </w:r>
      <w:r>
        <w:rPr>
          <w:rFonts w:ascii="Arial" w:cs="Arial" w:eastAsia="Arial" w:hAnsi="Arial"/>
          <w:sz w:val="16"/>
          <w:szCs w:val="16"/>
          <w:b w:val="1"/>
          <w:bCs w:val="1"/>
          <w:color w:val="auto"/>
        </w:rPr>
        <w:t xml:space="preserve"> </w:t>
      </w:r>
      <w:r>
        <w:rPr>
          <w:rFonts w:ascii="Arial" w:cs="Arial" w:eastAsia="Arial" w:hAnsi="Arial"/>
          <w:sz w:val="16"/>
          <w:szCs w:val="16"/>
          <w:color w:val="auto"/>
        </w:rPr>
        <w:t>but in any event within (x) forty-five (45) days after the end of each calendar quarter, commencing with the quarter ending September 30, 2018, a company-prepared consolidated balance sheet, income statement, and cash flow statement covering Borrower’s consolidated operations during such period, prepared in accordance with GAAP (except for the lack of footnotes and being subject to year-end audit adjustments), consistently applied, in a form acceptable to Bank and certified by a Responsible Officer and (y) thirty (30) days after the end of each calendar month, commencing with the month ending January 31, 2019, a company-prepared consolidated balance sheet and income statement covering Borrower’s consolidated operations during such period, prepared in accordance with GAAP (except for the lack of footnotes, being subject to year-end audit adjustments and no reflection of depreciation expense, deferred revenue adjustments or other general quarter-end accruals), consistently applied, in a form acceptable to Bank and certified by a Responsible Officer; (b) as soon as available, but in any event within one hundred twenty (120) days after the end of Borrower’s fiscal year, audited consolidated financial statements of Borrower prepared in accordance with GAAP, consistently applied, together with an unqualified opinion on such financial statements of an independent certified public accounting firm reasonably acceptable to Bank; (c) copies of all statements, reports and notices sent or made available generally by Borrower to its security holders or to any holders of Subordinated Debt and, if applicable, all reports on Forms 10-K and 10-Q filed with the Securities and Exchange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jc w:val="both"/>
        <w:spacing w:after="0" w:line="290" w:lineRule="auto"/>
        <w:rPr>
          <w:sz w:val="20"/>
          <w:szCs w:val="20"/>
          <w:color w:val="auto"/>
        </w:rPr>
      </w:pPr>
      <w:r>
        <w:rPr>
          <w:rFonts w:ascii="Arial" w:cs="Arial" w:eastAsia="Arial" w:hAnsi="Arial"/>
          <w:sz w:val="16"/>
          <w:szCs w:val="16"/>
          <w:color w:val="auto"/>
        </w:rPr>
        <w:t>Commission; (d) promptly upon receipt or notice thereof, (i) a report of any legal actions pending or threatened (in writing) against Borrower or any Subsidiary that could reasonably be expected to result in damages or costs to Borrower or any Subsidiary of One Hundred Thousand Dollars ($100,000.00) or more and (ii) copies of (x) all material correspondence, reports, documents and other filings with any Governmental Authority that could reasonably be expected to have a Material Adverse Effect and (y) any material Governmental Approvals obtained by Borrower or any of its Subsidiaries; (e) as soon as available, but in any event no later than the earlier to occur of forty-five (45) days following the beginning of each fiscal year or the date of approval by Borrower’s board of directors, an annual operating budget and financial projections (including income statements, balance sheets and cash flow statements) for such fiscal year, presented in a monthly format, approved by Borrower’s board of directors, and in a form and substance acceptable to Bank; and (f) such budgets, sales projections, operating plans or other financial information as Bank may reasonably request from time to time.</w:t>
      </w:r>
    </w:p>
    <w:p>
      <w:pPr>
        <w:spacing w:after="0" w:line="166"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 xml:space="preserve">Borrower shall deliver to Bank with the financial statements a Compliance Certificate signed by a Responsible Officer in substantially the form of </w:t>
      </w:r>
      <w:r>
        <w:rPr>
          <w:rFonts w:ascii="Arial" w:cs="Arial" w:eastAsia="Arial" w:hAnsi="Arial"/>
          <w:sz w:val="18"/>
          <w:szCs w:val="18"/>
          <w:b w:val="1"/>
          <w:bCs w:val="1"/>
          <w:color w:val="auto"/>
        </w:rPr>
        <w:t xml:space="preserve">Exhibit D </w:t>
      </w:r>
      <w:r>
        <w:rPr>
          <w:rFonts w:ascii="Arial" w:cs="Arial" w:eastAsia="Arial" w:hAnsi="Arial"/>
          <w:sz w:val="18"/>
          <w:szCs w:val="18"/>
          <w:color w:val="auto"/>
        </w:rPr>
        <w:t>hereto.</w:t>
      </w:r>
    </w:p>
    <w:p>
      <w:pPr>
        <w:spacing w:after="0" w:line="170"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8"/>
          <w:szCs w:val="18"/>
          <w:color w:val="auto"/>
        </w:rPr>
        <w:t>Borrower shall deliver to Bank and ARE-SD REGION NO. 44, LLC (“Alexandria”), as soon as available, but no later than (i) thirty (30) days after the end of each fiscal quarter and (ii) thirty (30) days after the last day of each month in which Borrower has delivered in excess of One Hundred Thousand Dollars ($100,000.00) worth of new Collateral constituting fixed assets to the property located at 10628 Science Center Drive, San Diego, California 92121, an updated, fully comprehensive, Exhibit A to the Landlord's Consent and Waiver, dated as of the Closing Date (as amended from time to time) among Alexandria, Borrower and Bank.</w:t>
      </w:r>
    </w:p>
    <w:p>
      <w:pPr>
        <w:spacing w:after="0" w:line="188"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8"/>
          <w:szCs w:val="18"/>
          <w:color w:val="auto"/>
        </w:rPr>
        <w:t>Notwithstanding the foregoing, documents required to be delivered pursuant to the terms hereof (to the extent any such documents are included in materials otherwise filed with the Securities and Exchange Commission) may be delivered electronically and if so delivered, shall be deemed to have been delivered on the date on which Borrower posts such documents, or provides a link thereto, on Borrower’s website on the internet at Borrower’s website address, or such documents are posted on sec.gov; provided, however, Borrower shall promptly notify Bank in writing (which may be by electronic mail) of the posting of any such documents.</w:t>
      </w:r>
    </w:p>
    <w:p>
      <w:pPr>
        <w:spacing w:after="0" w:line="184" w:lineRule="exact"/>
        <w:rPr>
          <w:sz w:val="20"/>
          <w:szCs w:val="20"/>
          <w:color w:val="auto"/>
        </w:rPr>
      </w:pPr>
    </w:p>
    <w:p>
      <w:pPr>
        <w:jc w:val="both"/>
        <w:ind w:firstLine="1755"/>
        <w:spacing w:after="0" w:line="303" w:lineRule="auto"/>
        <w:rPr>
          <w:sz w:val="20"/>
          <w:szCs w:val="20"/>
          <w:color w:val="auto"/>
        </w:rPr>
      </w:pPr>
      <w:r>
        <w:rPr>
          <w:rFonts w:ascii="Arial" w:cs="Arial" w:eastAsia="Arial" w:hAnsi="Arial"/>
          <w:sz w:val="16"/>
          <w:szCs w:val="16"/>
          <w:b w:val="1"/>
          <w:bCs w:val="1"/>
          <w:color w:val="auto"/>
        </w:rPr>
        <w:t>6.4 Inventory; Returns</w:t>
      </w:r>
      <w:r>
        <w:rPr>
          <w:rFonts w:ascii="Arial" w:cs="Arial" w:eastAsia="Arial" w:hAnsi="Arial"/>
          <w:sz w:val="16"/>
          <w:szCs w:val="16"/>
          <w:color w:val="auto"/>
        </w:rPr>
        <w:t>. Borrower shall keep all Inventory in good and marketable condition, free from all material defects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for Inventory for which adequate reserves have been made. Returns and allowances, if any, as between Borrower and its account debtors shall be on the same basis and in accordance with the ordinary course of business of Borrower. Borrower shall promptly notify Bank of all returns and recoveries and of all disputes and claims, where the return, recovery, dispute or claim involves more than One Hundred Thousand Dollars ($100,000.00).</w:t>
      </w:r>
    </w:p>
    <w:p>
      <w:pPr>
        <w:spacing w:after="0" w:line="151" w:lineRule="exact"/>
        <w:rPr>
          <w:sz w:val="20"/>
          <w:szCs w:val="20"/>
          <w:color w:val="auto"/>
        </w:rPr>
      </w:pPr>
    </w:p>
    <w:p>
      <w:pPr>
        <w:jc w:val="both"/>
        <w:ind w:firstLine="1755"/>
        <w:spacing w:after="0" w:line="255" w:lineRule="auto"/>
        <w:rPr>
          <w:sz w:val="20"/>
          <w:szCs w:val="20"/>
          <w:color w:val="auto"/>
        </w:rPr>
      </w:pPr>
      <w:r>
        <w:rPr>
          <w:rFonts w:ascii="Arial" w:cs="Arial" w:eastAsia="Arial" w:hAnsi="Arial"/>
          <w:sz w:val="18"/>
          <w:szCs w:val="18"/>
          <w:b w:val="1"/>
          <w:bCs w:val="1"/>
          <w:color w:val="auto"/>
        </w:rPr>
        <w:t>6.5 Taxes</w:t>
      </w:r>
      <w:r>
        <w:rPr>
          <w:rFonts w:ascii="Arial" w:cs="Arial" w:eastAsia="Arial" w:hAnsi="Arial"/>
          <w:sz w:val="18"/>
          <w:szCs w:val="18"/>
          <w:color w:val="auto"/>
        </w:rPr>
        <w:t>. Borrower shall make, and shall cause each Subsidiary to make, due and timely payment or deposit of all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state, and local taxes, assessments, or contributions required of it by law, and will execute and deliver to Bank, on reasonable demand, appropriate certificates attesting to the payment or deposit thereof; and Borrower will make, and will cause each Subsidiary to make, timely payment or deposit of all material tax payments and withholding taxes required of it by applicable laws, including, but not limited to, those laws concerning the Federal Insurance Contributions Act., the Federal Unemployment Tax Act, state disability, and local, state, and federal income taxes, and will, upon reasonable request, furnish Bank with proof reasonably satisfactory to Bank indicating that Borrower or a Subsidiary has made such payments or deposits; provided that Borrower or a Subsidiary need not make any payment if the amount or validity of such payment is contested in good faith by appropriate proceedings and is reserved against (to the extent required by GAAP) by Borrower.</w:t>
      </w:r>
    </w:p>
    <w:p>
      <w:pPr>
        <w:spacing w:after="0" w:line="185" w:lineRule="exact"/>
        <w:rPr>
          <w:sz w:val="20"/>
          <w:szCs w:val="20"/>
          <w:color w:val="auto"/>
        </w:rPr>
      </w:pPr>
    </w:p>
    <w:p>
      <w:pPr>
        <w:ind w:left="1760"/>
        <w:spacing w:after="0"/>
        <w:tabs>
          <w:tab w:leader="none" w:pos="262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Insurance</w:t>
      </w:r>
      <w:r>
        <w:rPr>
          <w:rFonts w:ascii="Arial" w:cs="Arial" w:eastAsia="Arial" w:hAnsi="Arial"/>
          <w:sz w:val="16"/>
          <w:szCs w:val="16"/>
          <w:color w:val="auto"/>
        </w:rPr>
        <w:t>.</w:t>
      </w:r>
    </w:p>
    <w:p>
      <w:pPr>
        <w:spacing w:after="0" w:line="229" w:lineRule="exact"/>
        <w:rPr>
          <w:sz w:val="20"/>
          <w:szCs w:val="20"/>
          <w:color w:val="auto"/>
        </w:rPr>
      </w:pPr>
    </w:p>
    <w:p>
      <w:pPr>
        <w:jc w:val="both"/>
        <w:ind w:firstLine="2642"/>
        <w:spacing w:after="0" w:line="259" w:lineRule="auto"/>
        <w:tabs>
          <w:tab w:leader="none" w:pos="3492"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Borrower, at its expense, shall keep the Collateral insured against loss or damage by fire, theft, explosion, sprinklers, and all other hazards and risks, and in such amounts, as ordinarily insured against by other owners in similar businesses conducted in the locations where Borrower’s business is conducted on the date hereof. Borrower shall also maintain insurance relating to Borrower’s business, ownership and use of the Collateral in amounts and of a type that are customary to businesses similar to Borrower’s.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jc w:val="both"/>
        <w:ind w:firstLine="2642"/>
        <w:spacing w:after="0" w:line="289" w:lineRule="auto"/>
        <w:tabs>
          <w:tab w:leader="none" w:pos="3502"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All such policies of insurance shall be in such form, with such companies, and in such amounts as are reasonably satisfactory to Bank. All such policies of property insurance shall contain a Bank’s loss payable endorsement, in a form satisfactory to Bank, showing Bank as an additional loss payee thereof, and all liability insurance policies shall show the Bank as an additional insured and shall specify that the insurer must give at least twenty (20) days’ notice (ten (10) days’ notice for non-payment of premiums) to Bank before canceling its policy for any reason. Upon Bank’s reasonable request, Borrower shall deliver to Bank certified copies of such policies of insurance and evidence of the payments of all premiums therefor. All proceeds payable under any such policy shall, at the option of Bank, be payable to Bank to be applied on account of the Obligations; provided, however, that if no Event of Default has occurred and is continuing, proceeds in an aggregate amount of up to One Hundred Thousand Dollars ($100,000.00) each calendar year (and up to Two Hundred Fifty Thousand Dollars ($250,000.00) during the term of this Agreement) shall be delivered to Borrower to repair or replace the damage or destroyed assets or acquire assets otherwise used or useful in the business of Borrower.</w:t>
      </w:r>
    </w:p>
    <w:p>
      <w:pPr>
        <w:spacing w:after="0" w:line="163" w:lineRule="exact"/>
        <w:rPr>
          <w:sz w:val="20"/>
          <w:szCs w:val="20"/>
          <w:color w:val="auto"/>
        </w:rPr>
      </w:pPr>
    </w:p>
    <w:p>
      <w:pPr>
        <w:jc w:val="both"/>
        <w:ind w:firstLine="1755"/>
        <w:spacing w:after="0" w:line="255" w:lineRule="auto"/>
        <w:rPr>
          <w:sz w:val="20"/>
          <w:szCs w:val="20"/>
          <w:color w:val="auto"/>
        </w:rPr>
      </w:pPr>
      <w:r>
        <w:rPr>
          <w:rFonts w:ascii="Arial" w:cs="Arial" w:eastAsia="Arial" w:hAnsi="Arial"/>
          <w:sz w:val="18"/>
          <w:szCs w:val="18"/>
          <w:b w:val="1"/>
          <w:bCs w:val="1"/>
          <w:color w:val="auto"/>
        </w:rPr>
        <w:t>6.7 Accounts</w:t>
      </w:r>
      <w:r>
        <w:rPr>
          <w:rFonts w:ascii="Arial" w:cs="Arial" w:eastAsia="Arial" w:hAnsi="Arial"/>
          <w:sz w:val="18"/>
          <w:szCs w:val="18"/>
          <w:color w:val="auto"/>
        </w:rPr>
        <w:t>. Borrower shall (i) (x) maintain and shall cause each of its Domestic Subsidiaries to maintain its primary</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account, and (y) at least the lesser of (A) fifty percent (50.00%) of its total additional deposit and investment accounts, or (B) Twenty Million Dollars ($20,000,000.00) with Bank and (ii) endeavor to utilize and shall cause each of its Subsidiaries to endeavor to utilize Bank’s International Banking Division for any international banking services required by Borrower, including, but not limited to, foreign currency wires, hedges, swaps, foreign exchange contracts, and Letters of Credit. All accounts permitted hereunder to be maintained outside of Bank shall be subject to control agreements in favor of, and in form and content acceptable to, Bank; provided that Borrower shall be permitted to maintain its cash collateral account with Silvergate Bank (the “Silvergate Account”), not subject to a control agreement, provided that such Silvergate Account shall maintain a balance at all times not to exceed One Hundred Ten Thousand Dollars ($110,000.00).</w:t>
      </w:r>
    </w:p>
    <w:p>
      <w:pPr>
        <w:spacing w:after="0" w:line="185" w:lineRule="exact"/>
        <w:rPr>
          <w:sz w:val="20"/>
          <w:szCs w:val="20"/>
          <w:color w:val="auto"/>
        </w:rPr>
      </w:pPr>
    </w:p>
    <w:p>
      <w:pPr>
        <w:ind w:left="1760"/>
        <w:spacing w:after="0"/>
        <w:tabs>
          <w:tab w:leader="none" w:pos="262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6"/>
          <w:szCs w:val="16"/>
          <w:b w:val="1"/>
          <w:bCs w:val="1"/>
          <w:color w:val="auto"/>
        </w:rPr>
        <w:t>Financial Covenants</w:t>
      </w:r>
      <w:r>
        <w:rPr>
          <w:rFonts w:ascii="Arial" w:cs="Arial" w:eastAsia="Arial" w:hAnsi="Arial"/>
          <w:sz w:val="16"/>
          <w:szCs w:val="16"/>
          <w:color w:val="auto"/>
        </w:rPr>
        <w:t>. Borrower shall maintain and/or achieve the following:</w:t>
      </w:r>
    </w:p>
    <w:p>
      <w:pPr>
        <w:spacing w:after="0" w:line="225" w:lineRule="exact"/>
        <w:rPr>
          <w:sz w:val="20"/>
          <w:szCs w:val="20"/>
          <w:color w:val="auto"/>
        </w:rPr>
      </w:pPr>
    </w:p>
    <w:p>
      <w:pPr>
        <w:ind w:left="3500" w:hanging="858"/>
        <w:spacing w:after="0"/>
        <w:tabs>
          <w:tab w:leader="none" w:pos="3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Clinical Candidate</w:t>
      </w:r>
      <w:r>
        <w:rPr>
          <w:rFonts w:ascii="Arial" w:cs="Arial" w:eastAsia="Arial" w:hAnsi="Arial"/>
          <w:sz w:val="18"/>
          <w:szCs w:val="18"/>
          <w:color w:val="auto"/>
        </w:rPr>
        <w:t>. Nominate a clinical candidate for its […***…] or […***…] program by […***…].</w:t>
      </w:r>
    </w:p>
    <w:p>
      <w:pPr>
        <w:spacing w:after="0" w:line="225" w:lineRule="exact"/>
        <w:rPr>
          <w:rFonts w:ascii="Arial" w:cs="Arial" w:eastAsia="Arial" w:hAnsi="Arial"/>
          <w:sz w:val="18"/>
          <w:szCs w:val="18"/>
          <w:b w:val="1"/>
          <w:bCs w:val="1"/>
          <w:color w:val="auto"/>
        </w:rPr>
      </w:pPr>
    </w:p>
    <w:p>
      <w:pPr>
        <w:jc w:val="both"/>
        <w:ind w:firstLine="2642"/>
        <w:spacing w:after="0" w:line="258" w:lineRule="auto"/>
        <w:tabs>
          <w:tab w:leader="none" w:pos="350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 </w:t>
      </w:r>
      <w:r>
        <w:rPr>
          <w:rFonts w:ascii="Arial" w:cs="Arial" w:eastAsia="Arial" w:hAnsi="Arial"/>
          <w:sz w:val="18"/>
          <w:szCs w:val="18"/>
          <w:color w:val="auto"/>
        </w:rPr>
        <w:t>Submit an IND for […***…] or […***…] by December 31, 2019 (the “Submission Date”), and have</w:t>
      </w:r>
      <w:r>
        <w:rPr>
          <w:rFonts w:ascii="Arial" w:cs="Arial" w:eastAsia="Arial" w:hAnsi="Arial"/>
          <w:sz w:val="18"/>
          <w:szCs w:val="18"/>
          <w:b w:val="1"/>
          <w:bCs w:val="1"/>
          <w:color w:val="auto"/>
        </w:rPr>
        <w:t xml:space="preserve"> </w:t>
      </w:r>
      <w:r>
        <w:rPr>
          <w:rFonts w:ascii="Arial" w:cs="Arial" w:eastAsia="Arial" w:hAnsi="Arial"/>
          <w:sz w:val="18"/>
          <w:szCs w:val="18"/>
          <w:color w:val="auto"/>
        </w:rPr>
        <w:t>it accepted by the FDA (either by the passage of time or formal response) by January 31, 2020 (the “Approval Date”); provided that, if Borrower has received net cash proceeds from the sale, on or after October 12, 2018, of Borrower’s equity securities in an amount not less than […***…], on terms and from investors reasonably acceptable to Bank, then the Submission Date shall extended to May 31, 2020 and the Approval Date shall be extended to June 30, 2020.</w:t>
      </w:r>
    </w:p>
    <w:p>
      <w:pPr>
        <w:spacing w:after="0" w:line="184" w:lineRule="exact"/>
        <w:rPr>
          <w:sz w:val="20"/>
          <w:szCs w:val="20"/>
          <w:color w:val="auto"/>
        </w:rPr>
      </w:pPr>
    </w:p>
    <w:p>
      <w:pPr>
        <w:ind w:left="1760"/>
        <w:spacing w:after="0"/>
        <w:tabs>
          <w:tab w:leader="none" w:pos="262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6"/>
          <w:szCs w:val="16"/>
          <w:b w:val="1"/>
          <w:bCs w:val="1"/>
          <w:color w:val="auto"/>
        </w:rPr>
        <w:t>Intellectual Property Rights.</w:t>
      </w:r>
    </w:p>
    <w:p>
      <w:pPr>
        <w:spacing w:after="0" w:line="229" w:lineRule="exact"/>
        <w:rPr>
          <w:sz w:val="20"/>
          <w:szCs w:val="20"/>
          <w:color w:val="auto"/>
        </w:rPr>
      </w:pPr>
    </w:p>
    <w:p>
      <w:pPr>
        <w:jc w:val="both"/>
        <w:ind w:firstLine="2642"/>
        <w:spacing w:after="0" w:line="270" w:lineRule="auto"/>
        <w:tabs>
          <w:tab w:leader="none" w:pos="3492" w:val="left"/>
        </w:tabs>
        <w:numPr>
          <w:ilvl w:val="1"/>
          <w:numId w:val="29"/>
        </w:numPr>
        <w:rPr>
          <w:rFonts w:ascii="Arial" w:cs="Arial" w:eastAsia="Arial" w:hAnsi="Arial"/>
          <w:sz w:val="17"/>
          <w:szCs w:val="17"/>
          <w:b w:val="1"/>
          <w:bCs w:val="1"/>
          <w:color w:val="auto"/>
        </w:rPr>
      </w:pPr>
      <w:r>
        <w:rPr>
          <w:rFonts w:ascii="Arial" w:cs="Arial" w:eastAsia="Arial" w:hAnsi="Arial"/>
          <w:sz w:val="17"/>
          <w:szCs w:val="17"/>
          <w:color w:val="auto"/>
        </w:rPr>
        <w:t>Borrower shall promptly give Bank written notice of any applications or registrations of intellectual property rights filed with the United States Patent and Trademark Office, including the date of such filing and the registration or application numbers, if any. Borrower shall (i) give Bank not less than 30 days prior written notice of the filing of any applications or registrations with the United States Copyright Office, including the title of such intellectual property rights to be registered, as such title will appear on such applications or registrations, and the date such applications or registrations will be filed, and (ii) prior to the filing of any such applications or registrations, shall execute such documents as Bank may reasonably request for Bank to obtain and/or maintain its perfection in such intellectual property rights to be registered by Borrower, and upon the request of Bank, shall file such documents simultaneously with the filing of any such applications or registrations. Upon filing any such applications or registrations with the United States Copyright Office, Borrower shall promptly provide Bank with (i) a copy of such applications or registrations, without the exhibits, if any, thereto, (ii) evidence of the filing of any documents requested by Bank to be filed for Bank to obtain and/or maintain the perfection and priority of its security interest in such intellectual property rights, and (iii) the date of such filing.</w:t>
      </w:r>
    </w:p>
    <w:p>
      <w:pPr>
        <w:spacing w:after="0" w:line="339" w:lineRule="exact"/>
        <w:rPr>
          <w:rFonts w:ascii="Arial" w:cs="Arial" w:eastAsia="Arial" w:hAnsi="Arial"/>
          <w:sz w:val="17"/>
          <w:szCs w:val="17"/>
          <w:b w:val="1"/>
          <w:bCs w:val="1"/>
          <w:color w:val="auto"/>
        </w:rPr>
      </w:pPr>
    </w:p>
    <w:p>
      <w:pPr>
        <w:ind w:left="280" w:hanging="269"/>
        <w:spacing w:after="0"/>
        <w:tabs>
          <w:tab w:leader="none" w:pos="280" w:val="left"/>
        </w:tabs>
        <w:numPr>
          <w:ilvl w:val="0"/>
          <w:numId w:val="29"/>
        </w:numPr>
        <w:rPr>
          <w:rFonts w:ascii="Arial" w:cs="Arial" w:eastAsia="Arial" w:hAnsi="Arial"/>
          <w:sz w:val="15"/>
          <w:szCs w:val="15"/>
          <w:color w:val="auto"/>
        </w:rPr>
      </w:pPr>
      <w:r>
        <w:rPr>
          <w:rFonts w:ascii="Arial" w:cs="Arial" w:eastAsia="Arial" w:hAnsi="Arial"/>
          <w:sz w:val="18"/>
          <w:szCs w:val="18"/>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490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jc w:val="both"/>
        <w:ind w:firstLine="2642"/>
        <w:spacing w:after="0" w:line="257" w:lineRule="auto"/>
        <w:tabs>
          <w:tab w:leader="none" w:pos="3502"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Bank may audit Borrower's Intellectual Property to confirm compliance with this Section, provided such audit may not occur more often than once per year, unless an Event of Default has occurred and is continuing. Bank shall have the right, but not the obligation, to take, at Borrower's sole expense, any actions that Borrower is required under this Section to take but which Borrower fails to take, after 15 days' notice to Borrower. Borrower shall reimburse and indemnify Bank for all reasonable, out-of-pocket and documented costs and reasonable expenses incurred in the reasonable exercise of its rights under this Section.</w:t>
      </w:r>
    </w:p>
    <w:p>
      <w:pPr>
        <w:spacing w:after="0" w:line="188" w:lineRule="exact"/>
        <w:rPr>
          <w:rFonts w:ascii="Arial" w:cs="Arial" w:eastAsia="Arial" w:hAnsi="Arial"/>
          <w:sz w:val="18"/>
          <w:szCs w:val="18"/>
          <w:b w:val="1"/>
          <w:bCs w:val="1"/>
          <w:color w:val="auto"/>
        </w:rPr>
      </w:pPr>
    </w:p>
    <w:p>
      <w:pPr>
        <w:jc w:val="both"/>
        <w:ind w:firstLine="2642"/>
        <w:spacing w:after="0" w:line="259" w:lineRule="auto"/>
        <w:tabs>
          <w:tab w:leader="none" w:pos="3482"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Borrower and each of its Subsidiaries shall: (a) use commercially reasonable efforts to protect, defend and maintain the validity and enforceability of its Intellectual Property that is material to Borrower’s business; (b) promptly advise Bank in writing of material infringement by a third party of its Intellectual Property; and (c) not allow any Intellectual Property material to Borrower’s business to be abandoned, forfeited or dedicated to the public without Bank’s prior written consent.</w:t>
      </w:r>
    </w:p>
    <w:p>
      <w:pPr>
        <w:spacing w:after="0" w:line="183" w:lineRule="exact"/>
        <w:rPr>
          <w:sz w:val="20"/>
          <w:szCs w:val="20"/>
          <w:color w:val="auto"/>
        </w:rPr>
      </w:pPr>
    </w:p>
    <w:p>
      <w:pPr>
        <w:jc w:val="both"/>
        <w:ind w:firstLine="1755"/>
        <w:spacing w:after="0" w:line="298" w:lineRule="auto"/>
        <w:rPr>
          <w:sz w:val="20"/>
          <w:szCs w:val="20"/>
          <w:color w:val="auto"/>
        </w:rPr>
      </w:pPr>
      <w:r>
        <w:rPr>
          <w:rFonts w:ascii="Arial" w:cs="Arial" w:eastAsia="Arial" w:hAnsi="Arial"/>
          <w:sz w:val="16"/>
          <w:szCs w:val="16"/>
          <w:b w:val="1"/>
          <w:bCs w:val="1"/>
          <w:color w:val="auto"/>
        </w:rPr>
        <w:t xml:space="preserve">6.10 Landlord Waivers; Bailee Waivers. </w:t>
      </w:r>
      <w:r>
        <w:rPr>
          <w:rFonts w:ascii="Arial" w:cs="Arial" w:eastAsia="Arial" w:hAnsi="Arial"/>
          <w:sz w:val="16"/>
          <w:szCs w:val="16"/>
          <w:color w:val="auto"/>
        </w:rPr>
        <w:t>In the event that Borrower or any of its Subsidiaries, after the Closing Date,</w:t>
      </w:r>
      <w:r>
        <w:rPr>
          <w:rFonts w:ascii="Arial" w:cs="Arial" w:eastAsia="Arial" w:hAnsi="Arial"/>
          <w:sz w:val="16"/>
          <w:szCs w:val="16"/>
          <w:b w:val="1"/>
          <w:bCs w:val="1"/>
          <w:color w:val="auto"/>
        </w:rPr>
        <w:t xml:space="preserve"> </w:t>
      </w:r>
      <w:r>
        <w:rPr>
          <w:rFonts w:ascii="Arial" w:cs="Arial" w:eastAsia="Arial" w:hAnsi="Arial"/>
          <w:sz w:val="16"/>
          <w:szCs w:val="16"/>
          <w:color w:val="auto"/>
        </w:rPr>
        <w:t>intends to add any new offices or business locations, including warehouses, or otherwise store any portion of the Collateral with, or deliver any portion of the Collateral to, a bailee, in each case pursuant to Section 7.2, then Borrower or such Subsidiary will notify Bank and, in the event that the tangible Collateral at any new location is valued in excess of Three Hundred Thousand Dollars ($300,000.00) in the aggregate, obtain from such bailee or landlord, as applicable, a bailee waiver or landlord waiver, as applicable, in form and substance reasonably satisfactory to Bank with respect to such location.</w:t>
      </w:r>
    </w:p>
    <w:p>
      <w:pPr>
        <w:spacing w:after="0" w:line="154"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18"/>
          <w:szCs w:val="18"/>
          <w:b w:val="1"/>
          <w:bCs w:val="1"/>
          <w:color w:val="auto"/>
        </w:rPr>
        <w:t xml:space="preserve">6.11 Creation/Acquisition of Subsidiaries. </w:t>
      </w:r>
      <w:r>
        <w:rPr>
          <w:rFonts w:ascii="Arial" w:cs="Arial" w:eastAsia="Arial" w:hAnsi="Arial"/>
          <w:sz w:val="18"/>
          <w:szCs w:val="18"/>
          <w:color w:val="auto"/>
        </w:rPr>
        <w:t>In the event Borrower , or any of its Subsidiaries creates or acquires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Subsidiary, Borrower shall provide prior written notice to Bank of the creation or acquisition of such new Subsidiary and take all such action as may be reasonably required by Bank to cause each such Domestic Subsidiary to become a co Borrower hereunder or to guarantee the Obligations of Borrower under the Loan Documents and, in each case, grant a continuing pledge and security interest in and to the assets of such Domestic Subsidiary (substantially as described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and Borrower (or its Domestic Subsidiary, as applicable) shall grant and pledge to Bank a perfected security interest in the Shares.</w:t>
      </w:r>
    </w:p>
    <w:p>
      <w:pPr>
        <w:spacing w:after="0" w:line="188" w:lineRule="exact"/>
        <w:rPr>
          <w:sz w:val="20"/>
          <w:szCs w:val="20"/>
          <w:color w:val="auto"/>
        </w:rPr>
      </w:pPr>
    </w:p>
    <w:p>
      <w:pPr>
        <w:jc w:val="both"/>
        <w:ind w:firstLine="1755"/>
        <w:spacing w:after="0" w:line="220" w:lineRule="exact"/>
        <w:rPr>
          <w:sz w:val="20"/>
          <w:szCs w:val="20"/>
          <w:color w:val="auto"/>
        </w:rPr>
      </w:pPr>
      <w:r>
        <w:rPr>
          <w:rFonts w:ascii="Arial" w:cs="Arial" w:eastAsia="Arial" w:hAnsi="Arial"/>
          <w:sz w:val="18"/>
          <w:szCs w:val="18"/>
          <w:b w:val="1"/>
          <w:bCs w:val="1"/>
          <w:color w:val="auto"/>
        </w:rPr>
        <w:t>6.12 Litigation Cooperation</w:t>
      </w:r>
      <w:r>
        <w:rPr>
          <w:rFonts w:ascii="Arial" w:cs="Arial" w:eastAsia="Arial" w:hAnsi="Arial"/>
          <w:sz w:val="18"/>
          <w:szCs w:val="18"/>
          <w:color w:val="auto"/>
        </w:rPr>
        <w:t>. Commencing on the Closing Date and continuing through the termination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make available to Bank, without expense to Bank, Borrower and each of Borrower’s officers, employees and agents and Borrower’s Books, to the extent that Bank may reasonably deem them necessary to prosecute or defend any third</w:t>
      </w:r>
      <w:r>
        <w:rPr>
          <w:rFonts w:ascii="MS PGothic" w:cs="MS PGothic" w:eastAsia="MS PGothic" w:hAnsi="MS PGothic"/>
          <w:sz w:val="18"/>
          <w:szCs w:val="18"/>
          <w:color w:val="auto"/>
        </w:rPr>
        <w:t>‑</w:t>
      </w:r>
      <w:r>
        <w:rPr>
          <w:rFonts w:ascii="Arial" w:cs="Arial" w:eastAsia="Arial" w:hAnsi="Arial"/>
          <w:sz w:val="18"/>
          <w:szCs w:val="18"/>
          <w:color w:val="auto"/>
        </w:rPr>
        <w:t>party suit or proceeding instituted by or against Bank with respect to any Collateral or relating to Borrower.</w:t>
      </w:r>
    </w:p>
    <w:p>
      <w:pPr>
        <w:spacing w:after="0" w:line="201" w:lineRule="exact"/>
        <w:rPr>
          <w:sz w:val="20"/>
          <w:szCs w:val="20"/>
          <w:color w:val="auto"/>
        </w:rPr>
      </w:pPr>
    </w:p>
    <w:p>
      <w:pPr>
        <w:jc w:val="both"/>
        <w:ind w:firstLine="1755"/>
        <w:spacing w:after="0" w:line="261" w:lineRule="auto"/>
        <w:rPr>
          <w:sz w:val="20"/>
          <w:szCs w:val="20"/>
          <w:color w:val="auto"/>
        </w:rPr>
      </w:pPr>
      <w:r>
        <w:rPr>
          <w:rFonts w:ascii="Arial" w:cs="Arial" w:eastAsia="Arial" w:hAnsi="Arial"/>
          <w:sz w:val="18"/>
          <w:szCs w:val="18"/>
          <w:b w:val="1"/>
          <w:bCs w:val="1"/>
          <w:color w:val="auto"/>
        </w:rPr>
        <w:t>6.13 Re-Domicile of Parent</w:t>
      </w:r>
      <w:r>
        <w:rPr>
          <w:rFonts w:ascii="Arial" w:cs="Arial" w:eastAsia="Arial" w:hAnsi="Arial"/>
          <w:sz w:val="18"/>
          <w:szCs w:val="18"/>
          <w:color w:val="auto"/>
        </w:rPr>
        <w:t>. In the event Parent does not re-domicile, and become an entity organized under the law of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or any State thereof, within six (6) months from the Closing Date, Bank reserves the right, in its sole and absolute discretion, to cause Parent to transfer all of the shares related to the sale of the ADAIR technology owned by Parent, and all cash in excess of One Hundred Thousand Dollars ($100,000.00) on deposit in Parent’s deposit, operating, investment and/or securities accounts, to Borrower.</w:t>
      </w:r>
    </w:p>
    <w:p>
      <w:pPr>
        <w:spacing w:after="0" w:line="180" w:lineRule="exact"/>
        <w:rPr>
          <w:sz w:val="20"/>
          <w:szCs w:val="20"/>
          <w:color w:val="auto"/>
        </w:rPr>
      </w:pPr>
    </w:p>
    <w:p>
      <w:pPr>
        <w:jc w:val="both"/>
        <w:ind w:firstLine="1755"/>
        <w:spacing w:after="0" w:line="282" w:lineRule="auto"/>
        <w:rPr>
          <w:sz w:val="20"/>
          <w:szCs w:val="20"/>
          <w:color w:val="auto"/>
        </w:rPr>
      </w:pPr>
      <w:r>
        <w:rPr>
          <w:rFonts w:ascii="Arial" w:cs="Arial" w:eastAsia="Arial" w:hAnsi="Arial"/>
          <w:sz w:val="18"/>
          <w:szCs w:val="18"/>
          <w:b w:val="1"/>
          <w:bCs w:val="1"/>
          <w:color w:val="auto"/>
        </w:rPr>
        <w:t>6.14 Further Assurances</w:t>
      </w:r>
      <w:r>
        <w:rPr>
          <w:rFonts w:ascii="Arial" w:cs="Arial" w:eastAsia="Arial" w:hAnsi="Arial"/>
          <w:sz w:val="18"/>
          <w:szCs w:val="18"/>
          <w:color w:val="auto"/>
        </w:rPr>
        <w:t>. At any time and from time to time Borrower shall execute and deliver such further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take such further action as may reasonably be requested by Bank to effect the purposes of this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ind w:left="1660" w:hanging="775"/>
        <w:spacing w:after="0"/>
        <w:tabs>
          <w:tab w:leader="none" w:pos="1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EGATIVE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OVENANTS</w:t>
      </w:r>
      <w:r>
        <w:rPr>
          <w:rFonts w:ascii="Arial" w:cs="Arial" w:eastAsia="Arial" w:hAnsi="Arial"/>
          <w:sz w:val="18"/>
          <w:szCs w:val="18"/>
          <w:b w:val="1"/>
          <w:bCs w:val="1"/>
          <w:color w:val="auto"/>
        </w:rPr>
        <w: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Borrower will not do any of the following:</w:t>
      </w:r>
    </w:p>
    <w:p>
      <w:pPr>
        <w:spacing w:after="0" w:line="221" w:lineRule="exact"/>
        <w:rPr>
          <w:sz w:val="20"/>
          <w:szCs w:val="20"/>
          <w:color w:val="auto"/>
        </w:rPr>
      </w:pPr>
    </w:p>
    <w:p>
      <w:pPr>
        <w:jc w:val="both"/>
        <w:ind w:firstLine="1755"/>
        <w:spacing w:after="0" w:line="266" w:lineRule="auto"/>
        <w:rPr>
          <w:sz w:val="20"/>
          <w:szCs w:val="20"/>
          <w:color w:val="auto"/>
        </w:rPr>
      </w:pPr>
      <w:r>
        <w:rPr>
          <w:rFonts w:ascii="Arial" w:cs="Arial" w:eastAsia="Arial" w:hAnsi="Arial"/>
          <w:sz w:val="18"/>
          <w:szCs w:val="18"/>
          <w:b w:val="1"/>
          <w:bCs w:val="1"/>
          <w:color w:val="auto"/>
        </w:rPr>
        <w:t>7.1 Dispositions</w:t>
      </w:r>
      <w:r>
        <w:rPr>
          <w:rFonts w:ascii="Arial" w:cs="Arial" w:eastAsia="Arial" w:hAnsi="Arial"/>
          <w:sz w:val="18"/>
          <w:szCs w:val="18"/>
          <w:color w:val="auto"/>
        </w:rPr>
        <w:t>. Convey, sell, lease, transfer or otherwise dispose of (collectively, a “Transfer”), or permit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to Transfer, all or any part of its business or property, other than: (i) Transfers of Inventory in the ordinary course of business; (ii) Transfers consisting of Permitted Licenses, Permitted Liens or Permitted Investments; or (iii) Transfers of worn-out or obsolete Equipment.</w:t>
      </w:r>
    </w:p>
    <w:p>
      <w:pPr>
        <w:spacing w:after="0" w:line="176" w:lineRule="exact"/>
        <w:rPr>
          <w:sz w:val="20"/>
          <w:szCs w:val="20"/>
          <w:color w:val="auto"/>
        </w:rPr>
      </w:pPr>
    </w:p>
    <w:p>
      <w:pPr>
        <w:ind w:left="1760"/>
        <w:spacing w:after="0"/>
        <w:tabs>
          <w:tab w:leader="none" w:pos="262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Change in Business; Change in Control or Executive Office</w:t>
      </w:r>
      <w:r>
        <w:rPr>
          <w:rFonts w:ascii="Arial" w:cs="Arial" w:eastAsia="Arial" w:hAnsi="Arial"/>
          <w:sz w:val="16"/>
          <w:szCs w:val="16"/>
          <w:color w:val="auto"/>
        </w:rPr>
        <w:t>. Engage in any business, or permit any of its Subsidiaries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engage in any business, other than the businesses currently engaged in by Borrower and any business substantially similar or related thereto (or incidental thereto); or cease to conduct business in the manner conducted by Borrower as of the Closing Date (or substantially similar or related thereto (or incidental thereto)); or suffer or permit a Change in Control; or without thirty (30) days prior written notification to Bank, relocate its chief executive office, maintain Collateral at any other location, relocate its state of incorporation or change its legal name; or without Bank’s prior written consent, change the date on which its fiscal year ends.</w:t>
      </w:r>
    </w:p>
    <w:p>
      <w:pPr>
        <w:spacing w:after="0" w:line="187" w:lineRule="exact"/>
        <w:rPr>
          <w:sz w:val="20"/>
          <w:szCs w:val="20"/>
          <w:color w:val="auto"/>
        </w:rPr>
      </w:pPr>
    </w:p>
    <w:p>
      <w:pPr>
        <w:jc w:val="both"/>
        <w:ind w:firstLine="1755"/>
        <w:spacing w:after="0" w:line="220" w:lineRule="exact"/>
        <w:rPr>
          <w:sz w:val="20"/>
          <w:szCs w:val="20"/>
          <w:color w:val="auto"/>
        </w:rPr>
      </w:pPr>
      <w:r>
        <w:rPr>
          <w:rFonts w:ascii="Arial" w:cs="Arial" w:eastAsia="Arial" w:hAnsi="Arial"/>
          <w:sz w:val="17"/>
          <w:szCs w:val="17"/>
          <w:b w:val="1"/>
          <w:bCs w:val="1"/>
          <w:color w:val="auto"/>
        </w:rPr>
        <w:t>7.3 Mergers or Acquisitions</w:t>
      </w:r>
      <w:r>
        <w:rPr>
          <w:rFonts w:ascii="Arial" w:cs="Arial" w:eastAsia="Arial" w:hAnsi="Arial"/>
          <w:sz w:val="17"/>
          <w:szCs w:val="17"/>
          <w:color w:val="auto"/>
        </w:rPr>
        <w:t>. Merge or consolidate, or permit any of its Subsidiaries to merge or consolidate, with or into</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business organization, or acquire, or permit any of its Subsidiaries to acquire, all or substantially all of the capital stock (except as may be permitted under Section 7.7) or property of another Person. A Subsidiary may merge or consolidate into another Subsidiary (provided such surviving Subsidiary is a “co</w:t>
      </w:r>
      <w:r>
        <w:rPr>
          <w:rFonts w:ascii="MS PGothic" w:cs="MS PGothic" w:eastAsia="MS PGothic" w:hAnsi="MS PGothic"/>
          <w:sz w:val="17"/>
          <w:szCs w:val="17"/>
          <w:color w:val="auto"/>
        </w:rPr>
        <w:t>‑</w:t>
      </w:r>
      <w:r>
        <w:rPr>
          <w:rFonts w:ascii="Arial" w:cs="Arial" w:eastAsia="Arial" w:hAnsi="Arial"/>
          <w:sz w:val="17"/>
          <w:szCs w:val="17"/>
          <w:color w:val="auto"/>
        </w:rPr>
        <w:t>Borrower” hereunder or has provided a secured guaranty of Borrower’s Obligations hereunder) or with (or into) Borrower provided Borrower is the surviving legal entity, and as long as no Event of Default is occurring prior thereto or arises as a result therefrom.</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320" w:type="dxa"/>
            <w:vAlign w:val="bottom"/>
          </w:tcPr>
          <w:p>
            <w:pPr>
              <w:jc w:val="right"/>
              <w:ind w:right="250"/>
              <w:spacing w:after="0"/>
              <w:rPr>
                <w:sz w:val="20"/>
                <w:szCs w:val="20"/>
                <w:color w:val="auto"/>
              </w:rPr>
            </w:pPr>
            <w:r>
              <w:rPr>
                <w:rFonts w:ascii="Arial" w:cs="Arial" w:eastAsia="Arial" w:hAnsi="Arial"/>
                <w:sz w:val="18"/>
                <w:szCs w:val="18"/>
                <w:b w:val="1"/>
                <w:bCs w:val="1"/>
                <w:color w:val="auto"/>
              </w:rPr>
              <w:t>7.4</w:t>
            </w:r>
          </w:p>
        </w:tc>
        <w:tc>
          <w:tcPr>
            <w:tcW w:w="9100" w:type="dxa"/>
            <w:vAlign w:val="bottom"/>
          </w:tcPr>
          <w:p>
            <w:pPr>
              <w:ind w:left="320"/>
              <w:spacing w:after="0"/>
              <w:rPr>
                <w:sz w:val="20"/>
                <w:szCs w:val="20"/>
                <w:color w:val="auto"/>
              </w:rPr>
            </w:pPr>
            <w:r>
              <w:rPr>
                <w:rFonts w:ascii="Arial" w:cs="Arial" w:eastAsia="Arial" w:hAnsi="Arial"/>
                <w:sz w:val="18"/>
                <w:szCs w:val="18"/>
                <w:b w:val="1"/>
                <w:bCs w:val="1"/>
                <w:color w:val="auto"/>
                <w:w w:val="90"/>
              </w:rPr>
              <w:t>Indebtedness</w:t>
            </w:r>
            <w:r>
              <w:rPr>
                <w:rFonts w:ascii="Arial" w:cs="Arial" w:eastAsia="Arial" w:hAnsi="Arial"/>
                <w:sz w:val="18"/>
                <w:szCs w:val="18"/>
                <w:color w:val="auto"/>
                <w:w w:val="90"/>
              </w:rPr>
              <w:t>. Create, incur, assume or be or remain liable with respect to any Indebtedness, or permit any Subsidiary so</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to do, other than Permitted Indebtedness.</w:t>
            </w:r>
          </w:p>
        </w:tc>
      </w:tr>
      <w:tr>
        <w:trPr>
          <w:trHeight w:val="432"/>
        </w:trPr>
        <w:tc>
          <w:tcPr>
            <w:tcW w:w="2320" w:type="dxa"/>
            <w:vAlign w:val="bottom"/>
          </w:tcPr>
          <w:p>
            <w:pPr>
              <w:jc w:val="right"/>
              <w:ind w:right="250"/>
              <w:spacing w:after="0"/>
              <w:rPr>
                <w:sz w:val="20"/>
                <w:szCs w:val="20"/>
                <w:color w:val="auto"/>
              </w:rPr>
            </w:pPr>
            <w:r>
              <w:rPr>
                <w:rFonts w:ascii="Arial" w:cs="Arial" w:eastAsia="Arial" w:hAnsi="Arial"/>
                <w:sz w:val="18"/>
                <w:szCs w:val="18"/>
                <w:b w:val="1"/>
                <w:bCs w:val="1"/>
                <w:color w:val="auto"/>
              </w:rPr>
              <w:t>7.5</w:t>
            </w:r>
          </w:p>
        </w:tc>
        <w:tc>
          <w:tcPr>
            <w:tcW w:w="9100" w:type="dxa"/>
            <w:vAlign w:val="bottom"/>
          </w:tcPr>
          <w:p>
            <w:pPr>
              <w:ind w:left="320"/>
              <w:spacing w:after="0"/>
              <w:rPr>
                <w:sz w:val="20"/>
                <w:szCs w:val="20"/>
                <w:color w:val="auto"/>
              </w:rPr>
            </w:pPr>
            <w:r>
              <w:rPr>
                <w:rFonts w:ascii="Arial" w:cs="Arial" w:eastAsia="Arial" w:hAnsi="Arial"/>
                <w:sz w:val="18"/>
                <w:szCs w:val="18"/>
                <w:b w:val="1"/>
                <w:bCs w:val="1"/>
                <w:color w:val="auto"/>
                <w:w w:val="93"/>
              </w:rPr>
              <w:t>Encumbrances</w:t>
            </w:r>
            <w:r>
              <w:rPr>
                <w:rFonts w:ascii="Arial" w:cs="Arial" w:eastAsia="Arial" w:hAnsi="Arial"/>
                <w:sz w:val="18"/>
                <w:szCs w:val="18"/>
                <w:color w:val="auto"/>
                <w:w w:val="93"/>
              </w:rPr>
              <w:t>. Create, incur, assume or suffer to exist any Lien with respect to any of its property (including, without</w:t>
            </w:r>
          </w:p>
        </w:tc>
      </w:tr>
    </w:tbl>
    <w:p>
      <w:pPr>
        <w:jc w:val="both"/>
        <w:spacing w:after="0" w:line="253" w:lineRule="auto"/>
        <w:rPr>
          <w:sz w:val="20"/>
          <w:szCs w:val="20"/>
          <w:color w:val="auto"/>
        </w:rPr>
      </w:pPr>
      <w:r>
        <w:rPr>
          <w:rFonts w:ascii="Arial" w:cs="Arial" w:eastAsia="Arial" w:hAnsi="Arial"/>
          <w:sz w:val="18"/>
          <w:szCs w:val="18"/>
          <w:color w:val="auto"/>
        </w:rPr>
        <w:t>limitation, its Intellectual Property), or assign or otherwise convey any right to receive income, including the sale of any Accounts, or permit any of its Subsidiaries to do so, except for (a) Permitted Liens and (b) standard anti-assignment provisions contained in collaboration agreements entered into by Borrower in the ordinary course of Borrower’s business, or agree with any Person other than Bank not to grant a security interest in, or otherwise encumber, any of its property (including, without limitation, its Intellectual Property), or permit any Subsidiary to do so, other than with respect to any fixed assets subject to a Lien permitted under clause (c) of the defined term “Permitted Liens.”</w:t>
      </w:r>
    </w:p>
    <w:p>
      <w:pPr>
        <w:spacing w:after="0" w:line="187" w:lineRule="exact"/>
        <w:rPr>
          <w:sz w:val="20"/>
          <w:szCs w:val="20"/>
          <w:color w:val="auto"/>
        </w:rPr>
      </w:pPr>
    </w:p>
    <w:p>
      <w:pPr>
        <w:jc w:val="both"/>
        <w:ind w:firstLine="1755"/>
        <w:spacing w:after="0" w:line="261" w:lineRule="auto"/>
        <w:rPr>
          <w:sz w:val="20"/>
          <w:szCs w:val="20"/>
          <w:color w:val="auto"/>
        </w:rPr>
      </w:pPr>
      <w:r>
        <w:rPr>
          <w:rFonts w:ascii="Arial" w:cs="Arial" w:eastAsia="Arial" w:hAnsi="Arial"/>
          <w:sz w:val="18"/>
          <w:szCs w:val="18"/>
          <w:b w:val="1"/>
          <w:bCs w:val="1"/>
          <w:color w:val="auto"/>
        </w:rPr>
        <w:t>7.6 Distributions</w:t>
      </w:r>
      <w:r>
        <w:rPr>
          <w:rFonts w:ascii="Arial" w:cs="Arial" w:eastAsia="Arial" w:hAnsi="Arial"/>
          <w:sz w:val="18"/>
          <w:szCs w:val="18"/>
          <w:color w:val="auto"/>
        </w:rPr>
        <w:t>. Pay any dividends or make any other distribution or payment on account of or in redemption, 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or purchase of any capital stock, including but not limited to any distributions by Borrower to Parent, or permit any of its Subsidiaries to do so, except that Borrower may repurchase the stock of former employees pursuant to stock repurchase agreements as long as an Event of Default does not exist prior to such repurchase or would not exist after giving effect to such repurchase.</w:t>
      </w:r>
    </w:p>
    <w:p>
      <w:pPr>
        <w:spacing w:after="0" w:line="180" w:lineRule="exact"/>
        <w:rPr>
          <w:sz w:val="20"/>
          <w:szCs w:val="20"/>
          <w:color w:val="auto"/>
        </w:rPr>
      </w:pPr>
    </w:p>
    <w:p>
      <w:pPr>
        <w:jc w:val="both"/>
        <w:ind w:firstLine="1755"/>
        <w:spacing w:after="0" w:line="277" w:lineRule="auto"/>
        <w:rPr>
          <w:sz w:val="20"/>
          <w:szCs w:val="20"/>
          <w:color w:val="auto"/>
        </w:rPr>
      </w:pPr>
      <w:r>
        <w:rPr>
          <w:rFonts w:ascii="Arial" w:cs="Arial" w:eastAsia="Arial" w:hAnsi="Arial"/>
          <w:sz w:val="17"/>
          <w:szCs w:val="17"/>
          <w:b w:val="1"/>
          <w:bCs w:val="1"/>
          <w:color w:val="auto"/>
        </w:rPr>
        <w:t>7.7 Investments</w:t>
      </w:r>
      <w:r>
        <w:rPr>
          <w:rFonts w:ascii="Arial" w:cs="Arial" w:eastAsia="Arial" w:hAnsi="Arial"/>
          <w:sz w:val="17"/>
          <w:szCs w:val="17"/>
          <w:color w:val="auto"/>
        </w:rPr>
        <w:t>. Directly or indirectly acquire or own, or make any Investment in or to any Person, or permit any of its</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so to do, other than Permitted Investments; or maintain or invest any of its property with a Person other than Bank or permit any of its Subsidiaries to do so unless the deposit or securities account in which such property is so invested or maintained constitutes Excluded Collateral or such Person has entered into an account control agreement with Bank in form and substance satisfactory to Bank; or suffer or permit any Subsidiary to be a party to, or be bound by, an agreement that restricts such Subsidiary from paying dividends or otherwise distributing property to Borrower.</w:t>
      </w:r>
    </w:p>
    <w:p>
      <w:pPr>
        <w:spacing w:after="0" w:line="168" w:lineRule="exact"/>
        <w:rPr>
          <w:sz w:val="20"/>
          <w:szCs w:val="20"/>
          <w:color w:val="auto"/>
        </w:rPr>
      </w:pPr>
    </w:p>
    <w:p>
      <w:pPr>
        <w:jc w:val="both"/>
        <w:ind w:firstLine="1755"/>
        <w:spacing w:after="0" w:line="266" w:lineRule="auto"/>
        <w:rPr>
          <w:sz w:val="20"/>
          <w:szCs w:val="20"/>
          <w:color w:val="auto"/>
        </w:rPr>
      </w:pPr>
      <w:r>
        <w:rPr>
          <w:rFonts w:ascii="Arial" w:cs="Arial" w:eastAsia="Arial" w:hAnsi="Arial"/>
          <w:sz w:val="18"/>
          <w:szCs w:val="18"/>
          <w:b w:val="1"/>
          <w:bCs w:val="1"/>
          <w:color w:val="auto"/>
        </w:rPr>
        <w:t>7.8 Transactions with Affiliates</w:t>
      </w:r>
      <w:r>
        <w:rPr>
          <w:rFonts w:ascii="Arial" w:cs="Arial" w:eastAsia="Arial" w:hAnsi="Arial"/>
          <w:sz w:val="18"/>
          <w:szCs w:val="18"/>
          <w:color w:val="auto"/>
        </w:rPr>
        <w:t>. Directly or indirectly enter into or permit to exist any material transaction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of Borrower except for transactions that are in the ordinary course of Borrower’s business, upon fair and reasonable terms that are no less favorable to Borrower than would be obtained in an arm’s length transaction with a non-affiliated Person.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jc w:val="both"/>
        <w:ind w:firstLine="1755"/>
        <w:spacing w:after="0" w:line="266" w:lineRule="auto"/>
        <w:rPr>
          <w:sz w:val="20"/>
          <w:szCs w:val="20"/>
          <w:color w:val="auto"/>
        </w:rPr>
      </w:pPr>
      <w:r>
        <w:rPr>
          <w:rFonts w:ascii="Arial" w:cs="Arial" w:eastAsia="Arial" w:hAnsi="Arial"/>
          <w:sz w:val="18"/>
          <w:szCs w:val="18"/>
          <w:b w:val="1"/>
          <w:bCs w:val="1"/>
          <w:color w:val="auto"/>
        </w:rPr>
        <w:t>7.9 Subordinated Debt</w:t>
      </w:r>
      <w:r>
        <w:rPr>
          <w:rFonts w:ascii="Arial" w:cs="Arial" w:eastAsia="Arial" w:hAnsi="Arial"/>
          <w:sz w:val="18"/>
          <w:szCs w:val="18"/>
          <w:color w:val="auto"/>
        </w:rPr>
        <w:t>. Make any payment in respect of any Subordinated Debt, or permit any of its Subsidiaries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any such payment, except in compliance with the terms of such Subordinated Debt, or amend any provision contained in any documentation relating to the Subordinated Debt without Bank’s prior written consent.</w:t>
      </w:r>
    </w:p>
    <w:p>
      <w:pPr>
        <w:spacing w:after="0" w:line="176" w:lineRule="exact"/>
        <w:rPr>
          <w:sz w:val="20"/>
          <w:szCs w:val="20"/>
          <w:color w:val="auto"/>
        </w:rPr>
      </w:pPr>
    </w:p>
    <w:p>
      <w:pPr>
        <w:jc w:val="both"/>
        <w:ind w:firstLine="1755"/>
        <w:spacing w:after="0" w:line="277" w:lineRule="auto"/>
        <w:rPr>
          <w:sz w:val="20"/>
          <w:szCs w:val="20"/>
          <w:color w:val="auto"/>
        </w:rPr>
      </w:pPr>
      <w:r>
        <w:rPr>
          <w:rFonts w:ascii="Arial" w:cs="Arial" w:eastAsia="Arial" w:hAnsi="Arial"/>
          <w:sz w:val="17"/>
          <w:szCs w:val="17"/>
          <w:b w:val="1"/>
          <w:bCs w:val="1"/>
          <w:color w:val="auto"/>
        </w:rPr>
        <w:t>7.10 Inventory and Equipment</w:t>
      </w:r>
      <w:r>
        <w:rPr>
          <w:rFonts w:ascii="Arial" w:cs="Arial" w:eastAsia="Arial" w:hAnsi="Arial"/>
          <w:sz w:val="17"/>
          <w:szCs w:val="17"/>
          <w:color w:val="auto"/>
        </w:rPr>
        <w:t>. Store the Inventory or the Equipment, in either case having a book value in excess of Three</w:t>
      </w:r>
      <w:r>
        <w:rPr>
          <w:rFonts w:ascii="Arial" w:cs="Arial" w:eastAsia="Arial" w:hAnsi="Arial"/>
          <w:sz w:val="17"/>
          <w:szCs w:val="17"/>
          <w:b w:val="1"/>
          <w:bCs w:val="1"/>
          <w:color w:val="auto"/>
        </w:rPr>
        <w:t xml:space="preserve"> </w:t>
      </w:r>
      <w:r>
        <w:rPr>
          <w:rFonts w:ascii="Arial" w:cs="Arial" w:eastAsia="Arial" w:hAnsi="Arial"/>
          <w:sz w:val="17"/>
          <w:szCs w:val="17"/>
          <w:color w:val="auto"/>
        </w:rPr>
        <w:t>Hundred Thousand Dollars ($300,000.00) per location, with a bailee, warehouseman, or other third party unless the third party has been notified of Bank’s security interest and Bank (a) has received an acknowledgment from the third party that it is holding or will hold the Inventory or Equipment for Bank’s benefit or (b) is in pledge possession of the warehouse receipt, where negotiable, covering such Inventory or Equipment. Except as otherwise disclosed in writing to Bank, store or maintain any Equipment or Inventory at a location other than the location set forth in Section 10 of this Agreement.</w:t>
      </w:r>
    </w:p>
    <w:p>
      <w:pPr>
        <w:spacing w:after="0" w:line="168"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18"/>
          <w:szCs w:val="18"/>
          <w:b w:val="1"/>
          <w:bCs w:val="1"/>
          <w:color w:val="auto"/>
        </w:rPr>
        <w:t>7.11 Compliance</w:t>
      </w:r>
      <w:r>
        <w:rPr>
          <w:rFonts w:ascii="Arial" w:cs="Arial" w:eastAsia="Arial" w:hAnsi="Arial"/>
          <w:sz w:val="18"/>
          <w:szCs w:val="18"/>
          <w:color w:val="auto"/>
        </w:rPr>
        <w:t>. Become an “investment company” or be controlled by an “investment company,” within the meaning of</w:t>
      </w:r>
      <w:r>
        <w:rPr>
          <w:rFonts w:ascii="Arial" w:cs="Arial" w:eastAsia="Arial" w:hAnsi="Arial"/>
          <w:sz w:val="18"/>
          <w:szCs w:val="18"/>
          <w:b w:val="1"/>
          <w:bCs w:val="1"/>
          <w:color w:val="auto"/>
        </w:rPr>
        <w:t xml:space="preserve"> </w:t>
      </w:r>
      <w:r>
        <w:rPr>
          <w:rFonts w:ascii="Arial" w:cs="Arial" w:eastAsia="Arial" w:hAnsi="Arial"/>
          <w:sz w:val="18"/>
          <w:szCs w:val="18"/>
          <w:color w:val="auto"/>
        </w:rPr>
        <w:t>the Investment Company Act of 1940, or become principally engaged in, or undertake as one of its important activities, the business of extending credit for the purpose of purchasing or carrying margin stock, or use the proceeds of any Credit Extension for such purpose. Fail to meet the minimum funding requirements of ERISA, permit a Reportable Event or Prohibited Transaction, as defined in ERISA, to occur, fail to comply with the Federal Fair Labor Standards Act or violate any law or regulation, which failure, permission or violation could reasonably be expected to have a Material Adverse Effect, or permit any of its Subsidiaries to do any of the foregoing.</w:t>
      </w:r>
    </w:p>
    <w:p>
      <w:pPr>
        <w:spacing w:after="0" w:line="188" w:lineRule="exact"/>
        <w:rPr>
          <w:sz w:val="20"/>
          <w:szCs w:val="20"/>
          <w:color w:val="auto"/>
        </w:rPr>
      </w:pPr>
    </w:p>
    <w:p>
      <w:pPr>
        <w:ind w:left="1760"/>
        <w:spacing w:after="0"/>
        <w:tabs>
          <w:tab w:leader="none" w:pos="2700" w:val="left"/>
        </w:tabs>
        <w:rPr>
          <w:sz w:val="20"/>
          <w:szCs w:val="20"/>
          <w:color w:val="auto"/>
        </w:rPr>
      </w:pPr>
      <w:r>
        <w:rPr>
          <w:rFonts w:ascii="Arial" w:cs="Arial" w:eastAsia="Arial" w:hAnsi="Arial"/>
          <w:sz w:val="18"/>
          <w:szCs w:val="18"/>
          <w:b w:val="1"/>
          <w:bCs w:val="1"/>
          <w:color w:val="auto"/>
        </w:rPr>
        <w:t>7.12</w:t>
      </w:r>
      <w:r>
        <w:rPr>
          <w:sz w:val="20"/>
          <w:szCs w:val="20"/>
          <w:color w:val="auto"/>
        </w:rPr>
        <w:tab/>
      </w:r>
      <w:r>
        <w:rPr>
          <w:rFonts w:ascii="Arial" w:cs="Arial" w:eastAsia="Arial" w:hAnsi="Arial"/>
          <w:sz w:val="15"/>
          <w:szCs w:val="15"/>
          <w:b w:val="1"/>
          <w:bCs w:val="1"/>
          <w:color w:val="auto"/>
        </w:rPr>
        <w:t>Reserved</w:t>
      </w:r>
      <w:r>
        <w:rPr>
          <w:rFonts w:ascii="Arial" w:cs="Arial" w:eastAsia="Arial" w:hAnsi="Arial"/>
          <w:sz w:val="15"/>
          <w:szCs w:val="15"/>
          <w:color w:val="auto"/>
        </w:rPr>
        <w:t>.</w:t>
      </w:r>
    </w:p>
    <w:p>
      <w:pPr>
        <w:spacing w:after="0" w:line="225" w:lineRule="exact"/>
        <w:rPr>
          <w:sz w:val="20"/>
          <w:szCs w:val="20"/>
          <w:color w:val="auto"/>
        </w:rPr>
      </w:pPr>
    </w:p>
    <w:p>
      <w:pPr>
        <w:jc w:val="both"/>
        <w:ind w:firstLine="1755"/>
        <w:spacing w:after="0" w:line="218" w:lineRule="exact"/>
        <w:rPr>
          <w:sz w:val="20"/>
          <w:szCs w:val="20"/>
          <w:color w:val="auto"/>
        </w:rPr>
      </w:pPr>
      <w:r>
        <w:rPr>
          <w:rFonts w:ascii="Arial" w:cs="Arial" w:eastAsia="Arial" w:hAnsi="Arial"/>
          <w:sz w:val="17"/>
          <w:szCs w:val="17"/>
          <w:b w:val="1"/>
          <w:bCs w:val="1"/>
          <w:color w:val="auto"/>
        </w:rPr>
        <w:t>7.13 Compliance with Anti</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 xml:space="preserve">Terrorism Laws. </w:t>
      </w:r>
      <w:r>
        <w:rPr>
          <w:rFonts w:ascii="Arial" w:cs="Arial" w:eastAsia="Arial" w:hAnsi="Arial"/>
          <w:sz w:val="17"/>
          <w:szCs w:val="17"/>
          <w:color w:val="auto"/>
        </w:rPr>
        <w:t>Bank hereby notifies Borrower and each of its Subsidiaries that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requirements of Anti-Terrorism Laws, and Bank’s policies and practices, Bank is required to obtain, verify and record certain information and documentation that identifies Borrower and each of its Subsidiaries and their principals, which information includes the name and address of Borrower and each of its Subsidiaries and their principals and such other information that will allow Bank to identify such party in accordance with Anti-Terrorism Laws. Neither Borrower nor any of its Subsidiaries shall , directly or indirectly, knowingly enter into any documents, instruments, agreements or contracts with any Person listed on the OFAC Lists. Borrower and each of its Subsidiaries shall promptly notify Bank if Borrower or such Subsidiary has knowledge that Borrower, or any Subsidiary or Affiliate of Borrower, is listed on the OFAC Lists or (a) is convicted on, (b) pleads nolo contendere to, (c) is indicted on, or (d) is arraigned and held over on charges involving money laundering or predicate crimes to money laundering. Neither Borrower nor any of its Subsidiaries shall,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198"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17"/>
          <w:szCs w:val="17"/>
          <w:b w:val="1"/>
          <w:bCs w:val="1"/>
          <w:color w:val="auto"/>
        </w:rPr>
        <w:t>7.14 Assets held by Parent/Alcobra</w:t>
      </w:r>
      <w:r>
        <w:rPr>
          <w:rFonts w:ascii="Arial" w:cs="Arial" w:eastAsia="Arial" w:hAnsi="Arial"/>
          <w:sz w:val="17"/>
          <w:szCs w:val="17"/>
          <w:color w:val="auto"/>
        </w:rPr>
        <w:t>. Borrower shall not permit (i) Parent to maintain cash or other assets, other than (a) the</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Borrower and Alcobra, (b) shares related to the sale of the ADAIR technology (valued at Five Hundred Ninety Thousand Dollars ($590,000.00) as of June 30, 2018), and (c) cash of an amount or value in excess of Three Hundred Fifty Thousand Dollars ($350,000.00); in each case of (i) (a) – (c), subject to Section 6.13; and (ii) Alcobra to maintain cash or other assets of an amount or value in excess of (x) through December 31, 2018, Six Hundred Thousand Dollars ($600,000.00) and (y) thereafter, Ten Thousand Dollars ($10,000.00); in each case, at all times during the term of this Agreement, unless Parent or Alcobra, as applicable, is a co-Borrower or guarantor of the Obligations hereunder.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ind w:left="1660" w:hanging="775"/>
        <w:spacing w:after="0"/>
        <w:tabs>
          <w:tab w:leader="none" w:pos="1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VENTS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EFAULT</w:t>
      </w:r>
      <w:r>
        <w:rPr>
          <w:rFonts w:ascii="Arial" w:cs="Arial" w:eastAsia="Arial" w:hAnsi="Arial"/>
          <w:sz w:val="18"/>
          <w:szCs w:val="18"/>
          <w:b w:val="1"/>
          <w:bCs w:val="1"/>
          <w:color w:val="auto"/>
        </w:rPr>
        <w: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Any one or more of the following events shall constitute an Event of Default by Borrower under this Agreement:</w:t>
      </w:r>
    </w:p>
    <w:p>
      <w:pPr>
        <w:spacing w:after="0" w:line="221" w:lineRule="exact"/>
        <w:rPr>
          <w:sz w:val="20"/>
          <w:szCs w:val="20"/>
          <w:color w:val="auto"/>
        </w:rPr>
      </w:pPr>
    </w:p>
    <w:p>
      <w:pPr>
        <w:ind w:left="1760"/>
        <w:spacing w:after="0"/>
        <w:tabs>
          <w:tab w:leader="none" w:pos="262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Payment Default</w:t>
      </w:r>
      <w:r>
        <w:rPr>
          <w:rFonts w:ascii="Arial" w:cs="Arial" w:eastAsia="Arial" w:hAnsi="Arial"/>
          <w:sz w:val="16"/>
          <w:szCs w:val="16"/>
          <w:color w:val="auto"/>
        </w:rPr>
        <w:t>. Borrower fails to (a) make any payment of principal or interest on any Credit Extension when due, or</w:t>
      </w:r>
    </w:p>
    <w:p>
      <w:pPr>
        <w:spacing w:after="0" w:line="27" w:lineRule="exact"/>
        <w:rPr>
          <w:sz w:val="20"/>
          <w:szCs w:val="20"/>
          <w:color w:val="auto"/>
        </w:rPr>
      </w:pPr>
    </w:p>
    <w:p>
      <w:pPr>
        <w:jc w:val="both"/>
        <w:ind w:firstLine="8"/>
        <w:spacing w:after="0" w:line="255" w:lineRule="auto"/>
        <w:tabs>
          <w:tab w:leader="none" w:pos="261"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any other Obligations within three (3) Business Days after such Obligations are due and payable (which three (3) Business Day cure period shall not apply to payments due on the Loan Maturity Date). During the cure period, the failure to make or pay any payment specified under clause (b) hereunder is not an Event of Default (but no Credit Extension will be made during the cure period);</w:t>
      </w:r>
    </w:p>
    <w:p>
      <w:pPr>
        <w:spacing w:after="0" w:line="186" w:lineRule="exact"/>
        <w:rPr>
          <w:sz w:val="20"/>
          <w:szCs w:val="20"/>
          <w:color w:val="auto"/>
        </w:rPr>
      </w:pPr>
    </w:p>
    <w:p>
      <w:pPr>
        <w:ind w:left="1760"/>
        <w:spacing w:after="0"/>
        <w:tabs>
          <w:tab w:leader="none" w:pos="26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Covenant Default</w:t>
      </w:r>
      <w:r>
        <w:rPr>
          <w:rFonts w:ascii="Arial" w:cs="Arial" w:eastAsia="Arial" w:hAnsi="Arial"/>
          <w:sz w:val="16"/>
          <w:szCs w:val="16"/>
          <w:color w:val="auto"/>
        </w:rPr>
        <w:t>.</w:t>
      </w:r>
    </w:p>
    <w:p>
      <w:pPr>
        <w:spacing w:after="0" w:line="229" w:lineRule="exact"/>
        <w:rPr>
          <w:sz w:val="20"/>
          <w:szCs w:val="20"/>
          <w:color w:val="auto"/>
        </w:rPr>
      </w:pPr>
    </w:p>
    <w:p>
      <w:pPr>
        <w:ind w:firstLine="2642"/>
        <w:spacing w:after="0" w:line="277" w:lineRule="auto"/>
        <w:tabs>
          <w:tab w:leader="none" w:pos="3492"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If Borrower fails or neglects to perform any obligation in Sections 6.3, 6.5, 6.6, 6.7, 6.8, 6.9, 6.12 or 6.13 or violates any of the covenants contained in Article 7 of this Agreement; or</w:t>
      </w:r>
    </w:p>
    <w:p>
      <w:pPr>
        <w:spacing w:after="0" w:line="170" w:lineRule="exact"/>
        <w:rPr>
          <w:rFonts w:ascii="Arial" w:cs="Arial" w:eastAsia="Arial" w:hAnsi="Arial"/>
          <w:sz w:val="18"/>
          <w:szCs w:val="18"/>
          <w:b w:val="1"/>
          <w:bCs w:val="1"/>
          <w:color w:val="auto"/>
        </w:rPr>
      </w:pPr>
    </w:p>
    <w:p>
      <w:pPr>
        <w:jc w:val="both"/>
        <w:ind w:firstLine="2642"/>
        <w:spacing w:after="0" w:line="254" w:lineRule="auto"/>
        <w:tabs>
          <w:tab w:leader="none" w:pos="3502"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If Borrower fails or neglects to perform or observe any other material term, provision, condition, covenant contained in this Agreement, in any of the other Loan Documents, or in any other present or future agreement between Borrower and Bank and as to any default under such other term, provision, condition or covenant that can be cured, has failed to cure such default within fifteen (15) days after Borrower receives notice thereof or any Responsible Officer of Borrower becomes aware thereof; provided, however, that if the default cannot by its nature be cured within the fifteen (15) day period or cannot after diligent attempts by Borrower be cured within such fifteen (15) day period, and such default is likely to be cured within a reasonable time, then Borrower shall have an additional reasonable period (which shall not in any case exceed thirty (30) days) to attempt to cure such default, and within such reasonable time period the failure to have cured such default shall not be deemed an Event of Default but no Credit Extensions will be made.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320" w:type="dxa"/>
            <w:vAlign w:val="bottom"/>
          </w:tcPr>
          <w:p>
            <w:pPr>
              <w:jc w:val="right"/>
              <w:ind w:right="250"/>
              <w:spacing w:after="0"/>
              <w:rPr>
                <w:sz w:val="20"/>
                <w:szCs w:val="20"/>
                <w:color w:val="auto"/>
              </w:rPr>
            </w:pPr>
            <w:r>
              <w:rPr>
                <w:rFonts w:ascii="Arial" w:cs="Arial" w:eastAsia="Arial" w:hAnsi="Arial"/>
                <w:sz w:val="18"/>
                <w:szCs w:val="18"/>
                <w:b w:val="1"/>
                <w:bCs w:val="1"/>
                <w:color w:val="auto"/>
              </w:rPr>
              <w:t>8.3</w:t>
            </w:r>
          </w:p>
        </w:tc>
        <w:tc>
          <w:tcPr>
            <w:tcW w:w="9100" w:type="dxa"/>
            <w:vAlign w:val="bottom"/>
          </w:tcPr>
          <w:p>
            <w:pPr>
              <w:ind w:left="320"/>
              <w:spacing w:after="0"/>
              <w:rPr>
                <w:sz w:val="20"/>
                <w:szCs w:val="20"/>
                <w:color w:val="auto"/>
              </w:rPr>
            </w:pPr>
            <w:r>
              <w:rPr>
                <w:rFonts w:ascii="Arial" w:cs="Arial" w:eastAsia="Arial" w:hAnsi="Arial"/>
                <w:sz w:val="18"/>
                <w:szCs w:val="18"/>
                <w:b w:val="1"/>
                <w:bCs w:val="1"/>
                <w:color w:val="auto"/>
                <w:w w:val="90"/>
              </w:rPr>
              <w:t>Material Adverse Effect</w:t>
            </w:r>
            <w:r>
              <w:rPr>
                <w:rFonts w:ascii="Arial" w:cs="Arial" w:eastAsia="Arial" w:hAnsi="Arial"/>
                <w:sz w:val="18"/>
                <w:szCs w:val="18"/>
                <w:color w:val="auto"/>
                <w:w w:val="90"/>
              </w:rPr>
              <w:t>. If there occurs any circumstance or circumstances that could reasonably be expected to have a</w:t>
            </w:r>
          </w:p>
        </w:tc>
      </w:tr>
      <w:tr>
        <w:trPr>
          <w:trHeight w:val="230"/>
        </w:trPr>
        <w:tc>
          <w:tcPr>
            <w:tcW w:w="2320" w:type="dxa"/>
            <w:vAlign w:val="bottom"/>
          </w:tcPr>
          <w:p>
            <w:pPr>
              <w:jc w:val="right"/>
              <w:ind w:right="430"/>
              <w:spacing w:after="0"/>
              <w:rPr>
                <w:sz w:val="20"/>
                <w:szCs w:val="20"/>
                <w:color w:val="auto"/>
              </w:rPr>
            </w:pPr>
            <w:r>
              <w:rPr>
                <w:rFonts w:ascii="Arial" w:cs="Arial" w:eastAsia="Arial" w:hAnsi="Arial"/>
                <w:sz w:val="18"/>
                <w:szCs w:val="18"/>
                <w:color w:val="auto"/>
                <w:w w:val="93"/>
              </w:rPr>
              <w:t>Material Adverse Effect;</w:t>
            </w:r>
          </w:p>
        </w:tc>
        <w:tc>
          <w:tcPr>
            <w:tcW w:w="9100" w:type="dxa"/>
            <w:vAlign w:val="bottom"/>
          </w:tcPr>
          <w:p>
            <w:pPr>
              <w:spacing w:after="0"/>
              <w:rPr>
                <w:sz w:val="20"/>
                <w:szCs w:val="20"/>
                <w:color w:val="auto"/>
              </w:rPr>
            </w:pPr>
          </w:p>
        </w:tc>
      </w:tr>
      <w:tr>
        <w:trPr>
          <w:trHeight w:val="432"/>
        </w:trPr>
        <w:tc>
          <w:tcPr>
            <w:tcW w:w="2320" w:type="dxa"/>
            <w:vAlign w:val="bottom"/>
          </w:tcPr>
          <w:p>
            <w:pPr>
              <w:jc w:val="right"/>
              <w:ind w:right="250"/>
              <w:spacing w:after="0"/>
              <w:rPr>
                <w:sz w:val="20"/>
                <w:szCs w:val="20"/>
                <w:color w:val="auto"/>
              </w:rPr>
            </w:pPr>
            <w:r>
              <w:rPr>
                <w:rFonts w:ascii="Arial" w:cs="Arial" w:eastAsia="Arial" w:hAnsi="Arial"/>
                <w:sz w:val="18"/>
                <w:szCs w:val="18"/>
                <w:b w:val="1"/>
                <w:bCs w:val="1"/>
                <w:color w:val="auto"/>
              </w:rPr>
              <w:t>8.4</w:t>
            </w:r>
          </w:p>
        </w:tc>
        <w:tc>
          <w:tcPr>
            <w:tcW w:w="9100" w:type="dxa"/>
            <w:vAlign w:val="bottom"/>
          </w:tcPr>
          <w:p>
            <w:pPr>
              <w:ind w:left="320"/>
              <w:spacing w:after="0"/>
              <w:rPr>
                <w:sz w:val="20"/>
                <w:szCs w:val="20"/>
                <w:color w:val="auto"/>
              </w:rPr>
            </w:pPr>
            <w:r>
              <w:rPr>
                <w:rFonts w:ascii="Arial" w:cs="Arial" w:eastAsia="Arial" w:hAnsi="Arial"/>
                <w:sz w:val="18"/>
                <w:szCs w:val="18"/>
                <w:b w:val="1"/>
                <w:bCs w:val="1"/>
                <w:color w:val="auto"/>
                <w:w w:val="91"/>
              </w:rPr>
              <w:t>Attachment</w:t>
            </w:r>
            <w:r>
              <w:rPr>
                <w:rFonts w:ascii="Arial" w:cs="Arial" w:eastAsia="Arial" w:hAnsi="Arial"/>
                <w:sz w:val="18"/>
                <w:szCs w:val="18"/>
                <w:color w:val="auto"/>
                <w:w w:val="91"/>
              </w:rPr>
              <w:t>. If any material portion of Borrower’s assets is attached, seized, subjected to a writ or distress warrant, or is</w:t>
            </w:r>
          </w:p>
        </w:tc>
      </w:tr>
    </w:tbl>
    <w:p>
      <w:pPr>
        <w:jc w:val="both"/>
        <w:spacing w:after="0" w:line="252" w:lineRule="auto"/>
        <w:rPr>
          <w:sz w:val="20"/>
          <w:szCs w:val="20"/>
          <w:color w:val="auto"/>
        </w:rPr>
      </w:pPr>
      <w:r>
        <w:rPr>
          <w:rFonts w:ascii="Arial" w:cs="Arial" w:eastAsia="Arial" w:hAnsi="Arial"/>
          <w:sz w:val="18"/>
          <w:szCs w:val="18"/>
          <w:color w:val="auto"/>
        </w:rPr>
        <w:t>levied upon, or comes into the possession of any trustee, receiver or person acting in a similar capacity and such attachment, seizure, writ or distress warrant or levy has not been removed, discharged or rescinded within fifteen (15) days, or if Borrower is enjoined, restrained, or in any way prevented by court order from continuing to conduct all or any material part of its business affairs, or if a judgment or other claim becomes a lien or encumbrance upon any material portion of Borrower’s assets, or if a notice of lien, levy, or assessment is filed of record with respect to any material portion of Borrower’s assets by the United States Government, or any department, agency, or instrumentality thereof, or by any state, county, municipal, or governmental agency, and the same is not paid within fifteen (15) days after Borrower receives notice thereof, provided that none of the foregoing shall constitute an Event of Default where such action or event is stayed or an adequate bond has been posted pending a good faith contest by Borrower (provided that no Credit Extensions will be required to be made during such cure period);</w:t>
      </w:r>
    </w:p>
    <w:p>
      <w:pPr>
        <w:spacing w:after="0" w:line="188" w:lineRule="exact"/>
        <w:rPr>
          <w:sz w:val="20"/>
          <w:szCs w:val="20"/>
          <w:color w:val="auto"/>
        </w:rPr>
      </w:pPr>
    </w:p>
    <w:p>
      <w:pPr>
        <w:jc w:val="both"/>
        <w:ind w:firstLine="1755"/>
        <w:spacing w:after="0" w:line="266" w:lineRule="auto"/>
        <w:rPr>
          <w:sz w:val="20"/>
          <w:szCs w:val="20"/>
          <w:color w:val="auto"/>
        </w:rPr>
      </w:pPr>
      <w:r>
        <w:rPr>
          <w:rFonts w:ascii="Arial" w:cs="Arial" w:eastAsia="Arial" w:hAnsi="Arial"/>
          <w:sz w:val="18"/>
          <w:szCs w:val="18"/>
          <w:b w:val="1"/>
          <w:bCs w:val="1"/>
          <w:color w:val="auto"/>
        </w:rPr>
        <w:t>8.5 Insolvency</w:t>
      </w:r>
      <w:r>
        <w:rPr>
          <w:rFonts w:ascii="Arial" w:cs="Arial" w:eastAsia="Arial" w:hAnsi="Arial"/>
          <w:sz w:val="18"/>
          <w:szCs w:val="18"/>
          <w:color w:val="auto"/>
        </w:rPr>
        <w:t>. If Borrower is not Solvent, or if an Insolvency Proceeding is commenced by Borrower, or if an Insolvency</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is commenced against Borrower and is not dismissed or stayed within forty-five (45) days (provided that no Credit Extensions will be made prior to the dismissal of such Insolvency Proceeding);</w:t>
      </w:r>
    </w:p>
    <w:p>
      <w:pPr>
        <w:spacing w:after="0" w:line="176" w:lineRule="exact"/>
        <w:rPr>
          <w:sz w:val="20"/>
          <w:szCs w:val="20"/>
          <w:color w:val="auto"/>
        </w:rPr>
      </w:pPr>
    </w:p>
    <w:p>
      <w:pPr>
        <w:jc w:val="both"/>
        <w:ind w:firstLine="1755"/>
        <w:spacing w:after="0" w:line="266" w:lineRule="auto"/>
        <w:rPr>
          <w:sz w:val="20"/>
          <w:szCs w:val="20"/>
          <w:color w:val="auto"/>
        </w:rPr>
      </w:pPr>
      <w:r>
        <w:rPr>
          <w:rFonts w:ascii="Arial" w:cs="Arial" w:eastAsia="Arial" w:hAnsi="Arial"/>
          <w:sz w:val="18"/>
          <w:szCs w:val="18"/>
          <w:b w:val="1"/>
          <w:bCs w:val="1"/>
          <w:color w:val="auto"/>
        </w:rPr>
        <w:t>8.6 Other Agreements</w:t>
      </w:r>
      <w:r>
        <w:rPr>
          <w:rFonts w:ascii="Arial" w:cs="Arial" w:eastAsia="Arial" w:hAnsi="Arial"/>
          <w:sz w:val="18"/>
          <w:szCs w:val="18"/>
          <w:color w:val="auto"/>
        </w:rPr>
        <w:t>. If there is a default or other failure to perform in any agreement to which Borrower is a party or by</w:t>
      </w:r>
      <w:r>
        <w:rPr>
          <w:rFonts w:ascii="Arial" w:cs="Arial" w:eastAsia="Arial" w:hAnsi="Arial"/>
          <w:sz w:val="18"/>
          <w:szCs w:val="18"/>
          <w:b w:val="1"/>
          <w:bCs w:val="1"/>
          <w:color w:val="auto"/>
        </w:rPr>
        <w:t xml:space="preserve"> </w:t>
      </w:r>
      <w:r>
        <w:rPr>
          <w:rFonts w:ascii="Arial" w:cs="Arial" w:eastAsia="Arial" w:hAnsi="Arial"/>
          <w:sz w:val="18"/>
          <w:szCs w:val="18"/>
          <w:color w:val="auto"/>
        </w:rPr>
        <w:t>which it is bound resulting in a right by a third party or parties, whether or not exercised, to accelerate the maturity of any Indebtedness in an amount in excess of One Hundred Thousand Dollars ($100,000.00)) or which could reasonably be expected to have a Material Adverse Effect;</w:t>
      </w:r>
    </w:p>
    <w:p>
      <w:pPr>
        <w:spacing w:after="0" w:line="176" w:lineRule="exact"/>
        <w:rPr>
          <w:sz w:val="20"/>
          <w:szCs w:val="20"/>
          <w:color w:val="auto"/>
        </w:rPr>
      </w:pPr>
    </w:p>
    <w:p>
      <w:pPr>
        <w:jc w:val="both"/>
        <w:ind w:firstLine="1755"/>
        <w:spacing w:after="0" w:line="266" w:lineRule="auto"/>
        <w:rPr>
          <w:sz w:val="20"/>
          <w:szCs w:val="20"/>
          <w:color w:val="auto"/>
        </w:rPr>
      </w:pPr>
      <w:r>
        <w:rPr>
          <w:rFonts w:ascii="Arial" w:cs="Arial" w:eastAsia="Arial" w:hAnsi="Arial"/>
          <w:sz w:val="18"/>
          <w:szCs w:val="18"/>
          <w:b w:val="1"/>
          <w:bCs w:val="1"/>
          <w:color w:val="auto"/>
        </w:rPr>
        <w:t>8.7 Judgments</w:t>
      </w:r>
      <w:r>
        <w:rPr>
          <w:rFonts w:ascii="Arial" w:cs="Arial" w:eastAsia="Arial" w:hAnsi="Arial"/>
          <w:sz w:val="18"/>
          <w:szCs w:val="18"/>
          <w:color w:val="auto"/>
        </w:rPr>
        <w:t>. If a judgment or judgments for the payment of money in an amount, individually or in the aggregate, of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One Hundred Thousand Dollars ($100,000.00)) shall be rendered against Borrower and shall remain unsatisfied and unstayed for a period of fifteen (15) days (provided that no Credit Extensions will be made prior to the satisfaction or stay of such judgment); 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 w:name="page30"/>
    <w:bookmarkEnd w:id="29"/>
    <w:p>
      <w:pPr>
        <w:jc w:val="both"/>
        <w:ind w:firstLine="1755"/>
        <w:spacing w:after="0" w:line="266" w:lineRule="auto"/>
        <w:rPr>
          <w:sz w:val="20"/>
          <w:szCs w:val="20"/>
          <w:color w:val="auto"/>
        </w:rPr>
      </w:pPr>
      <w:r>
        <w:rPr>
          <w:rFonts w:ascii="Arial" w:cs="Arial" w:eastAsia="Arial" w:hAnsi="Arial"/>
          <w:sz w:val="18"/>
          <w:szCs w:val="18"/>
          <w:b w:val="1"/>
          <w:bCs w:val="1"/>
          <w:color w:val="auto"/>
        </w:rPr>
        <w:t>8.8 Misrepresentations</w:t>
      </w:r>
      <w:r>
        <w:rPr>
          <w:rFonts w:ascii="Arial" w:cs="Arial" w:eastAsia="Arial" w:hAnsi="Arial"/>
          <w:sz w:val="18"/>
          <w:szCs w:val="18"/>
          <w:color w:val="auto"/>
        </w:rPr>
        <w:t>. If any material misrepresentation or material misstatement exists now or hereafter in any warranty</w:t>
      </w:r>
      <w:r>
        <w:rPr>
          <w:rFonts w:ascii="Arial" w:cs="Arial" w:eastAsia="Arial" w:hAnsi="Arial"/>
          <w:sz w:val="18"/>
          <w:szCs w:val="18"/>
          <w:b w:val="1"/>
          <w:bCs w:val="1"/>
          <w:color w:val="auto"/>
        </w:rPr>
        <w:t xml:space="preserve"> </w:t>
      </w:r>
      <w:r>
        <w:rPr>
          <w:rFonts w:ascii="Arial" w:cs="Arial" w:eastAsia="Arial" w:hAnsi="Arial"/>
          <w:sz w:val="18"/>
          <w:szCs w:val="18"/>
          <w:color w:val="auto"/>
        </w:rPr>
        <w:t>or representation set forth herein or in any certificate delivered to Bank by any Responsible Officer pursuant to this Agreement or to induce Bank to enter into this Agreement or any other Loan Document.</w:t>
      </w:r>
    </w:p>
    <w:p>
      <w:pPr>
        <w:spacing w:after="0" w:line="176"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18"/>
          <w:szCs w:val="18"/>
          <w:b w:val="1"/>
          <w:bCs w:val="1"/>
          <w:color w:val="auto"/>
        </w:rPr>
        <w:t xml:space="preserve">8.9 Guaranty. </w:t>
      </w:r>
      <w:r>
        <w:rPr>
          <w:rFonts w:ascii="Arial" w:cs="Arial" w:eastAsia="Arial" w:hAnsi="Arial"/>
          <w:sz w:val="18"/>
          <w:szCs w:val="18"/>
          <w:color w:val="auto"/>
        </w:rPr>
        <w:t>If any guaranty of all or a portion of the Obligations (a “Guaranty”) ceases for any reason to be in full force</w:t>
      </w:r>
      <w:r>
        <w:rPr>
          <w:rFonts w:ascii="Arial" w:cs="Arial" w:eastAsia="Arial" w:hAnsi="Arial"/>
          <w:sz w:val="18"/>
          <w:szCs w:val="18"/>
          <w:b w:val="1"/>
          <w:bCs w:val="1"/>
          <w:color w:val="auto"/>
        </w:rPr>
        <w:t xml:space="preserve"> </w:t>
      </w:r>
      <w:r>
        <w:rPr>
          <w:rFonts w:ascii="Arial" w:cs="Arial" w:eastAsia="Arial" w:hAnsi="Arial"/>
          <w:sz w:val="18"/>
          <w:szCs w:val="18"/>
          <w:color w:val="auto"/>
        </w:rPr>
        <w:t>and effect, or any guarantor fails to perform any obligation under any Guaranty or a security agreement securing any Guaranty (collectively, the “Guaranty Documents”), or any event of default occurs under any Guaranty Document or any guarantor revokes or purports to revoke a Guaranty, or any material misrepresentation or material misstatement exists now or hereafter in any warranty or representation set forth in any Guaranty Document or in any certificate delivered to Bank in connection with any Guaranty Document, or if any of the circumstances described in Sections 8.3 through 8.8 occur with respect to any guarantor.</w:t>
      </w:r>
    </w:p>
    <w:p>
      <w:pPr>
        <w:spacing w:after="0" w:line="188" w:lineRule="exact"/>
        <w:rPr>
          <w:sz w:val="20"/>
          <w:szCs w:val="20"/>
          <w:color w:val="auto"/>
        </w:rPr>
      </w:pPr>
    </w:p>
    <w:p>
      <w:pPr>
        <w:jc w:val="both"/>
        <w:ind w:firstLine="1755"/>
        <w:spacing w:after="0" w:line="266" w:lineRule="auto"/>
        <w:rPr>
          <w:sz w:val="20"/>
          <w:szCs w:val="20"/>
          <w:color w:val="auto"/>
        </w:rPr>
      </w:pPr>
      <w:r>
        <w:rPr>
          <w:rFonts w:ascii="Arial" w:cs="Arial" w:eastAsia="Arial" w:hAnsi="Arial"/>
          <w:sz w:val="18"/>
          <w:szCs w:val="18"/>
          <w:b w:val="1"/>
          <w:bCs w:val="1"/>
          <w:color w:val="auto"/>
        </w:rPr>
        <w:t xml:space="preserve">8.10 Subordinated Debt. </w:t>
      </w:r>
      <w:r>
        <w:rPr>
          <w:rFonts w:ascii="Arial" w:cs="Arial" w:eastAsia="Arial" w:hAnsi="Arial"/>
          <w:sz w:val="18"/>
          <w:szCs w:val="18"/>
          <w:color w:val="auto"/>
        </w:rPr>
        <w:t>A default or breach occurs under any agreement between Borrower or any of its Subsidiaries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creditor of Borrower or any of its Subsidiaries that signed a subordination, intercreditor, or other similar agreement with Bank, or any creditor that has signed such an agreement with Bank breaches any terms of such agreement.</w:t>
      </w:r>
    </w:p>
    <w:p>
      <w:pPr>
        <w:spacing w:after="0" w:line="176" w:lineRule="exact"/>
        <w:rPr>
          <w:sz w:val="20"/>
          <w:szCs w:val="20"/>
          <w:color w:val="auto"/>
        </w:rPr>
      </w:pPr>
    </w:p>
    <w:p>
      <w:pPr>
        <w:jc w:val="both"/>
        <w:ind w:firstLine="1755"/>
        <w:spacing w:after="0" w:line="217" w:lineRule="exact"/>
        <w:rPr>
          <w:sz w:val="20"/>
          <w:szCs w:val="20"/>
          <w:color w:val="auto"/>
        </w:rPr>
      </w:pPr>
      <w:r>
        <w:rPr>
          <w:rFonts w:ascii="Arial" w:cs="Arial" w:eastAsia="Arial" w:hAnsi="Arial"/>
          <w:sz w:val="16"/>
          <w:szCs w:val="16"/>
          <w:b w:val="1"/>
          <w:bCs w:val="1"/>
          <w:color w:val="auto"/>
        </w:rPr>
        <w:t xml:space="preserve">8.11 Governmental Approvals; FDA Action. </w:t>
      </w:r>
      <w:r>
        <w:rPr>
          <w:rFonts w:ascii="Arial" w:cs="Arial" w:eastAsia="Arial" w:hAnsi="Arial"/>
          <w:sz w:val="16"/>
          <w:szCs w:val="16"/>
          <w:color w:val="auto"/>
        </w:rPr>
        <w:t>(a) Any Governmental Approval shall have been revoked, rescinded,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suspended, modified in an adverse manner, or not renewed in the ordinary course for a full term </w:t>
      </w:r>
      <w:r>
        <w:rPr>
          <w:rFonts w:ascii="Arial" w:cs="Arial" w:eastAsia="Arial" w:hAnsi="Arial"/>
          <w:sz w:val="16"/>
          <w:szCs w:val="16"/>
          <w:i w:val="1"/>
          <w:iCs w:val="1"/>
          <w:color w:val="auto"/>
        </w:rPr>
        <w:t>and</w:t>
      </w:r>
      <w:r>
        <w:rPr>
          <w:rFonts w:ascii="Arial" w:cs="Arial" w:eastAsia="Arial" w:hAnsi="Arial"/>
          <w:sz w:val="16"/>
          <w:szCs w:val="16"/>
          <w:color w:val="auto"/>
        </w:rPr>
        <w:t xml:space="preserve"> such revocation, rescission, suspension, modification or non</w:t>
      </w:r>
      <w:r>
        <w:rPr>
          <w:rFonts w:ascii="MS PGothic" w:cs="MS PGothic" w:eastAsia="MS PGothic" w:hAnsi="MS PGothic"/>
          <w:sz w:val="16"/>
          <w:szCs w:val="16"/>
          <w:color w:val="auto"/>
        </w:rPr>
        <w:t>‑</w:t>
      </w:r>
      <w:r>
        <w:rPr>
          <w:rFonts w:ascii="Arial" w:cs="Arial" w:eastAsia="Arial" w:hAnsi="Arial"/>
          <w:sz w:val="16"/>
          <w:szCs w:val="16"/>
          <w:color w:val="auto"/>
        </w:rPr>
        <w:t>renewal has resulted in or could reasonably be expected to result in a Material Adverse Effect; or (b) (i) the FDA, DOJ, or other Governmental Authority initiates a Regulatory Action or any other enforcement action against Borrower or any of its Subsidiaries or any supplier of Borrower or any of its Subsidiaries that causes Borrower or any of its Subsidiaries to recall, withdraw, remove or discontinue manufacturing, distributing, and/or marketing any of its products, even if such action is based on previously disclosed conduct, and such recall, withdrawal, removal or discontinuation would reasonably be expected to have a Material Adverse Effect; (ii) the FDA issues a warning letter or Regulatory Action to Borrower or any of its Subsidiaries with respect to any of its activities or products which could reasonably be expected to result in a Material Adverse Effect; (iii) Borrower or any of its Subsidiaries conducts a mandatory or voluntary recall which could reasonably be expected to result in a Material Adverse Effect; (iv) Borrower or any of its Subsidiaries enters into a settlement agreement with the FDA, DOJ, or other Governmental Authority that could reasonably be expected to result in a Material Adverse Effect even if such settlement agreement is based on previously disclosed conduct; or (v) Borrower or any of its Subsidiaries fails to remediate observations identified in an FDA Form 483 notice of inspection observation to Bank’s reasonable satisfaction within six months of receipt, and such failure would reasonably be expected to have a Material Adverse Effect; or (vi) the FDA revokes any authorization or permission granted under any Registration, or Borrower or any of its Subsidiaries withdraws any Registration, that could reasonably be expected to result in a Material Adverse Effect.</w:t>
      </w:r>
    </w:p>
    <w:p>
      <w:pPr>
        <w:spacing w:after="0" w:line="204" w:lineRule="exact"/>
        <w:rPr>
          <w:sz w:val="20"/>
          <w:szCs w:val="20"/>
          <w:color w:val="auto"/>
        </w:rPr>
      </w:pPr>
    </w:p>
    <w:p>
      <w:pPr>
        <w:ind w:left="1760"/>
        <w:spacing w:after="0"/>
        <w:tabs>
          <w:tab w:leader="none" w:pos="2700" w:val="left"/>
        </w:tabs>
        <w:rPr>
          <w:sz w:val="20"/>
          <w:szCs w:val="20"/>
          <w:color w:val="auto"/>
        </w:rPr>
      </w:pPr>
      <w:r>
        <w:rPr>
          <w:rFonts w:ascii="Arial" w:cs="Arial" w:eastAsia="Arial" w:hAnsi="Arial"/>
          <w:sz w:val="18"/>
          <w:szCs w:val="18"/>
          <w:b w:val="1"/>
          <w:bCs w:val="1"/>
          <w:color w:val="auto"/>
        </w:rPr>
        <w:t>8.12</w:t>
      </w:r>
      <w:r>
        <w:rPr>
          <w:sz w:val="20"/>
          <w:szCs w:val="20"/>
          <w:color w:val="auto"/>
        </w:rPr>
        <w:tab/>
      </w:r>
      <w:r>
        <w:rPr>
          <w:rFonts w:ascii="Arial" w:cs="Arial" w:eastAsia="Arial" w:hAnsi="Arial"/>
          <w:sz w:val="15"/>
          <w:szCs w:val="15"/>
          <w:b w:val="1"/>
          <w:bCs w:val="1"/>
          <w:color w:val="auto"/>
        </w:rPr>
        <w:t>Reserved</w:t>
      </w:r>
      <w:r>
        <w:rPr>
          <w:rFonts w:ascii="Arial" w:cs="Arial" w:eastAsia="Arial" w:hAnsi="Arial"/>
          <w:sz w:val="15"/>
          <w:szCs w:val="15"/>
          <w:color w:val="auto"/>
        </w:rPr>
        <w:t>.</w:t>
      </w:r>
    </w:p>
    <w:p>
      <w:pPr>
        <w:spacing w:after="0" w:line="225" w:lineRule="exact"/>
        <w:rPr>
          <w:sz w:val="20"/>
          <w:szCs w:val="20"/>
          <w:color w:val="auto"/>
        </w:rPr>
      </w:pPr>
    </w:p>
    <w:p>
      <w:pPr>
        <w:ind w:left="1660" w:hanging="775"/>
        <w:spacing w:after="0"/>
        <w:tabs>
          <w:tab w:leader="none" w:pos="1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ANK</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EMEDIES</w:t>
      </w:r>
      <w:r>
        <w:rPr>
          <w:rFonts w:ascii="Arial" w:cs="Arial" w:eastAsia="Arial" w:hAnsi="Arial"/>
          <w:sz w:val="18"/>
          <w:szCs w:val="18"/>
          <w:b w:val="1"/>
          <w:bCs w:val="1"/>
          <w:color w:val="auto"/>
        </w:rPr>
        <w:t>.</w:t>
      </w:r>
    </w:p>
    <w:p>
      <w:pPr>
        <w:spacing w:after="0" w:line="225" w:lineRule="exact"/>
        <w:rPr>
          <w:sz w:val="20"/>
          <w:szCs w:val="20"/>
          <w:color w:val="auto"/>
        </w:rPr>
      </w:pPr>
    </w:p>
    <w:p>
      <w:pPr>
        <w:ind w:firstLine="1755"/>
        <w:spacing w:after="0" w:line="282" w:lineRule="auto"/>
        <w:rPr>
          <w:sz w:val="20"/>
          <w:szCs w:val="20"/>
          <w:color w:val="auto"/>
        </w:rPr>
      </w:pPr>
      <w:r>
        <w:rPr>
          <w:rFonts w:ascii="Arial" w:cs="Arial" w:eastAsia="Arial" w:hAnsi="Arial"/>
          <w:sz w:val="18"/>
          <w:szCs w:val="18"/>
          <w:b w:val="1"/>
          <w:bCs w:val="1"/>
          <w:color w:val="auto"/>
        </w:rPr>
        <w:t>9.1 Rights and Remedies</w:t>
      </w:r>
      <w:r>
        <w:rPr>
          <w:rFonts w:ascii="Arial" w:cs="Arial" w:eastAsia="Arial" w:hAnsi="Arial"/>
          <w:sz w:val="18"/>
          <w:szCs w:val="18"/>
          <w:color w:val="auto"/>
        </w:rPr>
        <w:t>. Upon the occurrence and during the continuance of an Event of Default, Bank may, at its</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without notice of its election and without demand, do any one or more of the following, all of which are authorized by Borrower:</w:t>
      </w:r>
    </w:p>
    <w:p>
      <w:pPr>
        <w:spacing w:after="0" w:line="166" w:lineRule="exact"/>
        <w:rPr>
          <w:sz w:val="20"/>
          <w:szCs w:val="20"/>
          <w:color w:val="auto"/>
        </w:rPr>
      </w:pPr>
    </w:p>
    <w:p>
      <w:pPr>
        <w:jc w:val="both"/>
        <w:ind w:firstLine="2642"/>
        <w:spacing w:after="0" w:line="264" w:lineRule="auto"/>
        <w:tabs>
          <w:tab w:leader="none" w:pos="3492"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Declare all Obligations, whether evidenced by this Agreement, by any of the other Loan Documents, or otherwise, immediately due and payable (provided that upon the occurrence of an Event of Default described in Section 8.5, all Obligations shall become immediately due and payable without any action by Bank);</w:t>
      </w:r>
    </w:p>
    <w:p>
      <w:pPr>
        <w:spacing w:after="0" w:line="181" w:lineRule="exact"/>
        <w:rPr>
          <w:rFonts w:ascii="Arial" w:cs="Arial" w:eastAsia="Arial" w:hAnsi="Arial"/>
          <w:sz w:val="18"/>
          <w:szCs w:val="18"/>
          <w:b w:val="1"/>
          <w:bCs w:val="1"/>
          <w:color w:val="auto"/>
        </w:rPr>
      </w:pPr>
    </w:p>
    <w:p>
      <w:pPr>
        <w:ind w:firstLine="2642"/>
        <w:spacing w:after="0" w:line="277" w:lineRule="auto"/>
        <w:tabs>
          <w:tab w:leader="none" w:pos="3502"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Cease advancing money or extending credit to or for the benefit of Borrower under this Agreement or under any other agreement between Borrower and Bank;</w:t>
      </w:r>
    </w:p>
    <w:p>
      <w:pPr>
        <w:spacing w:after="0" w:line="170" w:lineRule="exact"/>
        <w:rPr>
          <w:rFonts w:ascii="Arial" w:cs="Arial" w:eastAsia="Arial" w:hAnsi="Arial"/>
          <w:sz w:val="18"/>
          <w:szCs w:val="18"/>
          <w:b w:val="1"/>
          <w:bCs w:val="1"/>
          <w:color w:val="auto"/>
        </w:rPr>
      </w:pPr>
    </w:p>
    <w:p>
      <w:pPr>
        <w:ind w:left="3480" w:hanging="838"/>
        <w:spacing w:after="0"/>
        <w:tabs>
          <w:tab w:leader="none" w:pos="3480"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Settle or adjust disputes and claims directly with account debtors for amounts, upon terms and in whatever</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order that Bank reasonably considers advisable;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0" w:name="page31"/>
    <w:bookmarkEnd w:id="30"/>
    <w:p>
      <w:pPr>
        <w:jc w:val="both"/>
        <w:ind w:firstLine="2642"/>
        <w:spacing w:after="0" w:line="255" w:lineRule="auto"/>
        <w:tabs>
          <w:tab w:leader="none" w:pos="3502" w:val="left"/>
        </w:tabs>
        <w:numPr>
          <w:ilvl w:val="1"/>
          <w:numId w:val="37"/>
        </w:numPr>
        <w:rPr>
          <w:rFonts w:ascii="Arial" w:cs="Arial" w:eastAsia="Arial" w:hAnsi="Arial"/>
          <w:sz w:val="18"/>
          <w:szCs w:val="18"/>
          <w:b w:val="1"/>
          <w:bCs w:val="1"/>
          <w:color w:val="auto"/>
        </w:rPr>
      </w:pPr>
      <w:r>
        <w:rPr>
          <w:rFonts w:ascii="Arial" w:cs="Arial" w:eastAsia="Arial" w:hAnsi="Arial"/>
          <w:sz w:val="18"/>
          <w:szCs w:val="18"/>
          <w:color w:val="auto"/>
        </w:rPr>
        <w:t>Make such payments and do such acts as Bank considers necessary or reasonable to protect its security interest in the Collateral. Borrower agrees to assemble the Collateral if Bank so requires, and to make the Collateral available to Bank as Bank may designate. Borrower authorizes Bank to enter the premises where the Collateral is located, to take and maintain possession of the Collateral, or any part of it, and to pay, purchase, contest, or compromise any encumbrance, charge, or lien which in Bank’s determination appears to be prior or superior to its security interest and to pay all expenses incurred in connection therewith. With respect to any of Borrower’s owned premises, Borrower hereby grants Bank a license to enter into possession of such premises and to occupy the same, without charge, in order to exercise any of Bank’s rights or remedies provided herein, at law, in equity, or otherwise;</w:t>
      </w:r>
    </w:p>
    <w:p>
      <w:pPr>
        <w:spacing w:after="0" w:line="189" w:lineRule="exact"/>
        <w:rPr>
          <w:rFonts w:ascii="Arial" w:cs="Arial" w:eastAsia="Arial" w:hAnsi="Arial"/>
          <w:sz w:val="18"/>
          <w:szCs w:val="18"/>
          <w:b w:val="1"/>
          <w:bCs w:val="1"/>
          <w:color w:val="auto"/>
        </w:rPr>
      </w:pPr>
    </w:p>
    <w:p>
      <w:pPr>
        <w:ind w:left="3480" w:hanging="838"/>
        <w:spacing w:after="0"/>
        <w:tabs>
          <w:tab w:leader="none" w:pos="3480" w:val="left"/>
        </w:tabs>
        <w:numPr>
          <w:ilvl w:val="1"/>
          <w:numId w:val="37"/>
        </w:numPr>
        <w:rPr>
          <w:rFonts w:ascii="Arial" w:cs="Arial" w:eastAsia="Arial" w:hAnsi="Arial"/>
          <w:sz w:val="17"/>
          <w:szCs w:val="17"/>
          <w:b w:val="1"/>
          <w:bCs w:val="1"/>
          <w:color w:val="auto"/>
        </w:rPr>
      </w:pPr>
      <w:r>
        <w:rPr>
          <w:rFonts w:ascii="Arial" w:cs="Arial" w:eastAsia="Arial" w:hAnsi="Arial"/>
          <w:sz w:val="17"/>
          <w:szCs w:val="17"/>
          <w:color w:val="auto"/>
        </w:rPr>
        <w:t>Set off and apply to the Obligations any and all (i) balances and deposits of Borrower held by Bank, or</w:t>
      </w:r>
    </w:p>
    <w:p>
      <w:pPr>
        <w:spacing w:after="0" w:line="34" w:lineRule="exact"/>
        <w:rPr>
          <w:rFonts w:ascii="Arial" w:cs="Arial" w:eastAsia="Arial" w:hAnsi="Arial"/>
          <w:sz w:val="17"/>
          <w:szCs w:val="17"/>
          <w:b w:val="1"/>
          <w:bCs w:val="1"/>
          <w:color w:val="auto"/>
        </w:rPr>
      </w:pPr>
    </w:p>
    <w:p>
      <w:pPr>
        <w:ind w:left="280" w:hanging="272"/>
        <w:spacing w:after="0"/>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indebtedness at any time owing to or for the credit or the account of Borrower held by Bank;</w:t>
      </w:r>
    </w:p>
    <w:p>
      <w:pPr>
        <w:spacing w:after="0" w:line="210" w:lineRule="exact"/>
        <w:rPr>
          <w:rFonts w:ascii="Arial" w:cs="Arial" w:eastAsia="Arial" w:hAnsi="Arial"/>
          <w:sz w:val="18"/>
          <w:szCs w:val="18"/>
          <w:color w:val="auto"/>
        </w:rPr>
      </w:pPr>
    </w:p>
    <w:p>
      <w:pPr>
        <w:jc w:val="both"/>
        <w:ind w:firstLine="2642"/>
        <w:spacing w:after="0" w:line="255" w:lineRule="auto"/>
        <w:tabs>
          <w:tab w:leader="none" w:pos="3462"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Ship, reclaim, recover, store, finish, maintain, repair, prepare for sale, advertise for sale, and sell (in the manner provided for herein) the Collateral. Bank is hereby granted a non-exclusive license or other right, solely pursuant to the provisions of this Section 9.1, to use, without charge, Borrower’s labels, patents, copyrights, rights of use of any name, trade secrets, trade names, trademarks, service marks, and advertising matter, or any property of a similar nature, as it pertains to the Collateral, in completing production of, advertising for sale, and selling any Collateral and, in connection with Bank’s exercise of its rights under this Section 9.1, Borrower’s rights under all licenses and all franchise agreements shall inure to Bank’s benefit;</w:t>
      </w:r>
    </w:p>
    <w:p>
      <w:pPr>
        <w:spacing w:after="0" w:line="193" w:lineRule="exact"/>
        <w:rPr>
          <w:rFonts w:ascii="Arial" w:cs="Arial" w:eastAsia="Arial" w:hAnsi="Arial"/>
          <w:sz w:val="18"/>
          <w:szCs w:val="18"/>
          <w:b w:val="1"/>
          <w:bCs w:val="1"/>
          <w:color w:val="auto"/>
        </w:rPr>
      </w:pPr>
    </w:p>
    <w:p>
      <w:pPr>
        <w:jc w:val="both"/>
        <w:ind w:firstLine="2642"/>
        <w:spacing w:after="0" w:line="264" w:lineRule="auto"/>
        <w:tabs>
          <w:tab w:leader="none" w:pos="3492"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Dispose of the Collateral by way of one or more contracts or transactions, for cash or on terms, in such manner and at such places (including Borrower’s premises) as Bank determines is commercially reasonable, and apply any proceeds to the Obligations in whatever manner or order Bank deems appropriate;</w:t>
      </w:r>
    </w:p>
    <w:p>
      <w:pPr>
        <w:spacing w:after="0" w:line="181" w:lineRule="exact"/>
        <w:rPr>
          <w:rFonts w:ascii="Arial" w:cs="Arial" w:eastAsia="Arial" w:hAnsi="Arial"/>
          <w:sz w:val="18"/>
          <w:szCs w:val="18"/>
          <w:b w:val="1"/>
          <w:bCs w:val="1"/>
          <w:color w:val="auto"/>
        </w:rPr>
      </w:pPr>
    </w:p>
    <w:p>
      <w:pPr>
        <w:ind w:left="3520" w:hanging="878"/>
        <w:spacing w:after="0"/>
        <w:tabs>
          <w:tab w:leader="none" w:pos="3520"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Bank may credit bid and purchase at any public sale; and</w:t>
      </w:r>
    </w:p>
    <w:p>
      <w:pPr>
        <w:spacing w:after="0" w:line="225" w:lineRule="exact"/>
        <w:rPr>
          <w:rFonts w:ascii="Arial" w:cs="Arial" w:eastAsia="Arial" w:hAnsi="Arial"/>
          <w:sz w:val="18"/>
          <w:szCs w:val="18"/>
          <w:b w:val="1"/>
          <w:bCs w:val="1"/>
          <w:color w:val="auto"/>
        </w:rPr>
      </w:pPr>
    </w:p>
    <w:p>
      <w:pPr>
        <w:ind w:left="3460" w:hanging="818"/>
        <w:spacing w:after="0"/>
        <w:tabs>
          <w:tab w:leader="none" w:pos="3460" w:val="left"/>
        </w:tabs>
        <w:numPr>
          <w:ilvl w:val="1"/>
          <w:numId w:val="38"/>
        </w:numPr>
        <w:rPr>
          <w:rFonts w:ascii="Arial" w:cs="Arial" w:eastAsia="Arial" w:hAnsi="Arial"/>
          <w:sz w:val="17"/>
          <w:szCs w:val="17"/>
          <w:b w:val="1"/>
          <w:bCs w:val="1"/>
          <w:color w:val="auto"/>
        </w:rPr>
      </w:pPr>
      <w:r>
        <w:rPr>
          <w:rFonts w:ascii="Arial" w:cs="Arial" w:eastAsia="Arial" w:hAnsi="Arial"/>
          <w:sz w:val="17"/>
          <w:szCs w:val="17"/>
          <w:color w:val="auto"/>
        </w:rPr>
        <w:t>Any deficiency that exists after disposition of the Collateral as provided above will be paid immediately by</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Borrower.</w:t>
      </w:r>
    </w:p>
    <w:p>
      <w:pPr>
        <w:spacing w:after="0" w:line="207"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17"/>
          <w:szCs w:val="17"/>
          <w:b w:val="1"/>
          <w:bCs w:val="1"/>
          <w:color w:val="auto"/>
        </w:rPr>
        <w:t xml:space="preserve">9.2 Power of Attorney. </w:t>
      </w:r>
      <w:r>
        <w:rPr>
          <w:rFonts w:ascii="Arial" w:cs="Arial" w:eastAsia="Arial" w:hAnsi="Arial"/>
          <w:sz w:val="17"/>
          <w:szCs w:val="17"/>
          <w:color w:val="auto"/>
        </w:rPr>
        <w:t>Effective only upon the occurrence and during the continuance of an Event of Default,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hereby irrevocably appoints Bank (and any of Bank’s designated officers, or employees) as Borrower’s true and lawful attorney to: (a) send requests for verification of Accounts or notify account debtors of Bank’s security interest in the Accounts; (b) endorse Borrower’s name on any checks or other forms of payment or security that may come into Bank’s possession; (c) sign Borrower’s name on any invoice or bill of lading relating to any Account, drafts against account debtors, schedules and assignments of Accounts, verifications of Accounts, and notices to account debtors; (d) dispose of any Collateral; (e) make, settle, and adjust all claims under and decisions with respect to Borrower’s policies of insurance; (f) settle and adjust disputes and claims respecting the accounts directly with account debtors, for amounts and upon terms which Bank determines to be reasonable; and (g) to file, in its sole discretion, one or more financing or continuation statements and amendments thereto, relative to any of the Collateral. The appointment of Bank as Borrower’s attorney in fact, and each and every one of Bank’s rights and powers, being coupled with an interest, is irrevocable until all of the Obligations have been fully repaid and performed and Bank’s obligation to provide Credit Extensions hereunder is terminated.</w:t>
      </w:r>
    </w:p>
    <w:p>
      <w:pPr>
        <w:spacing w:after="0" w:line="178" w:lineRule="exact"/>
        <w:rPr>
          <w:sz w:val="20"/>
          <w:szCs w:val="20"/>
          <w:color w:val="auto"/>
        </w:rPr>
      </w:pPr>
    </w:p>
    <w:p>
      <w:pPr>
        <w:jc w:val="both"/>
        <w:ind w:firstLine="1755"/>
        <w:spacing w:after="0" w:line="261" w:lineRule="auto"/>
        <w:rPr>
          <w:sz w:val="20"/>
          <w:szCs w:val="20"/>
          <w:color w:val="auto"/>
        </w:rPr>
      </w:pPr>
      <w:r>
        <w:rPr>
          <w:rFonts w:ascii="Arial" w:cs="Arial" w:eastAsia="Arial" w:hAnsi="Arial"/>
          <w:sz w:val="18"/>
          <w:szCs w:val="18"/>
          <w:b w:val="1"/>
          <w:bCs w:val="1"/>
          <w:color w:val="auto"/>
        </w:rPr>
        <w:t>9.3 Accounts Collection</w:t>
      </w:r>
      <w:r>
        <w:rPr>
          <w:rFonts w:ascii="Arial" w:cs="Arial" w:eastAsia="Arial" w:hAnsi="Arial"/>
          <w:sz w:val="18"/>
          <w:szCs w:val="18"/>
          <w:color w:val="auto"/>
        </w:rPr>
        <w:t>. At any time after the occurrence and during the continuation of an Event of Default, Bank may</w:t>
      </w:r>
      <w:r>
        <w:rPr>
          <w:rFonts w:ascii="Arial" w:cs="Arial" w:eastAsia="Arial" w:hAnsi="Arial"/>
          <w:sz w:val="18"/>
          <w:szCs w:val="18"/>
          <w:b w:val="1"/>
          <w:bCs w:val="1"/>
          <w:color w:val="auto"/>
        </w:rPr>
        <w:t xml:space="preserve"> </w:t>
      </w:r>
      <w:r>
        <w:rPr>
          <w:rFonts w:ascii="Arial" w:cs="Arial" w:eastAsia="Arial" w:hAnsi="Arial"/>
          <w:sz w:val="18"/>
          <w:szCs w:val="18"/>
          <w:color w:val="auto"/>
        </w:rPr>
        <w:t>notify any Person owing funds to Borrower of Bank’s security interest in such funds and verify the amount of such Account and Borrower shall collect all amounts owing to Borrower for Bank, receive in trust all payments as Bank’s trustee, and immediately deliver such payments to Bank in their original form as received from the account debtor, with proper endorsements for deposit.</w:t>
      </w:r>
    </w:p>
    <w:p>
      <w:pPr>
        <w:spacing w:after="0" w:line="180" w:lineRule="exact"/>
        <w:rPr>
          <w:sz w:val="20"/>
          <w:szCs w:val="20"/>
          <w:color w:val="auto"/>
        </w:rPr>
      </w:pPr>
    </w:p>
    <w:p>
      <w:pPr>
        <w:jc w:val="both"/>
        <w:ind w:firstLine="1755"/>
        <w:spacing w:after="0" w:line="281" w:lineRule="auto"/>
        <w:rPr>
          <w:sz w:val="20"/>
          <w:szCs w:val="20"/>
          <w:color w:val="auto"/>
        </w:rPr>
      </w:pPr>
      <w:r>
        <w:rPr>
          <w:rFonts w:ascii="Arial" w:cs="Arial" w:eastAsia="Arial" w:hAnsi="Arial"/>
          <w:sz w:val="17"/>
          <w:szCs w:val="17"/>
          <w:b w:val="1"/>
          <w:bCs w:val="1"/>
          <w:color w:val="auto"/>
        </w:rPr>
        <w:t>9.4 Bank Expenses</w:t>
      </w:r>
      <w:r>
        <w:rPr>
          <w:rFonts w:ascii="Arial" w:cs="Arial" w:eastAsia="Arial" w:hAnsi="Arial"/>
          <w:sz w:val="17"/>
          <w:szCs w:val="17"/>
          <w:color w:val="auto"/>
        </w:rPr>
        <w:t>. If Borrower fails to pay any amounts or furnish any required proof of payment due to third persons or</w:t>
      </w:r>
      <w:r>
        <w:rPr>
          <w:rFonts w:ascii="Arial" w:cs="Arial" w:eastAsia="Arial" w:hAnsi="Arial"/>
          <w:sz w:val="17"/>
          <w:szCs w:val="17"/>
          <w:b w:val="1"/>
          <w:bCs w:val="1"/>
          <w:color w:val="auto"/>
        </w:rPr>
        <w:t xml:space="preserve"> </w:t>
      </w:r>
      <w:r>
        <w:rPr>
          <w:rFonts w:ascii="Arial" w:cs="Arial" w:eastAsia="Arial" w:hAnsi="Arial"/>
          <w:sz w:val="17"/>
          <w:szCs w:val="17"/>
          <w:color w:val="auto"/>
        </w:rPr>
        <w:t>entities, as required under the terms of this Agreement, then Bank may do any or all of the following after reasonable notice to Borrower: (a) make payment of the same or any part thereof; or (b) obtain and maintain insurance policies of the type discussed in Section 6.6 of this Agreement, and take any action with respect to such policies as Bank deems prudent. Any amounts so paid or deposited by Bank shall constitute Bank Expenses,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jc w:val="both"/>
        <w:spacing w:after="0" w:line="264" w:lineRule="auto"/>
        <w:rPr>
          <w:sz w:val="20"/>
          <w:szCs w:val="20"/>
          <w:color w:val="auto"/>
        </w:rPr>
      </w:pPr>
      <w:r>
        <w:rPr>
          <w:rFonts w:ascii="Arial" w:cs="Arial" w:eastAsia="Arial" w:hAnsi="Arial"/>
          <w:sz w:val="18"/>
          <w:szCs w:val="18"/>
          <w:color w:val="auto"/>
        </w:rPr>
        <w:t>shall be immediately due and payable, and shall bear interest at the then applicable rate hereinabove provided, and shall be secured by the Collateral. Any payments made by Bank shall not constitute an agreement by Bank to make similar payments in the future or a waiver by Bank of any Event of Default under this Agreement.</w:t>
      </w:r>
    </w:p>
    <w:p>
      <w:pPr>
        <w:spacing w:after="0" w:line="177" w:lineRule="exact"/>
        <w:rPr>
          <w:sz w:val="20"/>
          <w:szCs w:val="20"/>
          <w:color w:val="auto"/>
        </w:rPr>
      </w:pPr>
    </w:p>
    <w:p>
      <w:pPr>
        <w:jc w:val="both"/>
        <w:ind w:firstLine="1755"/>
        <w:spacing w:after="0" w:line="258" w:lineRule="auto"/>
        <w:rPr>
          <w:sz w:val="20"/>
          <w:szCs w:val="20"/>
          <w:color w:val="auto"/>
        </w:rPr>
      </w:pPr>
      <w:r>
        <w:rPr>
          <w:rFonts w:ascii="Arial" w:cs="Arial" w:eastAsia="Arial" w:hAnsi="Arial"/>
          <w:sz w:val="18"/>
          <w:szCs w:val="18"/>
          <w:b w:val="1"/>
          <w:bCs w:val="1"/>
          <w:color w:val="auto"/>
        </w:rPr>
        <w:t>9.5 Bank’s Liability for Collateral</w:t>
      </w:r>
      <w:r>
        <w:rPr>
          <w:rFonts w:ascii="Arial" w:cs="Arial" w:eastAsia="Arial" w:hAnsi="Arial"/>
          <w:sz w:val="18"/>
          <w:szCs w:val="18"/>
          <w:color w:val="auto"/>
        </w:rPr>
        <w:t>. So long as Bank complies with reasonable banking practices, Bank shall not in any</w:t>
      </w:r>
      <w:r>
        <w:rPr>
          <w:rFonts w:ascii="Arial" w:cs="Arial" w:eastAsia="Arial" w:hAnsi="Arial"/>
          <w:sz w:val="18"/>
          <w:szCs w:val="18"/>
          <w:b w:val="1"/>
          <w:bCs w:val="1"/>
          <w:color w:val="auto"/>
        </w:rPr>
        <w:t xml:space="preserve"> </w:t>
      </w:r>
      <w:r>
        <w:rPr>
          <w:rFonts w:ascii="Arial" w:cs="Arial" w:eastAsia="Arial" w:hAnsi="Arial"/>
          <w:sz w:val="18"/>
          <w:szCs w:val="18"/>
          <w:color w:val="auto"/>
        </w:rPr>
        <w:t>way or manner be liable or responsible for: (a) the safekeeping of the Collateral; (b) any loss or damage thereto occurring or arising in any manner or fashion from any cause; (c) any diminution in the value thereof; or (d) any act or default of any carrier, warehouseman, bailee, forwarding agency, or other person whomsoever. All risk of loss, damage or destruction of the Collateral shall be borne by Borrower unless such loss, damage or destruction results from the gross negligence or willful misconduct of Bank.</w:t>
      </w:r>
    </w:p>
    <w:p>
      <w:pPr>
        <w:spacing w:after="0" w:line="184"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17"/>
          <w:szCs w:val="17"/>
          <w:b w:val="1"/>
          <w:bCs w:val="1"/>
          <w:color w:val="auto"/>
        </w:rPr>
        <w:t>9.6 Remedies Cumulative</w:t>
      </w:r>
      <w:r>
        <w:rPr>
          <w:rFonts w:ascii="Arial" w:cs="Arial" w:eastAsia="Arial" w:hAnsi="Arial"/>
          <w:sz w:val="17"/>
          <w:szCs w:val="17"/>
          <w:color w:val="auto"/>
        </w:rPr>
        <w:t>. Bank’s rights and remedies under this Agreement, the Loan Documents, and all other</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agreements shall be cumulative. Bank shall have all other rights and remedies not inconsistent herewith as provided under the Code, by law, or in equity. No exercise by Bank of one right or remedy shall be deemed an election, and no waiver by Bank of any Event of Default on Borrower’s part shall be deemed a continuing waiver (other than with respect to such Event of Default) or a waiver with respect to any other Event of Default. No delay by Bank shall constitute a waiver, election, or acquiescence by it. No waiver by Bank shall be effective unless made in a written document signed on behalf of Bank and then shall be effective only in the specific instance and for the specific purpose for which it was given.</w:t>
      </w:r>
    </w:p>
    <w:p>
      <w:pPr>
        <w:spacing w:after="0" w:line="174" w:lineRule="exact"/>
        <w:rPr>
          <w:sz w:val="20"/>
          <w:szCs w:val="20"/>
          <w:color w:val="auto"/>
        </w:rPr>
      </w:pPr>
    </w:p>
    <w:p>
      <w:pPr>
        <w:jc w:val="both"/>
        <w:ind w:firstLine="1755"/>
        <w:spacing w:after="0" w:line="266" w:lineRule="auto"/>
        <w:rPr>
          <w:sz w:val="20"/>
          <w:szCs w:val="20"/>
          <w:color w:val="auto"/>
        </w:rPr>
      </w:pPr>
      <w:r>
        <w:rPr>
          <w:rFonts w:ascii="Arial" w:cs="Arial" w:eastAsia="Arial" w:hAnsi="Arial"/>
          <w:sz w:val="18"/>
          <w:szCs w:val="18"/>
          <w:b w:val="1"/>
          <w:bCs w:val="1"/>
          <w:color w:val="auto"/>
        </w:rPr>
        <w:t>9.7 Demand; Protest</w:t>
      </w:r>
      <w:r>
        <w:rPr>
          <w:rFonts w:ascii="Arial" w:cs="Arial" w:eastAsia="Arial" w:hAnsi="Arial"/>
          <w:sz w:val="18"/>
          <w:szCs w:val="18"/>
          <w:color w:val="auto"/>
        </w:rPr>
        <w:t>. Borrower waives demand, protest, notice of protest, notice of default or dishonor, notice of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nonpayment, notice of any default, nonpayment at maturity, release, compromise, settlement, extension, or renewal of accounts, documents, instruments, chattel paper, and guarantees at any time held by Bank on which Borrower may in any way be liable.</w:t>
      </w:r>
    </w:p>
    <w:p>
      <w:pPr>
        <w:spacing w:after="0" w:line="176" w:lineRule="exact"/>
        <w:rPr>
          <w:sz w:val="20"/>
          <w:szCs w:val="20"/>
          <w:color w:val="auto"/>
        </w:rPr>
      </w:pPr>
    </w:p>
    <w:p>
      <w:pPr>
        <w:ind w:left="1760" w:hanging="875"/>
        <w:spacing w:after="0"/>
        <w:tabs>
          <w:tab w:leader="none" w:pos="17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OTICES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8"/>
          <w:szCs w:val="18"/>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Bank or Borrower may change its mailing or electronic mail address or facsimile number by giving the other party written notice thereof in accordance with the terms of this Section 10.</w:t>
      </w:r>
    </w:p>
    <w:p>
      <w:pPr>
        <w:spacing w:after="0" w:line="200" w:lineRule="exact"/>
        <w:rPr>
          <w:sz w:val="20"/>
          <w:szCs w:val="20"/>
          <w:color w:val="auto"/>
        </w:rPr>
      </w:pPr>
    </w:p>
    <w:p>
      <w:pPr>
        <w:spacing w:after="0" w:line="205"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If to Borrower:</w:t>
            </w:r>
          </w:p>
        </w:tc>
        <w:tc>
          <w:tcPr>
            <w:tcW w:w="4020" w:type="dxa"/>
            <w:vAlign w:val="bottom"/>
            <w:gridSpan w:val="7"/>
          </w:tcPr>
          <w:p>
            <w:pPr>
              <w:ind w:left="400"/>
              <w:spacing w:after="0"/>
              <w:rPr>
                <w:sz w:val="20"/>
                <w:szCs w:val="20"/>
                <w:color w:val="auto"/>
              </w:rPr>
            </w:pPr>
            <w:r>
              <w:rPr>
                <w:rFonts w:ascii="Arial" w:cs="Arial" w:eastAsia="Arial" w:hAnsi="Arial"/>
                <w:sz w:val="18"/>
                <w:szCs w:val="18"/>
                <w:color w:val="auto"/>
              </w:rPr>
              <w:t>ARCTURUS THERAPEUTICS, INC.</w:t>
            </w:r>
          </w:p>
        </w:tc>
      </w:tr>
      <w:tr>
        <w:trPr>
          <w:trHeight w:val="216"/>
        </w:trPr>
        <w:tc>
          <w:tcPr>
            <w:tcW w:w="1500" w:type="dxa"/>
            <w:vAlign w:val="bottom"/>
          </w:tcPr>
          <w:p>
            <w:pPr>
              <w:spacing w:after="0"/>
              <w:rPr>
                <w:sz w:val="18"/>
                <w:szCs w:val="18"/>
                <w:color w:val="auto"/>
              </w:rPr>
            </w:pPr>
          </w:p>
        </w:tc>
        <w:tc>
          <w:tcPr>
            <w:tcW w:w="4020" w:type="dxa"/>
            <w:vAlign w:val="bottom"/>
            <w:gridSpan w:val="7"/>
          </w:tcPr>
          <w:p>
            <w:pPr>
              <w:ind w:left="400"/>
              <w:spacing w:after="0"/>
              <w:rPr>
                <w:sz w:val="20"/>
                <w:szCs w:val="20"/>
                <w:color w:val="auto"/>
              </w:rPr>
            </w:pPr>
            <w:r>
              <w:rPr>
                <w:rFonts w:ascii="Arial" w:cs="Arial" w:eastAsia="Arial" w:hAnsi="Arial"/>
                <w:sz w:val="18"/>
                <w:szCs w:val="18"/>
                <w:color w:val="auto"/>
              </w:rPr>
              <w:t>10628 Science Center Drive, Suite 250</w:t>
            </w:r>
          </w:p>
        </w:tc>
      </w:tr>
      <w:tr>
        <w:trPr>
          <w:trHeight w:val="216"/>
        </w:trPr>
        <w:tc>
          <w:tcPr>
            <w:tcW w:w="1500" w:type="dxa"/>
            <w:vAlign w:val="bottom"/>
          </w:tcPr>
          <w:p>
            <w:pPr>
              <w:spacing w:after="0"/>
              <w:rPr>
                <w:sz w:val="18"/>
                <w:szCs w:val="18"/>
                <w:color w:val="auto"/>
              </w:rPr>
            </w:pPr>
          </w:p>
        </w:tc>
        <w:tc>
          <w:tcPr>
            <w:tcW w:w="4020" w:type="dxa"/>
            <w:vAlign w:val="bottom"/>
            <w:gridSpan w:val="7"/>
          </w:tcPr>
          <w:p>
            <w:pPr>
              <w:ind w:left="400"/>
              <w:spacing w:after="0"/>
              <w:rPr>
                <w:sz w:val="20"/>
                <w:szCs w:val="20"/>
                <w:color w:val="auto"/>
              </w:rPr>
            </w:pPr>
            <w:r>
              <w:rPr>
                <w:rFonts w:ascii="Arial" w:cs="Arial" w:eastAsia="Arial" w:hAnsi="Arial"/>
                <w:sz w:val="18"/>
                <w:szCs w:val="18"/>
                <w:color w:val="auto"/>
              </w:rPr>
              <w:t>San Diego, CA 92121</w:t>
            </w:r>
          </w:p>
        </w:tc>
      </w:tr>
      <w:tr>
        <w:trPr>
          <w:trHeight w:val="190"/>
        </w:trPr>
        <w:tc>
          <w:tcPr>
            <w:tcW w:w="1500" w:type="dxa"/>
            <w:vAlign w:val="bottom"/>
          </w:tcPr>
          <w:p>
            <w:pPr>
              <w:spacing w:after="0"/>
              <w:rPr>
                <w:sz w:val="16"/>
                <w:szCs w:val="16"/>
                <w:color w:val="auto"/>
              </w:rPr>
            </w:pPr>
          </w:p>
        </w:tc>
        <w:tc>
          <w:tcPr>
            <w:tcW w:w="900" w:type="dxa"/>
            <w:vAlign w:val="bottom"/>
          </w:tcPr>
          <w:p>
            <w:pPr>
              <w:ind w:left="400"/>
              <w:spacing w:after="0" w:line="190" w:lineRule="exact"/>
              <w:rPr>
                <w:sz w:val="20"/>
                <w:szCs w:val="20"/>
                <w:color w:val="auto"/>
              </w:rPr>
            </w:pPr>
            <w:r>
              <w:rPr>
                <w:rFonts w:ascii="Arial" w:cs="Arial" w:eastAsia="Arial" w:hAnsi="Arial"/>
                <w:sz w:val="18"/>
                <w:szCs w:val="18"/>
                <w:color w:val="auto"/>
              </w:rPr>
              <w:t>Attn:</w:t>
            </w:r>
          </w:p>
        </w:tc>
        <w:tc>
          <w:tcPr>
            <w:tcW w:w="1180" w:type="dxa"/>
            <w:vAlign w:val="bottom"/>
            <w:tcBorders>
              <w:bottom w:val="single" w:sz="8" w:color="auto"/>
            </w:tcBorders>
            <w:gridSpan w:val="5"/>
          </w:tcPr>
          <w:p>
            <w:pPr>
              <w:spacing w:after="0"/>
              <w:rPr>
                <w:sz w:val="16"/>
                <w:szCs w:val="16"/>
                <w:color w:val="auto"/>
              </w:rPr>
            </w:pPr>
          </w:p>
        </w:tc>
        <w:tc>
          <w:tcPr>
            <w:tcW w:w="1940" w:type="dxa"/>
            <w:vAlign w:val="bottom"/>
          </w:tcPr>
          <w:p>
            <w:pPr>
              <w:spacing w:after="0"/>
              <w:rPr>
                <w:sz w:val="16"/>
                <w:szCs w:val="16"/>
                <w:color w:val="auto"/>
              </w:rPr>
            </w:pPr>
          </w:p>
        </w:tc>
      </w:tr>
      <w:tr>
        <w:trPr>
          <w:trHeight w:val="196"/>
        </w:trPr>
        <w:tc>
          <w:tcPr>
            <w:tcW w:w="1500" w:type="dxa"/>
            <w:vAlign w:val="bottom"/>
          </w:tcPr>
          <w:p>
            <w:pPr>
              <w:spacing w:after="0"/>
              <w:rPr>
                <w:sz w:val="17"/>
                <w:szCs w:val="17"/>
                <w:color w:val="auto"/>
              </w:rPr>
            </w:pPr>
          </w:p>
        </w:tc>
        <w:tc>
          <w:tcPr>
            <w:tcW w:w="4020" w:type="dxa"/>
            <w:vAlign w:val="bottom"/>
            <w:gridSpan w:val="7"/>
          </w:tcPr>
          <w:p>
            <w:pPr>
              <w:ind w:left="400"/>
              <w:spacing w:after="0" w:line="196" w:lineRule="exact"/>
              <w:rPr>
                <w:sz w:val="20"/>
                <w:szCs w:val="20"/>
                <w:color w:val="auto"/>
              </w:rPr>
            </w:pPr>
            <w:r>
              <w:rPr>
                <w:rFonts w:ascii="Arial" w:cs="Arial" w:eastAsia="Arial" w:hAnsi="Arial"/>
                <w:sz w:val="18"/>
                <w:szCs w:val="18"/>
                <w:color w:val="auto"/>
              </w:rPr>
              <w:t>FAX: (   )</w:t>
            </w:r>
          </w:p>
        </w:tc>
      </w:tr>
      <w:tr>
        <w:trPr>
          <w:trHeight w:val="20"/>
        </w:trPr>
        <w:tc>
          <w:tcPr>
            <w:tcW w:w="15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r>
      <w:tr>
        <w:trPr>
          <w:trHeight w:val="237"/>
        </w:trPr>
        <w:tc>
          <w:tcPr>
            <w:tcW w:w="1500" w:type="dxa"/>
            <w:vAlign w:val="bottom"/>
          </w:tcPr>
          <w:p>
            <w:pPr>
              <w:spacing w:after="0"/>
              <w:rPr>
                <w:sz w:val="20"/>
                <w:szCs w:val="20"/>
                <w:color w:val="auto"/>
              </w:rPr>
            </w:pPr>
          </w:p>
        </w:tc>
        <w:tc>
          <w:tcPr>
            <w:tcW w:w="4020" w:type="dxa"/>
            <w:vAlign w:val="bottom"/>
            <w:gridSpan w:val="7"/>
          </w:tcPr>
          <w:p>
            <w:pPr>
              <w:ind w:left="400"/>
              <w:spacing w:after="0"/>
              <w:rPr>
                <w:sz w:val="20"/>
                <w:szCs w:val="20"/>
                <w:color w:val="auto"/>
              </w:rPr>
            </w:pPr>
            <w:r>
              <w:rPr>
                <w:rFonts w:ascii="Arial" w:cs="Arial" w:eastAsia="Arial" w:hAnsi="Arial"/>
                <w:sz w:val="18"/>
                <w:szCs w:val="18"/>
                <w:color w:val="auto"/>
              </w:rPr>
              <w:t>EMAIL:</w:t>
            </w:r>
          </w:p>
        </w:tc>
      </w:tr>
      <w:tr>
        <w:trPr>
          <w:trHeight w:val="634"/>
        </w:trPr>
        <w:tc>
          <w:tcPr>
            <w:tcW w:w="1500" w:type="dxa"/>
            <w:vAlign w:val="bottom"/>
          </w:tcPr>
          <w:p>
            <w:pPr>
              <w:spacing w:after="0"/>
              <w:rPr>
                <w:sz w:val="20"/>
                <w:szCs w:val="20"/>
                <w:color w:val="auto"/>
              </w:rPr>
            </w:pPr>
            <w:r>
              <w:rPr>
                <w:rFonts w:ascii="Arial" w:cs="Arial" w:eastAsia="Arial" w:hAnsi="Arial"/>
                <w:sz w:val="18"/>
                <w:szCs w:val="18"/>
                <w:color w:val="auto"/>
              </w:rPr>
              <w:t>If to Bank:</w:t>
            </w:r>
          </w:p>
        </w:tc>
        <w:tc>
          <w:tcPr>
            <w:tcW w:w="4020" w:type="dxa"/>
            <w:vAlign w:val="bottom"/>
            <w:gridSpan w:val="7"/>
          </w:tcPr>
          <w:p>
            <w:pPr>
              <w:ind w:left="400"/>
              <w:spacing w:after="0"/>
              <w:rPr>
                <w:sz w:val="20"/>
                <w:szCs w:val="20"/>
                <w:color w:val="auto"/>
              </w:rPr>
            </w:pPr>
            <w:r>
              <w:rPr>
                <w:rFonts w:ascii="Arial" w:cs="Arial" w:eastAsia="Arial" w:hAnsi="Arial"/>
                <w:sz w:val="18"/>
                <w:szCs w:val="18"/>
                <w:color w:val="auto"/>
                <w:w w:val="92"/>
              </w:rPr>
              <w:t>Bridge Bank, a division of Western Alliance Bank</w:t>
            </w:r>
          </w:p>
        </w:tc>
      </w:tr>
      <w:tr>
        <w:trPr>
          <w:trHeight w:val="216"/>
        </w:trPr>
        <w:tc>
          <w:tcPr>
            <w:tcW w:w="1500" w:type="dxa"/>
            <w:vAlign w:val="bottom"/>
          </w:tcPr>
          <w:p>
            <w:pPr>
              <w:spacing w:after="0"/>
              <w:rPr>
                <w:sz w:val="18"/>
                <w:szCs w:val="18"/>
                <w:color w:val="auto"/>
              </w:rPr>
            </w:pPr>
          </w:p>
        </w:tc>
        <w:tc>
          <w:tcPr>
            <w:tcW w:w="4020" w:type="dxa"/>
            <w:vAlign w:val="bottom"/>
            <w:gridSpan w:val="7"/>
          </w:tcPr>
          <w:p>
            <w:pPr>
              <w:ind w:left="400"/>
              <w:spacing w:after="0"/>
              <w:rPr>
                <w:sz w:val="20"/>
                <w:szCs w:val="20"/>
                <w:color w:val="auto"/>
              </w:rPr>
            </w:pPr>
            <w:r>
              <w:rPr>
                <w:rFonts w:ascii="Arial" w:cs="Arial" w:eastAsia="Arial" w:hAnsi="Arial"/>
                <w:sz w:val="18"/>
                <w:szCs w:val="18"/>
                <w:color w:val="auto"/>
              </w:rPr>
              <w:t>55 S. Almaden Boulevard</w:t>
            </w:r>
          </w:p>
        </w:tc>
      </w:tr>
      <w:tr>
        <w:trPr>
          <w:trHeight w:val="216"/>
        </w:trPr>
        <w:tc>
          <w:tcPr>
            <w:tcW w:w="1500" w:type="dxa"/>
            <w:vAlign w:val="bottom"/>
          </w:tcPr>
          <w:p>
            <w:pPr>
              <w:spacing w:after="0"/>
              <w:rPr>
                <w:sz w:val="18"/>
                <w:szCs w:val="18"/>
                <w:color w:val="auto"/>
              </w:rPr>
            </w:pPr>
          </w:p>
        </w:tc>
        <w:tc>
          <w:tcPr>
            <w:tcW w:w="4020" w:type="dxa"/>
            <w:vAlign w:val="bottom"/>
            <w:gridSpan w:val="7"/>
          </w:tcPr>
          <w:p>
            <w:pPr>
              <w:ind w:left="400"/>
              <w:spacing w:after="0"/>
              <w:rPr>
                <w:sz w:val="20"/>
                <w:szCs w:val="20"/>
                <w:color w:val="auto"/>
              </w:rPr>
            </w:pPr>
            <w:r>
              <w:rPr>
                <w:rFonts w:ascii="Arial" w:cs="Arial" w:eastAsia="Arial" w:hAnsi="Arial"/>
                <w:sz w:val="18"/>
                <w:szCs w:val="18"/>
                <w:color w:val="auto"/>
              </w:rPr>
              <w:t>San Jose, CA 95113</w:t>
            </w:r>
          </w:p>
        </w:tc>
      </w:tr>
      <w:tr>
        <w:trPr>
          <w:trHeight w:val="216"/>
        </w:trPr>
        <w:tc>
          <w:tcPr>
            <w:tcW w:w="1500" w:type="dxa"/>
            <w:vAlign w:val="bottom"/>
          </w:tcPr>
          <w:p>
            <w:pPr>
              <w:spacing w:after="0"/>
              <w:rPr>
                <w:sz w:val="18"/>
                <w:szCs w:val="18"/>
                <w:color w:val="auto"/>
              </w:rPr>
            </w:pPr>
          </w:p>
        </w:tc>
        <w:tc>
          <w:tcPr>
            <w:tcW w:w="4020" w:type="dxa"/>
            <w:vAlign w:val="bottom"/>
            <w:gridSpan w:val="7"/>
          </w:tcPr>
          <w:p>
            <w:pPr>
              <w:ind w:left="400"/>
              <w:spacing w:after="0"/>
              <w:rPr>
                <w:sz w:val="20"/>
                <w:szCs w:val="20"/>
                <w:color w:val="auto"/>
              </w:rPr>
            </w:pPr>
            <w:r>
              <w:rPr>
                <w:rFonts w:ascii="Arial" w:cs="Arial" w:eastAsia="Arial" w:hAnsi="Arial"/>
                <w:sz w:val="18"/>
                <w:szCs w:val="18"/>
                <w:color w:val="auto"/>
              </w:rPr>
              <w:t>Attn: Robert Lake</w:t>
            </w:r>
          </w:p>
        </w:tc>
      </w:tr>
      <w:tr>
        <w:trPr>
          <w:trHeight w:val="230"/>
        </w:trPr>
        <w:tc>
          <w:tcPr>
            <w:tcW w:w="1500" w:type="dxa"/>
            <w:vAlign w:val="bottom"/>
          </w:tcPr>
          <w:p>
            <w:pPr>
              <w:spacing w:after="0"/>
              <w:rPr>
                <w:sz w:val="20"/>
                <w:szCs w:val="20"/>
                <w:color w:val="auto"/>
              </w:rPr>
            </w:pPr>
          </w:p>
        </w:tc>
        <w:tc>
          <w:tcPr>
            <w:tcW w:w="4020" w:type="dxa"/>
            <w:vAlign w:val="bottom"/>
            <w:gridSpan w:val="7"/>
          </w:tcPr>
          <w:p>
            <w:pPr>
              <w:ind w:left="400"/>
              <w:spacing w:after="0"/>
              <w:rPr>
                <w:sz w:val="20"/>
                <w:szCs w:val="20"/>
                <w:color w:val="auto"/>
              </w:rPr>
            </w:pPr>
            <w:r>
              <w:rPr>
                <w:rFonts w:ascii="Arial" w:cs="Arial" w:eastAsia="Arial" w:hAnsi="Arial"/>
                <w:sz w:val="18"/>
                <w:szCs w:val="18"/>
                <w:color w:val="auto"/>
              </w:rPr>
              <w:t>EMAIL: rob.lake@bridgebank.com</w:t>
            </w:r>
          </w:p>
        </w:tc>
      </w:tr>
    </w:tbl>
    <w:p>
      <w:pPr>
        <w:spacing w:after="0" w:line="200" w:lineRule="exact"/>
        <w:rPr>
          <w:sz w:val="20"/>
          <w:szCs w:val="20"/>
          <w:color w:val="auto"/>
        </w:rPr>
      </w:pPr>
    </w:p>
    <w:p>
      <w:pPr>
        <w:spacing w:after="0" w:line="21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parties hereto may change the address at which they are to receive notices hereunder, by notice in writing in the foregoing manner given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other.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ind w:left="1740" w:hanging="855"/>
        <w:spacing w:after="0"/>
        <w:tabs>
          <w:tab w:leader="none" w:pos="17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CHOICE OF LAW AND VENUE; JURY TRIAL WAIVER.</w:t>
      </w:r>
    </w:p>
    <w:p>
      <w:pPr>
        <w:spacing w:after="0" w:line="229"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18"/>
          <w:szCs w:val="18"/>
          <w:color w:val="auto"/>
        </w:rPr>
        <w:t>This Agreement shall be governed by, and construed in accordance with, the internal laws of the State of California, without regard to principles of conflicts of law. Each of Borrower and Bank hereby submits to the exclusive jurisdiction of the state and Federal courts located in the County of Santa Clara, State of California. BORROWER AND BANK EACH HEREBY WAIVE THEIR RESPECTIVE RIGHTS TO A JURY TRIAL OF ANY CLAIM OR CAUSE OF ACTION BASED UPON OR ARISING OUT OF ANY OF THE LOAN DOCUMENTS OR ANY OF THE TRANSACTIONS CONTEMPLATED THEREIN, INCLUDING CONTRACT CLAIMS, TORT CLAIMS, BREACH OF DUTY CLAIMS, AND ALL OTHER COMMON LAW OR STATUTORY CLAIMS. EACH PARTY RECOGNIZES AND AGREES THAT THE FOREGOING WAIVER CONSTITUTES A MATERIAL INDUCEMENT FOR IT TO ENTER INTO THIS AGREEMENT. EACH PARTY REPRESENTS AND WARRANTS THAT IT HAS REVIEWED THIS WAIVER WITH ITS LEGAL COUNSEL AND THAT IT KNOWINGLY AND VOLUNTARILY WAIVES ITS JURY TRIAL RIGHTS FOLLOWING CONSULTATION WITH LEGAL COUNSEL.</w:t>
      </w:r>
    </w:p>
    <w:p>
      <w:pPr>
        <w:spacing w:after="0" w:line="193" w:lineRule="exact"/>
        <w:rPr>
          <w:sz w:val="20"/>
          <w:szCs w:val="20"/>
          <w:color w:val="auto"/>
        </w:rPr>
      </w:pPr>
    </w:p>
    <w:p>
      <w:pPr>
        <w:ind w:left="1760" w:hanging="875"/>
        <w:spacing w:after="0"/>
        <w:tabs>
          <w:tab w:leader="none" w:pos="17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JUDICIAL REFERENCE PROVISION.</w:t>
      </w:r>
    </w:p>
    <w:p>
      <w:pPr>
        <w:spacing w:after="0" w:line="225" w:lineRule="exact"/>
        <w:rPr>
          <w:sz w:val="20"/>
          <w:szCs w:val="20"/>
          <w:color w:val="auto"/>
        </w:rPr>
      </w:pPr>
    </w:p>
    <w:p>
      <w:pPr>
        <w:ind w:left="1760"/>
        <w:spacing w:after="0"/>
        <w:tabs>
          <w:tab w:leader="none" w:pos="270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7"/>
          <w:szCs w:val="17"/>
          <w:color w:val="auto"/>
        </w:rPr>
        <w:t>In the event the Jury Trial Waiver set forth above is not enforceable, the parties elect to proceed under this Judicial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Reference Provision.</w:t>
      </w:r>
    </w:p>
    <w:p>
      <w:pPr>
        <w:spacing w:after="0" w:line="207"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7"/>
          <w:szCs w:val="17"/>
          <w:b w:val="1"/>
          <w:bCs w:val="1"/>
          <w:color w:val="auto"/>
        </w:rPr>
        <w:t xml:space="preserve">12.2 </w:t>
      </w:r>
      <w:r>
        <w:rPr>
          <w:rFonts w:ascii="Arial" w:cs="Arial" w:eastAsia="Arial" w:hAnsi="Arial"/>
          <w:sz w:val="17"/>
          <w:szCs w:val="17"/>
          <w:color w:val="auto"/>
        </w:rPr>
        <w:t>With the exception of the items specified in Section 12.3, below, any controversy, dispute or claim (each, a “Claim”)</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the parties arising out of or relating to this Agreement or any other document, instrument or agreement between the undersigned parties (collectively in this Section, the “Loan Documents”), will be resolved by a reference proceeding in California in accordance with the provisions of Sections 638 et seq. of the California Code of Civil Procedure (“CCP”), or their successor sections, which shall constitute the exclusive remedy for the resolution of any Claim, including whether the Claim is subject to the reference proceeding. Except as otherwise provided in the Loan Documents, venue for the reference proceeding will be in the state or federal court in the county or district where the real property involved in the action, if any, is located or in the state or federal court in the county or district where venue is otherwise appropriate under applicable law (the “Court”).</w:t>
      </w:r>
    </w:p>
    <w:p>
      <w:pPr>
        <w:spacing w:after="0" w:line="172"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17"/>
          <w:szCs w:val="17"/>
          <w:b w:val="1"/>
          <w:bCs w:val="1"/>
          <w:color w:val="auto"/>
        </w:rPr>
        <w:t xml:space="preserve">12.3 </w:t>
      </w:r>
      <w:r>
        <w:rPr>
          <w:rFonts w:ascii="Arial" w:cs="Arial" w:eastAsia="Arial" w:hAnsi="Arial"/>
          <w:sz w:val="17"/>
          <w:szCs w:val="17"/>
          <w:color w:val="auto"/>
        </w:rPr>
        <w:t>The matters that shall not be subject to a reference are the following: (i) nonjudicial foreclosure of any security interests</w:t>
      </w:r>
      <w:r>
        <w:rPr>
          <w:rFonts w:ascii="Arial" w:cs="Arial" w:eastAsia="Arial" w:hAnsi="Arial"/>
          <w:sz w:val="17"/>
          <w:szCs w:val="17"/>
          <w:b w:val="1"/>
          <w:bCs w:val="1"/>
          <w:color w:val="auto"/>
        </w:rPr>
        <w:t xml:space="preserve"> </w:t>
      </w:r>
      <w:r>
        <w:rPr>
          <w:rFonts w:ascii="Arial" w:cs="Arial" w:eastAsia="Arial" w:hAnsi="Arial"/>
          <w:sz w:val="17"/>
          <w:szCs w:val="17"/>
          <w:color w:val="auto"/>
        </w:rPr>
        <w:t>in real or personal property, (ii) exercise of self-help remedies (including, without limitation, set-off), (iii) appointment of a receiver and (iv) temporary, provisional or ancillary remedies (including, without limitation, writs of attachment, writs of possession, temporary restraining orders or preliminary injunctions). This reference provision does not limit the right of any party to exercise or oppose any of the rights and remedies described in clauses (i) and (ii) or to seek or oppose from a court of competent jurisdiction any of the items described in clauses (iii) and (iv). The exercise of, or opposition to, any of those items does not waive the right of any party to a reference pursuant to this reference provision as provided herein.</w:t>
      </w:r>
    </w:p>
    <w:p>
      <w:pPr>
        <w:spacing w:after="0" w:line="174" w:lineRule="exact"/>
        <w:rPr>
          <w:sz w:val="20"/>
          <w:szCs w:val="20"/>
          <w:color w:val="auto"/>
        </w:rPr>
      </w:pPr>
    </w:p>
    <w:p>
      <w:pPr>
        <w:jc w:val="both"/>
        <w:ind w:firstLine="1755"/>
        <w:spacing w:after="0" w:line="258" w:lineRule="auto"/>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color w:val="auto"/>
        </w:rPr>
        <w:t>The referee shall be a retired judge or justice selected by mutual written agreement of the parties. If the parties do not</w:t>
      </w:r>
      <w:r>
        <w:rPr>
          <w:rFonts w:ascii="Arial" w:cs="Arial" w:eastAsia="Arial" w:hAnsi="Arial"/>
          <w:sz w:val="18"/>
          <w:szCs w:val="18"/>
          <w:b w:val="1"/>
          <w:bCs w:val="1"/>
          <w:color w:val="auto"/>
        </w:rPr>
        <w:t xml:space="preserve"> </w:t>
      </w:r>
      <w:r>
        <w:rPr>
          <w:rFonts w:ascii="Arial" w:cs="Arial" w:eastAsia="Arial" w:hAnsi="Arial"/>
          <w:sz w:val="18"/>
          <w:szCs w:val="18"/>
          <w:color w:val="auto"/>
        </w:rPr>
        <w:t>agree within ten (10) days of a written request to do so by any party, then, upon request of any party, the referee shall be selected by the Presiding Judge of the Court (or his or her representative). A request for appointment of a referee may be heard on an ex parte or expedited basis, and the parties agree that irreparable harm would result if ex parte relief is not granted. Pursuant to CCP § 170.6, each party shall have one peremptory challenge to the referee selected by the Presiding Judge of the Court (or his or her representative).</w:t>
      </w:r>
    </w:p>
    <w:p>
      <w:pPr>
        <w:spacing w:after="0" w:line="184" w:lineRule="exact"/>
        <w:rPr>
          <w:sz w:val="20"/>
          <w:szCs w:val="20"/>
          <w:color w:val="auto"/>
        </w:rPr>
      </w:pPr>
    </w:p>
    <w:p>
      <w:pPr>
        <w:jc w:val="both"/>
        <w:ind w:firstLine="1755"/>
        <w:spacing w:after="0" w:line="281" w:lineRule="auto"/>
        <w:rPr>
          <w:sz w:val="20"/>
          <w:szCs w:val="20"/>
          <w:color w:val="auto"/>
        </w:rPr>
      </w:pPr>
      <w:r>
        <w:rPr>
          <w:rFonts w:ascii="Arial" w:cs="Arial" w:eastAsia="Arial" w:hAnsi="Arial"/>
          <w:sz w:val="17"/>
          <w:szCs w:val="17"/>
          <w:b w:val="1"/>
          <w:bCs w:val="1"/>
          <w:color w:val="auto"/>
        </w:rPr>
        <w:t xml:space="preserve">12.5 </w:t>
      </w:r>
      <w:r>
        <w:rPr>
          <w:rFonts w:ascii="Arial" w:cs="Arial" w:eastAsia="Arial" w:hAnsi="Arial"/>
          <w:sz w:val="17"/>
          <w:szCs w:val="17"/>
          <w:color w:val="auto"/>
        </w:rPr>
        <w:t>The parties agree that time is of the essence in conducting the reference proceedings. Accordingly, the referee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requested, subject to change in the time periods specified herein for good cause shown, to (i) set the matter for a status and trial-setting conference within fifteen (15) days after the date of selection of the referee, (ii) if practicable, try all issues of law or fact within one hundred twenty (120) days after the date of the conference and (iii) report a statement of decision within twenty (20) days after the matter has been submitted for decision.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3" w:name="page34"/>
    <w:bookmarkEnd w:id="33"/>
    <w:p>
      <w:pPr>
        <w:jc w:val="both"/>
        <w:ind w:firstLine="1755"/>
        <w:spacing w:after="0" w:line="258" w:lineRule="auto"/>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The referee will have power to expand or limit the amount and duration of discovery. The referee may set or extend</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discovery deadlines or cutoffs for good cause, including a party’s failure to provide requested discovery for any reason whatsoever. Unless otherwise ordered based upon good cause shown, no party shall be entitled to “priority” in conducting discovery, depositions may be taken by either party upon seven (7) days written notice, and all other discovery shall be responded to within fifteen (15) days after service. All disputes relating to discovery which cannot be resolved by the parties shall be submitted to the referee whose decision shall be final and binding.</w:t>
      </w:r>
    </w:p>
    <w:p>
      <w:pPr>
        <w:spacing w:after="0" w:line="184"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17"/>
          <w:szCs w:val="17"/>
          <w:b w:val="1"/>
          <w:bCs w:val="1"/>
          <w:color w:val="auto"/>
        </w:rPr>
        <w:t xml:space="preserve">12.7 </w:t>
      </w:r>
      <w:r>
        <w:rPr>
          <w:rFonts w:ascii="Arial" w:cs="Arial" w:eastAsia="Arial" w:hAnsi="Arial"/>
          <w:sz w:val="17"/>
          <w:szCs w:val="17"/>
          <w:color w:val="auto"/>
        </w:rPr>
        <w:t>Except as expressly set forth herein, the referee shall determine the manner in which the reference proceeding is</w:t>
      </w:r>
      <w:r>
        <w:rPr>
          <w:rFonts w:ascii="Arial" w:cs="Arial" w:eastAsia="Arial" w:hAnsi="Arial"/>
          <w:sz w:val="17"/>
          <w:szCs w:val="17"/>
          <w:b w:val="1"/>
          <w:bCs w:val="1"/>
          <w:color w:val="auto"/>
        </w:rPr>
        <w:t xml:space="preserve"> </w:t>
      </w:r>
      <w:r>
        <w:rPr>
          <w:rFonts w:ascii="Arial" w:cs="Arial" w:eastAsia="Arial" w:hAnsi="Arial"/>
          <w:sz w:val="17"/>
          <w:szCs w:val="17"/>
          <w:color w:val="auto"/>
        </w:rPr>
        <w:t>conducted including the time and place of hearings, the order of presentation of evidence, and all other questions that arise with respect to the course of the reference proceeding. All proceedings and hearings conducted before the referee, except for trial, shall be conducted without a court reporter, except that when any party so requests, a court reporter will be used at any hearing conducted before the referee, and the referee will be provided a courtesy copy of the transcript. The party making such a request shall have the obligation to arrange for and pay the court reporter. Subject to the referee’s power to award costs to the prevailing party, the parties will equally share the cost of the referee and the court reporter at trial.</w:t>
      </w:r>
    </w:p>
    <w:p>
      <w:pPr>
        <w:spacing w:after="0" w:line="174" w:lineRule="exact"/>
        <w:rPr>
          <w:sz w:val="20"/>
          <w:szCs w:val="20"/>
          <w:color w:val="auto"/>
        </w:rPr>
      </w:pPr>
    </w:p>
    <w:p>
      <w:pPr>
        <w:jc w:val="both"/>
        <w:ind w:firstLine="1755"/>
        <w:spacing w:after="0" w:line="271" w:lineRule="auto"/>
        <w:rPr>
          <w:sz w:val="20"/>
          <w:szCs w:val="20"/>
          <w:color w:val="auto"/>
        </w:rPr>
      </w:pPr>
      <w:r>
        <w:rPr>
          <w:rFonts w:ascii="Arial" w:cs="Arial" w:eastAsia="Arial" w:hAnsi="Arial"/>
          <w:sz w:val="17"/>
          <w:szCs w:val="17"/>
          <w:b w:val="1"/>
          <w:bCs w:val="1"/>
          <w:color w:val="auto"/>
        </w:rPr>
        <w:t xml:space="preserve">12.8 </w:t>
      </w:r>
      <w:r>
        <w:rPr>
          <w:rFonts w:ascii="Arial" w:cs="Arial" w:eastAsia="Arial" w:hAnsi="Arial"/>
          <w:sz w:val="17"/>
          <w:szCs w:val="17"/>
          <w:color w:val="auto"/>
        </w:rPr>
        <w:t>The referee shall be required to determine all issues in accordance with existing case law and the statutory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 of California. The rules of evidence applicable to proceedings at law in the State of California will be applicable to the reference proceeding. The referee shall be empowered to enter equitable as well as legal relief, enter equitable orders that will be binding on the parties and rule on any motion which would be authorized in a court proceeding, including, without limitation, motions for summary judgment or summary adjudication. The referee shall issue a decision at the close of the reference proceeding which disposes of all claims of the parties that are the subject of the reference. Pursuant to CCP § 644, such decision shall be entered by the Court as a judgment or an order in the same manner as if the action had been tried by the Court and any such decision will be final, binding and conclusive. The parties reserve the right to appeal from the final judgment or order or from any appealable decision or order entered by the referee. The parties reserve the right to findings of fact, conclusions of laws, a written statement of decision, and the right to move for a new trial or a different judgment, which new trial, if granted, is also to be a reference proceeding under this provision.</w:t>
      </w:r>
    </w:p>
    <w:p>
      <w:pPr>
        <w:spacing w:after="0" w:line="174" w:lineRule="exact"/>
        <w:rPr>
          <w:sz w:val="20"/>
          <w:szCs w:val="20"/>
          <w:color w:val="auto"/>
        </w:rPr>
      </w:pPr>
    </w:p>
    <w:p>
      <w:pPr>
        <w:jc w:val="both"/>
        <w:ind w:firstLine="1755"/>
        <w:spacing w:after="0" w:line="281" w:lineRule="auto"/>
        <w:rPr>
          <w:sz w:val="20"/>
          <w:szCs w:val="20"/>
          <w:color w:val="auto"/>
        </w:rPr>
      </w:pPr>
      <w:r>
        <w:rPr>
          <w:rFonts w:ascii="Arial" w:cs="Arial" w:eastAsia="Arial" w:hAnsi="Arial"/>
          <w:sz w:val="17"/>
          <w:szCs w:val="17"/>
          <w:b w:val="1"/>
          <w:bCs w:val="1"/>
          <w:color w:val="auto"/>
        </w:rPr>
        <w:t xml:space="preserve">12.9 </w:t>
      </w:r>
      <w:r>
        <w:rPr>
          <w:rFonts w:ascii="Arial" w:cs="Arial" w:eastAsia="Arial" w:hAnsi="Arial"/>
          <w:sz w:val="17"/>
          <w:szCs w:val="17"/>
          <w:color w:val="auto"/>
        </w:rPr>
        <w:t>If the enabling legislation which provides for appointment of a referee is repealed (and no successor statute is enacted),</w:t>
      </w:r>
      <w:r>
        <w:rPr>
          <w:rFonts w:ascii="Arial" w:cs="Arial" w:eastAsia="Arial" w:hAnsi="Arial"/>
          <w:sz w:val="17"/>
          <w:szCs w:val="17"/>
          <w:b w:val="1"/>
          <w:bCs w:val="1"/>
          <w:color w:val="auto"/>
        </w:rPr>
        <w:t xml:space="preserve"> </w:t>
      </w:r>
      <w:r>
        <w:rPr>
          <w:rFonts w:ascii="Arial" w:cs="Arial" w:eastAsia="Arial" w:hAnsi="Arial"/>
          <w:sz w:val="17"/>
          <w:szCs w:val="17"/>
          <w:color w:val="auto"/>
        </w:rPr>
        <w:t>any dispute between the parties that would otherwise be determined by reference procedure will be resolved and determined by arbitration. The arbitration will be conducted by a retired judge or justice, in accordance with the California Arbitration Act §1280 through §1294.2 of the CCP as amended from time to time. The limitations with respect to discovery set forth above shall apply to any such arbitration proceeding.</w:t>
      </w:r>
    </w:p>
    <w:p>
      <w:pPr>
        <w:spacing w:after="0" w:line="165"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18"/>
          <w:szCs w:val="18"/>
          <w:b w:val="1"/>
          <w:bCs w:val="1"/>
          <w:color w:val="auto"/>
        </w:rPr>
        <w:t xml:space="preserve">12.10 </w:t>
      </w:r>
      <w:r>
        <w:rPr>
          <w:rFonts w:ascii="Arial" w:cs="Arial" w:eastAsia="Arial" w:hAnsi="Arial"/>
          <w:sz w:val="18"/>
          <w:szCs w:val="18"/>
          <w:color w:val="auto"/>
        </w:rPr>
        <w:t>THE PARTIES RECOGNIZE AND AGREE THAT ALL CONTROVERSIES, DISPUTES AND CLAIMS</w:t>
      </w:r>
      <w:r>
        <w:rPr>
          <w:rFonts w:ascii="Arial" w:cs="Arial" w:eastAsia="Arial" w:hAnsi="Arial"/>
          <w:sz w:val="18"/>
          <w:szCs w:val="18"/>
          <w:b w:val="1"/>
          <w:bCs w:val="1"/>
          <w:color w:val="auto"/>
        </w:rPr>
        <w:t xml:space="preserve"> </w:t>
      </w:r>
      <w:r>
        <w:rPr>
          <w:rFonts w:ascii="Arial" w:cs="Arial" w:eastAsia="Arial" w:hAnsi="Arial"/>
          <w:sz w:val="18"/>
          <w:szCs w:val="18"/>
          <w:color w:val="auto"/>
        </w:rPr>
        <w:t>RESOLVED UNDER THIS REFERENCE PROVISION WILL BE DECIDED BY A REFEREE AND NOT BY A JURY. AFTER CONSULTING (OR HAVING HAD THE OPPORTUNITY TO CONSULT) WITH COUNSEL OF ITS, HIS OR HER OWN CHOICE, EACH PARTY KNOWINGLY AND VOLUNTARILY, AND FOR THE MUTUAL BENEFIT OF ALL PARTIES, AGREES THAT THIS REFERENCE PROVISION WILL APPLY TO ANY CONTROVERSY, DISPUTE OR CLAIM BETWEEN OR AMONG THEM ARISING OUT OF OR IN ANY WAY RELATED TO, THIS AGREEMENT OR THE OTHER LOAN DOCUMENTS.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 w:name="page35"/>
    <w:bookmarkEnd w:id="34"/>
    <w:p>
      <w:pPr>
        <w:ind w:left="1760" w:hanging="875"/>
        <w:spacing w:after="0"/>
        <w:tabs>
          <w:tab w:leader="none" w:pos="17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ENERAL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ROVISIONS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1755"/>
        <w:spacing w:after="0" w:line="254" w:lineRule="auto"/>
        <w:rPr>
          <w:sz w:val="20"/>
          <w:szCs w:val="20"/>
          <w:color w:val="auto"/>
        </w:rPr>
      </w:pPr>
      <w:r>
        <w:rPr>
          <w:rFonts w:ascii="Arial" w:cs="Arial" w:eastAsia="Arial" w:hAnsi="Arial"/>
          <w:sz w:val="18"/>
          <w:szCs w:val="18"/>
          <w:b w:val="1"/>
          <w:bCs w:val="1"/>
          <w:color w:val="auto"/>
        </w:rPr>
        <w:t>13.1 Successors and Assigns</w:t>
      </w:r>
      <w:r>
        <w:rPr>
          <w:rFonts w:ascii="Arial" w:cs="Arial" w:eastAsia="Arial" w:hAnsi="Arial"/>
          <w:sz w:val="18"/>
          <w:szCs w:val="18"/>
          <w:color w:val="auto"/>
        </w:rPr>
        <w:t>. This Agreement shall bind and inure to the benefit of the respective successors and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assigns of each of the parties; provided, however, that neither this Agreement nor any rights hereunder may be assigned by Borrower without Bank’s prior written consent, which consent may be granted or withheld in Bank’s sole discretion. Bank shall have the right without the consent of or notice to Borrower to sell, transfer, negotiate, or grant participation in all or any part of, or any interest in, Bank’s obligations, rights and benefits hereunder; provided that, unless an Event of Default has occurred or is continuing, Bank shall provide Borrower prompt notice of any such sale, transfer, negotiation or participation. Notwithstanding any of the foregoing, Bank shall, if it makes an assignment or participation, as a non-fiduciary agent of Borrower and only for tax purposes, maintain in the United States a register to record the names and address of each assignee or participant, the interests assigned or participated, including all rights to principal and stated interest on the Loans, and copies of any tax forms delivered by each such assignee or participant. No assignment or participant shall be valid unless recorded in such register. It is intended that any such register be maintained so that the Term Loan is in “registered form” for the purposes of the IRC.</w:t>
      </w:r>
    </w:p>
    <w:p>
      <w:pPr>
        <w:spacing w:after="0" w:line="186" w:lineRule="exact"/>
        <w:rPr>
          <w:sz w:val="20"/>
          <w:szCs w:val="20"/>
          <w:color w:val="auto"/>
        </w:rPr>
      </w:pPr>
    </w:p>
    <w:p>
      <w:pPr>
        <w:jc w:val="right"/>
        <w:spacing w:after="0"/>
        <w:tabs>
          <w:tab w:leader="none" w:pos="868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b w:val="1"/>
          <w:bCs w:val="1"/>
          <w:color w:val="auto"/>
        </w:rPr>
        <w:t>Indemnification</w:t>
      </w:r>
      <w:r>
        <w:rPr>
          <w:rFonts w:ascii="Arial" w:cs="Arial" w:eastAsia="Arial" w:hAnsi="Arial"/>
          <w:sz w:val="16"/>
          <w:szCs w:val="16"/>
          <w:color w:val="auto"/>
        </w:rPr>
        <w:t>.  Borrower shall defend, indemnify and hold harmless Bank and its officers, employees, and agents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against: (a) all obligations, demands, claims, and liabilities claimed or asserted by any other party in connection with the transactions contemplated by this Agreement; and (b) all losses or Bank Expenses in any way suffered, incurred, or paid by Bank as a result of or in any way arising out of, following, or consequential to transactions between Bank and Borrower whether under this Agreement, or otherwise (including without limitation reasonable attorneys’ fees and expenses), except for losses caused by Bank’s gross negligence or willful misconduct.</w:t>
      </w:r>
    </w:p>
    <w:p>
      <w:pPr>
        <w:spacing w:after="0" w:line="173" w:lineRule="exact"/>
        <w:rPr>
          <w:sz w:val="20"/>
          <w:szCs w:val="20"/>
          <w:color w:val="auto"/>
        </w:rPr>
      </w:pPr>
    </w:p>
    <w:p>
      <w:pPr>
        <w:ind w:left="1760"/>
        <w:spacing w:after="0"/>
        <w:tabs>
          <w:tab w:leader="none" w:pos="270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b w:val="1"/>
          <w:bCs w:val="1"/>
          <w:color w:val="auto"/>
        </w:rPr>
        <w:t>Time of Essence</w:t>
      </w:r>
      <w:r>
        <w:rPr>
          <w:rFonts w:ascii="Arial" w:cs="Arial" w:eastAsia="Arial" w:hAnsi="Arial"/>
          <w:sz w:val="16"/>
          <w:szCs w:val="16"/>
          <w:color w:val="auto"/>
        </w:rPr>
        <w:t>. Time is of the essence for the performance of all obligations set forth in this Agreement.</w:t>
      </w:r>
    </w:p>
    <w:p>
      <w:pPr>
        <w:spacing w:after="0" w:line="225" w:lineRule="exact"/>
        <w:rPr>
          <w:sz w:val="20"/>
          <w:szCs w:val="20"/>
          <w:color w:val="auto"/>
        </w:rPr>
      </w:pPr>
    </w:p>
    <w:p>
      <w:pPr>
        <w:jc w:val="both"/>
        <w:ind w:firstLine="1755"/>
        <w:spacing w:after="0" w:line="282" w:lineRule="auto"/>
        <w:rPr>
          <w:sz w:val="20"/>
          <w:szCs w:val="20"/>
          <w:color w:val="auto"/>
        </w:rPr>
      </w:pPr>
      <w:r>
        <w:rPr>
          <w:rFonts w:ascii="Arial" w:cs="Arial" w:eastAsia="Arial" w:hAnsi="Arial"/>
          <w:sz w:val="18"/>
          <w:szCs w:val="18"/>
          <w:b w:val="1"/>
          <w:bCs w:val="1"/>
          <w:color w:val="auto"/>
        </w:rPr>
        <w:t>13.4 Severability of Provisions</w:t>
      </w:r>
      <w:r>
        <w:rPr>
          <w:rFonts w:ascii="Arial" w:cs="Arial" w:eastAsia="Arial" w:hAnsi="Arial"/>
          <w:sz w:val="18"/>
          <w:szCs w:val="18"/>
          <w:color w:val="auto"/>
        </w:rPr>
        <w:t>. Each provision of this Agreement shall be severable from every other provision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for the purpose of determining the legal enforceability of any specific provision.</w:t>
      </w:r>
    </w:p>
    <w:p>
      <w:pPr>
        <w:spacing w:after="0" w:line="162" w:lineRule="exact"/>
        <w:rPr>
          <w:sz w:val="20"/>
          <w:szCs w:val="20"/>
          <w:color w:val="auto"/>
        </w:rPr>
      </w:pPr>
    </w:p>
    <w:p>
      <w:pPr>
        <w:jc w:val="both"/>
        <w:ind w:firstLine="1755"/>
        <w:spacing w:after="0" w:line="266" w:lineRule="auto"/>
        <w:rPr>
          <w:sz w:val="20"/>
          <w:szCs w:val="20"/>
          <w:color w:val="auto"/>
        </w:rPr>
      </w:pPr>
      <w:r>
        <w:rPr>
          <w:rFonts w:ascii="Arial" w:cs="Arial" w:eastAsia="Arial" w:hAnsi="Arial"/>
          <w:sz w:val="18"/>
          <w:szCs w:val="18"/>
          <w:b w:val="1"/>
          <w:bCs w:val="1"/>
          <w:color w:val="auto"/>
        </w:rPr>
        <w:t>13.5 Amendments in Writing, Integration</w:t>
      </w:r>
      <w:r>
        <w:rPr>
          <w:rFonts w:ascii="Arial" w:cs="Arial" w:eastAsia="Arial" w:hAnsi="Arial"/>
          <w:sz w:val="18"/>
          <w:szCs w:val="18"/>
          <w:color w:val="auto"/>
        </w:rPr>
        <w:t>. Neither this Agreement nor the Loan Documents can be amended or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orally. All prior agreements, understandings, representations, warranties, and negotiations between the parties hereto with respect to the subject matter of this Agreement and the Loan Documents, if any, are merged into this Agreement and the Loan Documents.</w:t>
      </w:r>
    </w:p>
    <w:p>
      <w:pPr>
        <w:spacing w:after="0" w:line="176" w:lineRule="exact"/>
        <w:rPr>
          <w:sz w:val="20"/>
          <w:szCs w:val="20"/>
          <w:color w:val="auto"/>
        </w:rPr>
      </w:pPr>
    </w:p>
    <w:p>
      <w:pPr>
        <w:jc w:val="both"/>
        <w:ind w:firstLine="1755"/>
        <w:spacing w:after="0" w:line="261" w:lineRule="auto"/>
        <w:rPr>
          <w:sz w:val="20"/>
          <w:szCs w:val="20"/>
          <w:color w:val="auto"/>
        </w:rPr>
      </w:pPr>
      <w:r>
        <w:rPr>
          <w:rFonts w:ascii="Arial" w:cs="Arial" w:eastAsia="Arial" w:hAnsi="Arial"/>
          <w:sz w:val="18"/>
          <w:szCs w:val="18"/>
          <w:b w:val="1"/>
          <w:bCs w:val="1"/>
          <w:color w:val="auto"/>
        </w:rPr>
        <w:t>13.6 Counterparts</w:t>
      </w:r>
      <w:r>
        <w:rPr>
          <w:rFonts w:ascii="Arial" w:cs="Arial" w:eastAsia="Arial" w:hAnsi="Arial"/>
          <w:sz w:val="18"/>
          <w:szCs w:val="18"/>
          <w:color w:val="auto"/>
        </w:rPr>
        <w:t>. This Agreement may be executed in any number of counterparts and by different parties on separate</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each of which, when executed and delivered, shall be deemed to be an original, and all of which, when taken together, shall constitute but one and the same Agreement. Delivery of an executed counterpart of this Agreement by telefacsimile or other electronic method of transmission shall be equally as effective as delivery of an original executed counterpart of this Agreement.</w:t>
      </w:r>
    </w:p>
    <w:p>
      <w:pPr>
        <w:spacing w:after="0" w:line="180" w:lineRule="exact"/>
        <w:rPr>
          <w:sz w:val="20"/>
          <w:szCs w:val="20"/>
          <w:color w:val="auto"/>
        </w:rPr>
      </w:pPr>
    </w:p>
    <w:p>
      <w:pPr>
        <w:jc w:val="both"/>
        <w:ind w:firstLine="1755"/>
        <w:spacing w:after="0" w:line="261" w:lineRule="auto"/>
        <w:rPr>
          <w:sz w:val="20"/>
          <w:szCs w:val="20"/>
          <w:color w:val="auto"/>
        </w:rPr>
      </w:pPr>
      <w:r>
        <w:rPr>
          <w:rFonts w:ascii="Arial" w:cs="Arial" w:eastAsia="Arial" w:hAnsi="Arial"/>
          <w:sz w:val="18"/>
          <w:szCs w:val="18"/>
          <w:b w:val="1"/>
          <w:bCs w:val="1"/>
          <w:color w:val="auto"/>
        </w:rPr>
        <w:t>13.7 Survival. All covenants, representations and warranties made in this Agreement shall continue in full force and effect so long as any Obligations remain outstanding or Bank has any obligation to make Credit Extensions to Borrower. The obligations of Borrower to indemnify Bank with respect to the expenses, damages, losses, costs and liabilities described in Section 13.2 shall survive until all applicable statute of limitations periods with respect to actions that may be brought against Bank have run.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 w:name="page36"/>
    <w:bookmarkEnd w:id="35"/>
    <w:p>
      <w:pPr>
        <w:jc w:val="both"/>
        <w:ind w:firstLine="1755"/>
        <w:spacing w:after="0" w:line="269" w:lineRule="auto"/>
        <w:rPr>
          <w:sz w:val="20"/>
          <w:szCs w:val="20"/>
          <w:color w:val="auto"/>
        </w:rPr>
      </w:pPr>
      <w:r>
        <w:rPr>
          <w:rFonts w:ascii="Arial" w:cs="Arial" w:eastAsia="Arial" w:hAnsi="Arial"/>
          <w:sz w:val="17"/>
          <w:szCs w:val="17"/>
          <w:b w:val="1"/>
          <w:bCs w:val="1"/>
          <w:color w:val="auto"/>
        </w:rPr>
        <w:t>13.8 Confidentiality</w:t>
      </w:r>
      <w:r>
        <w:rPr>
          <w:rFonts w:ascii="Arial" w:cs="Arial" w:eastAsia="Arial" w:hAnsi="Arial"/>
          <w:sz w:val="17"/>
          <w:szCs w:val="17"/>
          <w:color w:val="auto"/>
        </w:rPr>
        <w:t>. In handling any confidential information Bank and all employees and agents of Bank, including but</w:t>
      </w:r>
      <w:r>
        <w:rPr>
          <w:rFonts w:ascii="Arial" w:cs="Arial" w:eastAsia="Arial" w:hAnsi="Arial"/>
          <w:sz w:val="17"/>
          <w:szCs w:val="17"/>
          <w:b w:val="1"/>
          <w:bCs w:val="1"/>
          <w:color w:val="auto"/>
        </w:rPr>
        <w:t xml:space="preserve"> </w:t>
      </w:r>
      <w:r>
        <w:rPr>
          <w:rFonts w:ascii="Arial" w:cs="Arial" w:eastAsia="Arial" w:hAnsi="Arial"/>
          <w:sz w:val="17"/>
          <w:szCs w:val="17"/>
          <w:color w:val="auto"/>
        </w:rPr>
        <w:t>not limited to accountants, shall exercise the same degree of care that it exercises with respect to its own proprietary information of the same types to maintain the confidentiality of any non-public information thereby received or received pursuant to this Agreement except that disclosure of such information may be made (i) to the subsidiaries or affiliates of Bank in connection with their present or prospective business relations with Borrower, provided that any such subsidiary or affiliate shall have agreed to receive such information hereunder subject to the terms of this Section 13.8, (ii) to prospective transferees or purchasers of any interest in the Loans, provided that any prospective transferee or purchaser shall have agreed to receive such information hereunder subject to the terms of this Section 13.8, (iii) as required by law, regulations, rule or order, subpoena, judicial order or similar order, (iv) as may be required in connection with the examination, audit or similar investigation of Bank and (v) as Bank may reasonably determine in connection with the enforcement of any remedies hereunder. Confidential information hereunder shall not include information that either: (a) is in the public domain or in the knowledge or possession of Bank on a non-confidential basis when disclosed to Bank, or becomes part of the public domain after disclosure to Bank through no fault of Bank; or (b) is disclosed to Bank by a third party, provided Bank does not have actual knowledge that such third party is prohibited from disclosing such information.</w:t>
      </w:r>
    </w:p>
    <w:p>
      <w:pPr>
        <w:spacing w:after="0" w:line="180" w:lineRule="exact"/>
        <w:rPr>
          <w:sz w:val="20"/>
          <w:szCs w:val="20"/>
          <w:color w:val="auto"/>
        </w:rPr>
      </w:pPr>
    </w:p>
    <w:p>
      <w:pPr>
        <w:jc w:val="both"/>
        <w:ind w:firstLine="1755"/>
        <w:spacing w:after="0" w:line="289" w:lineRule="auto"/>
        <w:rPr>
          <w:sz w:val="20"/>
          <w:szCs w:val="20"/>
          <w:color w:val="auto"/>
        </w:rPr>
      </w:pPr>
      <w:r>
        <w:rPr>
          <w:rFonts w:ascii="Arial" w:cs="Arial" w:eastAsia="Arial" w:hAnsi="Arial"/>
          <w:sz w:val="17"/>
          <w:szCs w:val="17"/>
          <w:b w:val="1"/>
          <w:bCs w:val="1"/>
          <w:color w:val="auto"/>
        </w:rPr>
        <w:t>13.9 Patriot Act Notice</w:t>
      </w:r>
      <w:r>
        <w:rPr>
          <w:rFonts w:ascii="Arial" w:cs="Arial" w:eastAsia="Arial" w:hAnsi="Arial"/>
          <w:sz w:val="17"/>
          <w:szCs w:val="17"/>
          <w:color w:val="auto"/>
        </w:rPr>
        <w:t>. Bank notifies Borrower that, pursuant to the requirements of the USA Patriot Act, Title III of Pub.</w:t>
      </w:r>
      <w:r>
        <w:rPr>
          <w:rFonts w:ascii="Arial" w:cs="Arial" w:eastAsia="Arial" w:hAnsi="Arial"/>
          <w:sz w:val="17"/>
          <w:szCs w:val="17"/>
          <w:b w:val="1"/>
          <w:bCs w:val="1"/>
          <w:color w:val="auto"/>
        </w:rPr>
        <w:t xml:space="preserve"> </w:t>
      </w:r>
      <w:r>
        <w:rPr>
          <w:rFonts w:ascii="Arial" w:cs="Arial" w:eastAsia="Arial" w:hAnsi="Arial"/>
          <w:sz w:val="17"/>
          <w:szCs w:val="17"/>
          <w:color w:val="auto"/>
        </w:rPr>
        <w:t>L. 107-56 (signed into law on October 26, 2001) (the “ Patriot Act “), it is required to obtain, verify and record information that identifies Borrower, which information includes names and addresses and other information that will allow Bank to identify Borrower in accordance with the Patriot Act.</w:t>
      </w:r>
    </w:p>
    <w:p>
      <w:pPr>
        <w:spacing w:after="0" w:line="158" w:lineRule="exact"/>
        <w:rPr>
          <w:sz w:val="20"/>
          <w:szCs w:val="20"/>
          <w:color w:val="auto"/>
        </w:rPr>
      </w:pPr>
    </w:p>
    <w:p>
      <w:pPr>
        <w:ind w:left="1760" w:hanging="875"/>
        <w:spacing w:after="0"/>
        <w:tabs>
          <w:tab w:leader="none" w:pos="17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FINAL AGREEMENT.</w:t>
      </w:r>
    </w:p>
    <w:p>
      <w:pPr>
        <w:spacing w:after="0" w:line="225" w:lineRule="exact"/>
        <w:rPr>
          <w:sz w:val="20"/>
          <w:szCs w:val="20"/>
          <w:color w:val="auto"/>
        </w:rPr>
      </w:pPr>
    </w:p>
    <w:p>
      <w:pPr>
        <w:jc w:val="both"/>
        <w:ind w:right="20" w:firstLine="877"/>
        <w:spacing w:after="0" w:line="261" w:lineRule="auto"/>
        <w:rPr>
          <w:sz w:val="20"/>
          <w:szCs w:val="20"/>
          <w:color w:val="auto"/>
        </w:rPr>
      </w:pPr>
      <w:r>
        <w:rPr>
          <w:rFonts w:ascii="Arial" w:cs="Arial" w:eastAsia="Arial" w:hAnsi="Arial"/>
          <w:sz w:val="18"/>
          <w:szCs w:val="18"/>
          <w:b w:val="1"/>
          <w:bCs w:val="1"/>
          <w:color w:val="auto"/>
        </w:rPr>
        <w:t>BY SIGNING THIS DOCUMENT EACH PARTY REPRESENTS AND AGREES THAT: (A) THIS WRITTEN AGREEMENT REPRESENTS THE FINAL AGREEMENT BETWEEN THE PARTIES, (B) THERE ARE NO UNWRITTEN ORAL AGREEMENTS BETWEEN THE PARTIES, AND (C) THIS WRITTEN AGREEMENT MAY NOT BE CONTRADICTED BY EVIDENCE OF ANY PRIOR, CONTEMPORANEOUS, OR SUBSEQUENT ORAL AGREEMENTS OR UNDERSTANDINGS OF THE PARTIES.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IN WITNESS WHEREOF, the parties hereto have caused this Agreement to be executed as of the date first above written.</w:t>
      </w:r>
    </w:p>
    <w:p>
      <w:pPr>
        <w:spacing w:after="0" w:line="200" w:lineRule="exact"/>
        <w:rPr>
          <w:sz w:val="20"/>
          <w:szCs w:val="20"/>
          <w:color w:val="auto"/>
        </w:rPr>
      </w:pPr>
    </w:p>
    <w:p>
      <w:pPr>
        <w:spacing w:after="0" w:line="26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ARCTURUS THERAPEUTICS,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14605</wp:posOffset>
            </wp:positionV>
            <wp:extent cx="31984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19" w:lineRule="exact"/>
        <w:rPr>
          <w:sz w:val="20"/>
          <w:szCs w:val="20"/>
          <w:color w:val="auto"/>
        </w:rPr>
      </w:pPr>
    </w:p>
    <w:p>
      <w:pPr>
        <w:ind w:left="5720"/>
        <w:spacing w:after="0"/>
        <w:tabs>
          <w:tab w:leader="none" w:pos="6360" w:val="left"/>
        </w:tabs>
        <w:rPr>
          <w:sz w:val="20"/>
          <w:szCs w:val="20"/>
          <w:color w:val="auto"/>
        </w:rPr>
      </w:pPr>
      <w:r>
        <w:rPr>
          <w:rFonts w:ascii="Arial" w:cs="Arial" w:eastAsia="Arial" w:hAnsi="Arial"/>
          <w:sz w:val="18"/>
          <w:szCs w:val="18"/>
          <w:color w:val="auto"/>
        </w:rPr>
        <w:t>Title:</w:t>
        <w:tab/>
        <w:t>Vice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14605</wp:posOffset>
            </wp:positionV>
            <wp:extent cx="31984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1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ESTERN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LLIANCE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ANK</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14605</wp:posOffset>
            </wp:positionV>
            <wp:extent cx="31642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14605</wp:posOffset>
            </wp:positionV>
            <wp:extent cx="31642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1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Loan and Security Agreement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853440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EXHIBIT A</w:t>
      </w:r>
    </w:p>
    <w:p>
      <w:pPr>
        <w:sectPr>
          <w:pgSz w:w="11900" w:h="16838" w:orient="portrait"/>
          <w:cols w:equalWidth="0" w:num="1">
            <w:col w:w="11420"/>
          </w:cols>
          <w:pgMar w:left="240" w:top="337"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DEBTOR: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ARCTURUS THERAPEUTICS, INC., a Delaware corporation</w:t>
      </w:r>
    </w:p>
    <w:p>
      <w:pPr>
        <w:spacing w:after="0" w:line="211" w:lineRule="exact"/>
        <w:rPr>
          <w:sz w:val="20"/>
          <w:szCs w:val="20"/>
          <w:color w:val="auto"/>
        </w:rPr>
      </w:pPr>
    </w:p>
    <w:p>
      <w:pPr>
        <w:sectPr>
          <w:pgSz w:w="11900" w:h="16838" w:orient="portrait"/>
          <w:cols w:equalWidth="0" w:num="2">
            <w:col w:w="1720" w:space="720"/>
            <w:col w:w="8980"/>
          </w:cols>
          <w:pgMar w:left="240" w:top="337"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SECURED PARTY: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WESTERN ALLIANCE BANK, an Arizona corporation</w:t>
      </w:r>
    </w:p>
    <w:p>
      <w:pPr>
        <w:spacing w:after="0" w:line="200" w:lineRule="exact"/>
        <w:rPr>
          <w:sz w:val="20"/>
          <w:szCs w:val="20"/>
          <w:color w:val="auto"/>
        </w:rPr>
      </w:pPr>
    </w:p>
    <w:p>
      <w:pPr>
        <w:sectPr>
          <w:pgSz w:w="11900" w:h="16838" w:orient="portrait"/>
          <w:cols w:equalWidth="0" w:num="2">
            <w:col w:w="1720" w:space="720"/>
            <w:col w:w="8980"/>
          </w:cols>
          <w:pgMar w:left="240" w:top="337" w:right="239" w:bottom="1440" w:gutter="0" w:footer="0" w:header="0"/>
          <w:type w:val="continuous"/>
        </w:sectPr>
      </w:pPr>
    </w:p>
    <w:p>
      <w:pPr>
        <w:spacing w:after="0" w:line="3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COLLATERAL DESCRIPTION ATTACHMENT</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TO LOAN AND SECURITY AGREEMENT</w:t>
      </w:r>
    </w:p>
    <w:p>
      <w:pPr>
        <w:sectPr>
          <w:pgSz w:w="11900" w:h="16838" w:orient="portrait"/>
          <w:cols w:equalWidth="0" w:num="1">
            <w:col w:w="11420"/>
          </w:cols>
          <w:pgMar w:left="240" w:top="337" w:right="23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ind w:right="20" w:firstLine="877"/>
        <w:spacing w:after="0" w:line="277" w:lineRule="auto"/>
        <w:rPr>
          <w:sz w:val="20"/>
          <w:szCs w:val="20"/>
          <w:color w:val="auto"/>
        </w:rPr>
      </w:pPr>
      <w:r>
        <w:rPr>
          <w:rFonts w:ascii="Arial" w:cs="Arial" w:eastAsia="Arial" w:hAnsi="Arial"/>
          <w:sz w:val="18"/>
          <w:szCs w:val="18"/>
          <w:color w:val="auto"/>
        </w:rPr>
        <w:t>All personal property of Borrower (herein referred to as “Borrower” or “Debtor”) whether presently existing or hereafter created or acquired, and wherever located, including, but not limited to:</w:t>
      </w:r>
    </w:p>
    <w:p>
      <w:pPr>
        <w:spacing w:after="0" w:line="170" w:lineRule="exact"/>
        <w:rPr>
          <w:sz w:val="20"/>
          <w:szCs w:val="20"/>
          <w:color w:val="auto"/>
        </w:rPr>
      </w:pPr>
    </w:p>
    <w:p>
      <w:pPr>
        <w:jc w:val="both"/>
        <w:ind w:firstLine="2642"/>
        <w:spacing w:after="0" w:line="255" w:lineRule="auto"/>
        <w:tabs>
          <w:tab w:leader="none" w:pos="3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accounts (including health-care-insurance receivables), chattel paper (including tangible and electronic chattel paper), deposit accounts, documents (including negotiable documents), equipment (including all accessions and additions thereto), general intangibles (including payment intangibles and software), goods (including fixtures), instruments (including promissory notes), inventory (including all goods held for sale or lease or to be furnished under a contract of service, and including returns and repossessions), investment property (including securities and securities entitlements), letter of credit rights, money, and all of Debtor’s books and records with respect to any of the foregoing, and the computers and equipment containing said books and records;</w:t>
      </w:r>
    </w:p>
    <w:p>
      <w:pPr>
        <w:spacing w:after="0" w:line="193" w:lineRule="exact"/>
        <w:rPr>
          <w:rFonts w:ascii="Arial" w:cs="Arial" w:eastAsia="Arial" w:hAnsi="Arial"/>
          <w:sz w:val="18"/>
          <w:szCs w:val="18"/>
          <w:color w:val="auto"/>
        </w:rPr>
      </w:pPr>
    </w:p>
    <w:p>
      <w:pPr>
        <w:jc w:val="both"/>
        <w:ind w:firstLine="2642"/>
        <w:spacing w:after="0" w:line="264" w:lineRule="auto"/>
        <w:tabs>
          <w:tab w:leader="none" w:pos="355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and all cash proceeds and/or noncash proceeds of any of the foregoing, including, without limitation, insurance proceeds, and all supporting obligations and the security therefor or for any right to payment. All terms above have the meanings given to them in the California Uniform Commercial Code, as amended or supplemented from time to time.</w:t>
      </w:r>
    </w:p>
    <w:p>
      <w:pPr>
        <w:spacing w:after="0" w:line="181" w:lineRule="exact"/>
        <w:rPr>
          <w:sz w:val="20"/>
          <w:szCs w:val="20"/>
          <w:color w:val="auto"/>
        </w:rPr>
      </w:pPr>
    </w:p>
    <w:p>
      <w:pPr>
        <w:jc w:val="both"/>
        <w:ind w:firstLine="877"/>
        <w:spacing w:after="0" w:line="285" w:lineRule="auto"/>
        <w:rPr>
          <w:sz w:val="20"/>
          <w:szCs w:val="20"/>
          <w:color w:val="auto"/>
        </w:rPr>
      </w:pPr>
      <w:r>
        <w:rPr>
          <w:rFonts w:ascii="Arial" w:cs="Arial" w:eastAsia="Arial" w:hAnsi="Arial"/>
          <w:sz w:val="16"/>
          <w:szCs w:val="16"/>
          <w:color w:val="auto"/>
        </w:rPr>
        <w:t>Notwithstanding the foregoing, the Collateral shall not include (w) any Intellectual Property; provided, however, that the Collateral shall include all accounts and general intangibles that consist of rights to payment and proceeds from the sale, licensing or disposition of all or any part, or rights in, the foregoing (the “Rights to Payment”); (v) more than sixty five percent (65%) of the total combined voting power of all classes of stock entitled to vote the shares of capital stock (the “Shares”) of any Foreign Subsidiary, if Borrower demonstrates to Bank’s reasonable satisfaction that a pledge of more than sixty five percent (65%) of the Shares of such Subsidiary creates a present and existing adverse tax consequence to Borrower under the U.S. Internal Revenue Code; (x) any capital stock, membership units or other securities in joint ventures, to the extent that a pledge thereof would violate, or require the consent of a counterparty under, the relevant joint venture arrangements or agreements with the issuer or other holders of capital stock, membership units or other securities of such Issuer; (y) any Equipment not financed by Bank or rights of Borrower as a licensee to the extent the granting of a security interest therein (i) would be contrary to applicable law or (ii) is prohibited by or would constitute a default under any agreement or document governing such property (but only to the extent such prohibition is enforceable under applicable law); provided that upon the termination or lapsing of any such prohibition, such property shall automatically be part of the Collateral; and provided further that the provisions of this paragraph shall in no case exclude from the definition of “Collateral” any Accounts, proceeds of the disposition of any property, or general intangibles consisting of rights to payment, all of which shall at all times constitute “Collateral”; and provided further that any Equipment financed by Bank will at all times constitute “Collateral”; or (z) any payroll, withholding, employee benefit and other fiduciary account designated and identified to Bank in writing as such (all of the foregoing in clauses (w) through (z), collectively, the “Excluded Collateral”). Notwithstanding the foregoing, if a judicial authority (including a U.S. Bankruptcy Court) holds that a security interest in the underlying Intellectual Property is necessary to have a security interest in the Rights to Payment, then the Collateral shall automatically, and effective as of the Closing Date, include the Intellectual Property to the extent necessary to permit perfection of Bank’s security interest in the Rights to Payment other than, in any event, any “intent-to-use” U.S. Trademark application for which an amendment to allege use or a statement of use has not been filed and accepted by the U.S. Patent and Trademark Office and that would otherwise be deemed invalidated, cancelled or abandoned due to the grant of a Lien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1090930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7240" w:type="dxa"/>
            <w:vAlign w:val="bottom"/>
            <w:gridSpan w:val="2"/>
          </w:tcPr>
          <w:p>
            <w:pPr>
              <w:jc w:val="center"/>
              <w:ind w:left="1811"/>
              <w:spacing w:after="0"/>
              <w:rPr>
                <w:sz w:val="20"/>
                <w:szCs w:val="20"/>
                <w:color w:val="auto"/>
              </w:rPr>
            </w:pPr>
            <w:r>
              <w:rPr>
                <w:rFonts w:ascii="Arial" w:cs="Arial" w:eastAsia="Arial" w:hAnsi="Arial"/>
                <w:sz w:val="18"/>
                <w:szCs w:val="18"/>
                <w:b w:val="1"/>
                <w:bCs w:val="1"/>
                <w:color w:val="auto"/>
              </w:rPr>
              <w:t>EXHIBIT B</w:t>
            </w:r>
          </w:p>
        </w:tc>
        <w:tc>
          <w:tcPr>
            <w:tcW w:w="0" w:type="dxa"/>
            <w:vAlign w:val="bottom"/>
          </w:tcPr>
          <w:p>
            <w:pPr>
              <w:spacing w:after="0"/>
              <w:rPr>
                <w:sz w:val="1"/>
                <w:szCs w:val="1"/>
                <w:color w:val="auto"/>
              </w:rPr>
            </w:pPr>
          </w:p>
        </w:tc>
      </w:tr>
      <w:tr>
        <w:trPr>
          <w:trHeight w:val="422"/>
        </w:trPr>
        <w:tc>
          <w:tcPr>
            <w:tcW w:w="1140" w:type="dxa"/>
            <w:vAlign w:val="bottom"/>
          </w:tcPr>
          <w:p>
            <w:pPr>
              <w:spacing w:after="0"/>
              <w:rPr>
                <w:sz w:val="24"/>
                <w:szCs w:val="24"/>
                <w:color w:val="auto"/>
              </w:rPr>
            </w:pPr>
          </w:p>
        </w:tc>
        <w:tc>
          <w:tcPr>
            <w:tcW w:w="7240" w:type="dxa"/>
            <w:vAlign w:val="bottom"/>
            <w:gridSpan w:val="2"/>
          </w:tcPr>
          <w:p>
            <w:pPr>
              <w:jc w:val="center"/>
              <w:ind w:left="1811"/>
              <w:spacing w:after="0"/>
              <w:rPr>
                <w:sz w:val="20"/>
                <w:szCs w:val="20"/>
                <w:color w:val="auto"/>
              </w:rPr>
            </w:pPr>
            <w:r>
              <w:rPr>
                <w:rFonts w:ascii="Arial" w:cs="Arial" w:eastAsia="Arial" w:hAnsi="Arial"/>
                <w:sz w:val="18"/>
                <w:szCs w:val="18"/>
                <w:b w:val="1"/>
                <w:bCs w:val="1"/>
                <w:color w:val="auto"/>
              </w:rPr>
              <w:t>TERM LOAN REQUEST</w:t>
            </w: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7240" w:type="dxa"/>
            <w:vAlign w:val="bottom"/>
            <w:gridSpan w:val="2"/>
          </w:tcPr>
          <w:p>
            <w:pPr>
              <w:jc w:val="center"/>
              <w:ind w:left="1811"/>
              <w:spacing w:after="0"/>
              <w:rPr>
                <w:sz w:val="20"/>
                <w:szCs w:val="20"/>
                <w:color w:val="auto"/>
              </w:rPr>
            </w:pPr>
            <w:r>
              <w:rPr>
                <w:rFonts w:ascii="Arial" w:cs="Arial" w:eastAsia="Arial" w:hAnsi="Arial"/>
                <w:sz w:val="16"/>
                <w:szCs w:val="16"/>
                <w:i w:val="1"/>
                <w:iCs w:val="1"/>
                <w:color w:val="auto"/>
                <w:w w:val="91"/>
              </w:rPr>
              <w:t>(To be submitted no later than 3:00 PM to be considered for same day processing)</w:t>
            </w:r>
          </w:p>
        </w:tc>
        <w:tc>
          <w:tcPr>
            <w:tcW w:w="0" w:type="dxa"/>
            <w:vAlign w:val="bottom"/>
          </w:tcPr>
          <w:p>
            <w:pPr>
              <w:spacing w:after="0"/>
              <w:rPr>
                <w:sz w:val="1"/>
                <w:szCs w:val="1"/>
                <w:color w:val="auto"/>
              </w:rPr>
            </w:pPr>
          </w:p>
        </w:tc>
      </w:tr>
      <w:tr>
        <w:trPr>
          <w:trHeight w:val="438"/>
        </w:trPr>
        <w:tc>
          <w:tcPr>
            <w:tcW w:w="1140" w:type="dxa"/>
            <w:vAlign w:val="bottom"/>
          </w:tcPr>
          <w:p>
            <w:pPr>
              <w:spacing w:after="0"/>
              <w:rPr>
                <w:sz w:val="20"/>
                <w:szCs w:val="20"/>
                <w:color w:val="auto"/>
              </w:rPr>
            </w:pPr>
            <w:r>
              <w:rPr>
                <w:rFonts w:ascii="Arial" w:cs="Arial" w:eastAsia="Arial" w:hAnsi="Arial"/>
                <w:sz w:val="18"/>
                <w:szCs w:val="18"/>
                <w:color w:val="auto"/>
              </w:rPr>
              <w:t>To:</w:t>
            </w:r>
          </w:p>
        </w:tc>
        <w:tc>
          <w:tcPr>
            <w:tcW w:w="7240" w:type="dxa"/>
            <w:vAlign w:val="bottom"/>
            <w:gridSpan w:val="2"/>
          </w:tcPr>
          <w:p>
            <w:pPr>
              <w:spacing w:after="0"/>
              <w:rPr>
                <w:sz w:val="20"/>
                <w:szCs w:val="20"/>
                <w:color w:val="auto"/>
              </w:rPr>
            </w:pPr>
            <w:r>
              <w:rPr>
                <w:rFonts w:ascii="Arial" w:cs="Arial" w:eastAsia="Arial" w:hAnsi="Arial"/>
                <w:sz w:val="18"/>
                <w:szCs w:val="18"/>
                <w:color w:val="auto"/>
              </w:rPr>
              <w:t>Western Alliance Bank, an Arizona corporation</w:t>
            </w:r>
          </w:p>
        </w:tc>
        <w:tc>
          <w:tcPr>
            <w:tcW w:w="0" w:type="dxa"/>
            <w:vAlign w:val="bottom"/>
          </w:tcPr>
          <w:p>
            <w:pPr>
              <w:spacing w:after="0"/>
              <w:rPr>
                <w:sz w:val="1"/>
                <w:szCs w:val="1"/>
                <w:color w:val="auto"/>
              </w:rPr>
            </w:pPr>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Fax:</w:t>
            </w:r>
          </w:p>
        </w:tc>
        <w:tc>
          <w:tcPr>
            <w:tcW w:w="5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(408) 282-1681</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tcBorders>
              <w:bottom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From:</w:t>
            </w:r>
          </w:p>
        </w:tc>
        <w:tc>
          <w:tcPr>
            <w:tcW w:w="7240" w:type="dxa"/>
            <w:vAlign w:val="bottom"/>
            <w:gridSpan w:val="2"/>
          </w:tcPr>
          <w:p>
            <w:pPr>
              <w:spacing w:after="0"/>
              <w:rPr>
                <w:sz w:val="20"/>
                <w:szCs w:val="20"/>
                <w:color w:val="auto"/>
              </w:rPr>
            </w:pPr>
            <w:r>
              <w:rPr>
                <w:rFonts w:ascii="Arial" w:cs="Arial" w:eastAsia="Arial" w:hAnsi="Arial"/>
                <w:sz w:val="18"/>
                <w:szCs w:val="18"/>
                <w:color w:val="auto"/>
              </w:rPr>
              <w:t>ARCTURUS THERAPEUTICS, INC.</w:t>
            </w: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Borrower's Name</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5140" w:type="dxa"/>
            <w:vAlign w:val="bottom"/>
            <w:tcBorders>
              <w:bottom w:val="single" w:sz="8" w:color="auto"/>
            </w:tcBorders>
          </w:tcPr>
          <w:p>
            <w:pPr>
              <w:spacing w:after="0"/>
              <w:rPr>
                <w:sz w:val="17"/>
                <w:szCs w:val="17"/>
                <w:color w:val="auto"/>
              </w:rPr>
            </w:pPr>
          </w:p>
        </w:tc>
        <w:tc>
          <w:tcPr>
            <w:tcW w:w="2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Authorized Signature</w:t>
            </w:r>
          </w:p>
        </w:tc>
        <w:tc>
          <w:tcPr>
            <w:tcW w:w="2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5140" w:type="dxa"/>
            <w:vAlign w:val="bottom"/>
            <w:tcBorders>
              <w:bottom w:val="single" w:sz="8" w:color="auto"/>
            </w:tcBorders>
          </w:tcPr>
          <w:p>
            <w:pPr>
              <w:spacing w:after="0"/>
              <w:rPr>
                <w:sz w:val="17"/>
                <w:szCs w:val="17"/>
                <w:color w:val="auto"/>
              </w:rPr>
            </w:pPr>
          </w:p>
        </w:tc>
        <w:tc>
          <w:tcPr>
            <w:tcW w:w="2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Authorized Signer's Name (please print)</w:t>
            </w:r>
          </w:p>
        </w:tc>
        <w:tc>
          <w:tcPr>
            <w:tcW w:w="2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5140" w:type="dxa"/>
            <w:vAlign w:val="bottom"/>
            <w:tcBorders>
              <w:bottom w:val="single" w:sz="8" w:color="auto"/>
            </w:tcBorders>
          </w:tcPr>
          <w:p>
            <w:pPr>
              <w:spacing w:after="0"/>
              <w:rPr>
                <w:sz w:val="17"/>
                <w:szCs w:val="17"/>
                <w:color w:val="auto"/>
              </w:rPr>
            </w:pPr>
          </w:p>
        </w:tc>
        <w:tc>
          <w:tcPr>
            <w:tcW w:w="2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Phone Number</w:t>
            </w:r>
          </w:p>
        </w:tc>
        <w:tc>
          <w:tcPr>
            <w:tcW w:w="2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To 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wp:posOffset>
            </wp:positionV>
            <wp:extent cx="23152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Borrower hereby requests funding in the amount of $10,000,000.00 in accordance with the Term Loan as defined in the Loan and Security Agreement dated as of October 12, 2018 (the “Loan and Security Agreement”).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Borrower hereby authorizes Bank to rely on electronic and stamp signatures and treat them as authorized by Borrower for the purpose of requesting the above advance.</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All representations and warranties of Borrower stated in the Loan and Security Agreement are true, correct and complete in all material respects as of the date of this Term Loan Request; provided that those representations and warranties expressly referring to another date shall be true, correct and complete in all material respects as of such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and not otherwise defined have the meanings set forth in the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988695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9" w:name="page40"/>
    <w:bookmarkEnd w:id="39"/>
    <w:p>
      <w:pPr>
        <w:jc w:val="center"/>
        <w:ind w:right="-20"/>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576580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EXHIBIT 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COMPLIANCE CERTIFICATE</w:t>
      </w:r>
    </w:p>
    <w:p>
      <w:pPr>
        <w:sectPr>
          <w:pgSz w:w="11900" w:h="16838" w:orient="portrait"/>
          <w:cols w:equalWidth="0" w:num="1">
            <w:col w:w="11440"/>
          </w:cols>
          <w:pgMar w:left="240" w:top="337" w:right="219" w:bottom="1440" w:gutter="0" w:footer="0" w:header="0"/>
        </w:sectPr>
      </w:pP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TO:</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WESTERN ALLIANCE BANK, an Arizona corporation</w:t>
      </w:r>
    </w:p>
    <w:p>
      <w:pPr>
        <w:spacing w:after="0" w:line="200" w:lineRule="exact"/>
        <w:rPr>
          <w:sz w:val="20"/>
          <w:szCs w:val="20"/>
          <w:color w:val="auto"/>
        </w:rPr>
      </w:pPr>
    </w:p>
    <w:p>
      <w:pPr>
        <w:sectPr>
          <w:pgSz w:w="11900" w:h="16838" w:orient="portrait"/>
          <w:cols w:equalWidth="0" w:num="2">
            <w:col w:w="1040" w:space="720"/>
            <w:col w:w="9680"/>
          </w:cols>
          <w:pgMar w:left="240" w:top="337" w:right="21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ARCTURUS THERAPEUTICS, INC., a Delaware corporation</w:t>
      </w:r>
    </w:p>
    <w:p>
      <w:pPr>
        <w:spacing w:after="0" w:line="205" w:lineRule="exact"/>
        <w:rPr>
          <w:sz w:val="20"/>
          <w:szCs w:val="20"/>
          <w:color w:val="auto"/>
        </w:rPr>
      </w:pPr>
    </w:p>
    <w:p>
      <w:pPr>
        <w:sectPr>
          <w:pgSz w:w="11900" w:h="16838" w:orient="portrait"/>
          <w:cols w:equalWidth="0" w:num="2">
            <w:col w:w="1040" w:space="720"/>
            <w:col w:w="9680"/>
          </w:cols>
          <w:pgMar w:left="240" w:top="337" w:right="219" w:bottom="1440" w:gutter="0" w:footer="0" w:header="0"/>
          <w:type w:val="continuous"/>
        </w:sectPr>
      </w:pPr>
    </w:p>
    <w:p>
      <w:pPr>
        <w:ind w:left="880"/>
        <w:spacing w:after="0"/>
        <w:rPr>
          <w:sz w:val="20"/>
          <w:szCs w:val="20"/>
          <w:color w:val="auto"/>
        </w:rPr>
      </w:pPr>
      <w:r>
        <w:rPr>
          <w:rFonts w:ascii="Arial" w:cs="Arial" w:eastAsia="Arial" w:hAnsi="Arial"/>
          <w:sz w:val="15"/>
          <w:szCs w:val="15"/>
          <w:color w:val="auto"/>
        </w:rPr>
        <w:t>The undersigned authorized officer of ARCTURUS THERAPEUTICS, INC., a Delaware corporation hereby certifies that in accordance with the terms and</w:t>
      </w:r>
    </w:p>
    <w:p>
      <w:pPr>
        <w:sectPr>
          <w:pgSz w:w="11900" w:h="16838" w:orient="portrait"/>
          <w:cols w:equalWidth="0" w:num="1">
            <w:col w:w="11440"/>
          </w:cols>
          <w:pgMar w:left="240" w:top="337" w:right="21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conditions of the Loan and Security Agreement between Borrower and Bank (the “Agreement”), (i) Borrower is in complete compliance for the period ending</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 with all required covenants except as noted below and (ii) all representations and warranties of Borrower stated in the Agreement are true and correct as of</w:t>
      </w:r>
    </w:p>
    <w:p>
      <w:pPr>
        <w:spacing w:after="0" w:line="42"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the date hereof. Attached herewith are the required documents supporting the above certification. The Officer further certifies that these are prepared in accordance with Generally Accepted Accounting Principles (GAAP) and are consistently applied from one period to the next except as explained in an accompanying letter or footnotes.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Please indicate compliance status by circling Yes/No under “Complies” column.</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40" w:type="dxa"/>
            <w:vAlign w:val="bottom"/>
            <w:gridSpan w:val="2"/>
          </w:tcPr>
          <w:p>
            <w:pPr>
              <w:spacing w:after="0"/>
              <w:rPr>
                <w:sz w:val="20"/>
                <w:szCs w:val="20"/>
                <w:color w:val="auto"/>
              </w:rPr>
            </w:pPr>
            <w:r>
              <w:rPr>
                <w:rFonts w:ascii="Arial" w:cs="Arial" w:eastAsia="Arial" w:hAnsi="Arial"/>
                <w:sz w:val="16"/>
                <w:szCs w:val="16"/>
                <w:b w:val="1"/>
                <w:bCs w:val="1"/>
                <w:color w:val="auto"/>
              </w:rPr>
              <w:t>Reporting Covenant</w:t>
            </w:r>
          </w:p>
        </w:tc>
        <w:tc>
          <w:tcPr>
            <w:tcW w:w="2660" w:type="dxa"/>
            <w:vAlign w:val="bottom"/>
            <w:gridSpan w:val="6"/>
          </w:tcPr>
          <w:p>
            <w:pPr>
              <w:spacing w:after="0"/>
              <w:rPr>
                <w:sz w:val="20"/>
                <w:szCs w:val="20"/>
                <w:color w:val="auto"/>
              </w:rPr>
            </w:pPr>
            <w:r>
              <w:rPr>
                <w:rFonts w:ascii="Arial" w:cs="Arial" w:eastAsia="Arial" w:hAnsi="Arial"/>
                <w:sz w:val="16"/>
                <w:szCs w:val="16"/>
                <w:b w:val="1"/>
                <w:bCs w:val="1"/>
                <w:color w:val="auto"/>
              </w:rPr>
              <w:t>Required</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Arial" w:cs="Arial" w:eastAsia="Arial" w:hAnsi="Arial"/>
                <w:sz w:val="16"/>
                <w:szCs w:val="16"/>
                <w:b w:val="1"/>
                <w:bCs w:val="1"/>
                <w:color w:val="auto"/>
                <w:w w:val="88"/>
              </w:rPr>
              <w:t>Complies</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6"/>
                <w:szCs w:val="16"/>
                <w:color w:val="auto"/>
              </w:rPr>
              <w:t>Annual financial statements (CPA Audited)</w:t>
            </w:r>
          </w:p>
        </w:tc>
        <w:tc>
          <w:tcPr>
            <w:tcW w:w="2660" w:type="dxa"/>
            <w:vAlign w:val="bottom"/>
            <w:gridSpan w:val="6"/>
          </w:tcPr>
          <w:p>
            <w:pPr>
              <w:spacing w:after="0"/>
              <w:rPr>
                <w:sz w:val="20"/>
                <w:szCs w:val="20"/>
                <w:color w:val="auto"/>
              </w:rPr>
            </w:pPr>
            <w:r>
              <w:rPr>
                <w:rFonts w:ascii="Arial" w:cs="Arial" w:eastAsia="Arial" w:hAnsi="Arial"/>
                <w:sz w:val="16"/>
                <w:szCs w:val="16"/>
                <w:color w:val="auto"/>
              </w:rPr>
              <w:t>FYE within 120 days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gridSpan w:val="2"/>
          </w:tcPr>
          <w:p>
            <w:pPr>
              <w:ind w:left="280"/>
              <w:spacing w:after="0"/>
              <w:rPr>
                <w:sz w:val="20"/>
                <w:szCs w:val="20"/>
                <w:color w:val="auto"/>
              </w:rPr>
            </w:pPr>
            <w:r>
              <w:rPr>
                <w:rFonts w:ascii="Arial" w:cs="Arial" w:eastAsia="Arial" w:hAnsi="Arial"/>
                <w:sz w:val="16"/>
                <w:szCs w:val="16"/>
                <w:color w:val="auto"/>
              </w:rPr>
              <w:t>Yes</w:t>
            </w:r>
          </w:p>
        </w:tc>
        <w:tc>
          <w:tcPr>
            <w:tcW w:w="680" w:type="dxa"/>
            <w:vAlign w:val="bottom"/>
          </w:tcPr>
          <w:p>
            <w:pPr>
              <w:ind w:left="180"/>
              <w:spacing w:after="0"/>
              <w:rPr>
                <w:sz w:val="20"/>
                <w:szCs w:val="20"/>
                <w:color w:val="auto"/>
              </w:rPr>
            </w:pPr>
            <w:r>
              <w:rPr>
                <w:rFonts w:ascii="Arial" w:cs="Arial" w:eastAsia="Arial" w:hAnsi="Arial"/>
                <w:sz w:val="16"/>
                <w:szCs w:val="16"/>
                <w:color w:val="auto"/>
              </w:rPr>
              <w:t>No</w:t>
            </w: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6"/>
                <w:szCs w:val="16"/>
                <w:color w:val="auto"/>
                <w:w w:val="95"/>
              </w:rPr>
              <w:t>Quarterly financial statements and Compliance Certificate (9/30/18 and</w:t>
            </w:r>
          </w:p>
        </w:tc>
        <w:tc>
          <w:tcPr>
            <w:tcW w:w="2660" w:type="dxa"/>
            <w:vAlign w:val="bottom"/>
            <w:gridSpan w:val="6"/>
          </w:tcPr>
          <w:p>
            <w:pPr>
              <w:spacing w:after="0"/>
              <w:rPr>
                <w:sz w:val="20"/>
                <w:szCs w:val="20"/>
                <w:color w:val="auto"/>
              </w:rPr>
            </w:pPr>
            <w:r>
              <w:rPr>
                <w:rFonts w:ascii="Arial" w:cs="Arial" w:eastAsia="Arial" w:hAnsi="Arial"/>
                <w:sz w:val="16"/>
                <w:szCs w:val="16"/>
                <w:color w:val="auto"/>
              </w:rPr>
              <w:t>Quarterly within 45 days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gridSpan w:val="2"/>
          </w:tcPr>
          <w:p>
            <w:pPr>
              <w:ind w:left="280"/>
              <w:spacing w:after="0"/>
              <w:rPr>
                <w:sz w:val="20"/>
                <w:szCs w:val="20"/>
                <w:color w:val="auto"/>
              </w:rPr>
            </w:pPr>
            <w:r>
              <w:rPr>
                <w:rFonts w:ascii="Arial" w:cs="Arial" w:eastAsia="Arial" w:hAnsi="Arial"/>
                <w:sz w:val="16"/>
                <w:szCs w:val="16"/>
                <w:color w:val="auto"/>
              </w:rPr>
              <w:t>Yes</w:t>
            </w:r>
          </w:p>
        </w:tc>
        <w:tc>
          <w:tcPr>
            <w:tcW w:w="680" w:type="dxa"/>
            <w:vAlign w:val="bottom"/>
          </w:tcPr>
          <w:p>
            <w:pPr>
              <w:ind w:left="180"/>
              <w:spacing w:after="0"/>
              <w:rPr>
                <w:sz w:val="20"/>
                <w:szCs w:val="20"/>
                <w:color w:val="auto"/>
              </w:rPr>
            </w:pPr>
            <w:r>
              <w:rPr>
                <w:rFonts w:ascii="Arial" w:cs="Arial" w:eastAsia="Arial" w:hAnsi="Arial"/>
                <w:sz w:val="16"/>
                <w:szCs w:val="16"/>
                <w:color w:val="auto"/>
              </w:rPr>
              <w:t>No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color w:val="auto"/>
              </w:rPr>
              <w:t>12/31/18)</w:t>
            </w:r>
          </w:p>
        </w:tc>
        <w:tc>
          <w:tcPr>
            <w:tcW w:w="3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6"/>
                <w:szCs w:val="16"/>
                <w:color w:val="auto"/>
              </w:rPr>
              <w:t>Monthly financial statements and Compliance Certificate (from and</w:t>
            </w:r>
          </w:p>
        </w:tc>
        <w:tc>
          <w:tcPr>
            <w:tcW w:w="2660" w:type="dxa"/>
            <w:vAlign w:val="bottom"/>
            <w:gridSpan w:val="6"/>
          </w:tcPr>
          <w:p>
            <w:pPr>
              <w:spacing w:after="0"/>
              <w:rPr>
                <w:sz w:val="20"/>
                <w:szCs w:val="20"/>
                <w:color w:val="auto"/>
              </w:rPr>
            </w:pPr>
            <w:r>
              <w:rPr>
                <w:rFonts w:ascii="Arial" w:cs="Arial" w:eastAsia="Arial" w:hAnsi="Arial"/>
                <w:sz w:val="16"/>
                <w:szCs w:val="16"/>
                <w:color w:val="auto"/>
              </w:rPr>
              <w:t>Monthly within 30 days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gridSpan w:val="2"/>
          </w:tcPr>
          <w:p>
            <w:pPr>
              <w:ind w:left="280"/>
              <w:spacing w:after="0"/>
              <w:rPr>
                <w:sz w:val="20"/>
                <w:szCs w:val="20"/>
                <w:color w:val="auto"/>
              </w:rPr>
            </w:pPr>
            <w:r>
              <w:rPr>
                <w:rFonts w:ascii="Arial" w:cs="Arial" w:eastAsia="Arial" w:hAnsi="Arial"/>
                <w:sz w:val="16"/>
                <w:szCs w:val="16"/>
                <w:color w:val="auto"/>
              </w:rPr>
              <w:t>Yes</w:t>
            </w:r>
          </w:p>
        </w:tc>
        <w:tc>
          <w:tcPr>
            <w:tcW w:w="680" w:type="dxa"/>
            <w:vAlign w:val="bottom"/>
          </w:tcPr>
          <w:p>
            <w:pPr>
              <w:ind w:left="180"/>
              <w:spacing w:after="0"/>
              <w:rPr>
                <w:sz w:val="20"/>
                <w:szCs w:val="20"/>
                <w:color w:val="auto"/>
              </w:rPr>
            </w:pPr>
            <w:r>
              <w:rPr>
                <w:rFonts w:ascii="Arial" w:cs="Arial" w:eastAsia="Arial" w:hAnsi="Arial"/>
                <w:sz w:val="16"/>
                <w:szCs w:val="16"/>
                <w:color w:val="auto"/>
              </w:rPr>
              <w:t>No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40" w:type="dxa"/>
            <w:vAlign w:val="bottom"/>
            <w:gridSpan w:val="2"/>
          </w:tcPr>
          <w:p>
            <w:pPr>
              <w:spacing w:after="0"/>
              <w:rPr>
                <w:sz w:val="20"/>
                <w:szCs w:val="20"/>
                <w:color w:val="auto"/>
              </w:rPr>
            </w:pPr>
            <w:r>
              <w:rPr>
                <w:rFonts w:ascii="Arial" w:cs="Arial" w:eastAsia="Arial" w:hAnsi="Arial"/>
                <w:sz w:val="16"/>
                <w:szCs w:val="16"/>
                <w:color w:val="auto"/>
              </w:rPr>
              <w:t>after 1/31/19)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6"/>
                <w:szCs w:val="16"/>
                <w:color w:val="auto"/>
              </w:rPr>
              <w:t>Quarterly/Monthly  comprehensive  update  to  exhibit  A  to  ARE</w:t>
            </w:r>
          </w:p>
        </w:tc>
        <w:tc>
          <w:tcPr>
            <w:tcW w:w="4700" w:type="dxa"/>
            <w:vAlign w:val="bottom"/>
            <w:gridSpan w:val="11"/>
          </w:tcPr>
          <w:p>
            <w:pPr>
              <w:spacing w:after="0"/>
              <w:rPr>
                <w:sz w:val="20"/>
                <w:szCs w:val="20"/>
                <w:color w:val="auto"/>
              </w:rPr>
            </w:pPr>
            <w:r>
              <w:rPr>
                <w:rFonts w:ascii="Arial" w:cs="Arial" w:eastAsia="Arial" w:hAnsi="Arial"/>
                <w:sz w:val="16"/>
                <w:szCs w:val="16"/>
                <w:color w:val="auto"/>
                <w:w w:val="99"/>
              </w:rPr>
              <w:t>Quarterly within 30 days; and Monthly within 30 days (when assets</w:t>
            </w:r>
          </w:p>
        </w:tc>
        <w:tc>
          <w:tcPr>
            <w:tcW w:w="1100" w:type="dxa"/>
            <w:vAlign w:val="bottom"/>
            <w:gridSpan w:val="2"/>
          </w:tcPr>
          <w:p>
            <w:pPr>
              <w:ind w:left="280"/>
              <w:spacing w:after="0"/>
              <w:rPr>
                <w:sz w:val="20"/>
                <w:szCs w:val="20"/>
                <w:color w:val="auto"/>
              </w:rPr>
            </w:pPr>
            <w:r>
              <w:rPr>
                <w:rFonts w:ascii="Arial" w:cs="Arial" w:eastAsia="Arial" w:hAnsi="Arial"/>
                <w:sz w:val="16"/>
                <w:szCs w:val="16"/>
                <w:color w:val="auto"/>
              </w:rPr>
              <w:t>Yes</w:t>
            </w:r>
          </w:p>
        </w:tc>
        <w:tc>
          <w:tcPr>
            <w:tcW w:w="680" w:type="dxa"/>
            <w:vAlign w:val="bottom"/>
          </w:tcPr>
          <w:p>
            <w:pPr>
              <w:ind w:left="180"/>
              <w:spacing w:after="0"/>
              <w:rPr>
                <w:sz w:val="20"/>
                <w:szCs w:val="20"/>
                <w:color w:val="auto"/>
              </w:rPr>
            </w:pPr>
            <w:r>
              <w:rPr>
                <w:rFonts w:ascii="Arial" w:cs="Arial" w:eastAsia="Arial" w:hAnsi="Arial"/>
                <w:sz w:val="16"/>
                <w:szCs w:val="16"/>
                <w:color w:val="auto"/>
              </w:rPr>
              <w:t>No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40" w:type="dxa"/>
            <w:vAlign w:val="bottom"/>
            <w:gridSpan w:val="2"/>
          </w:tcPr>
          <w:p>
            <w:pPr>
              <w:spacing w:after="0"/>
              <w:rPr>
                <w:sz w:val="20"/>
                <w:szCs w:val="20"/>
                <w:color w:val="auto"/>
              </w:rPr>
            </w:pPr>
            <w:r>
              <w:rPr>
                <w:rFonts w:ascii="Arial" w:cs="Arial" w:eastAsia="Arial" w:hAnsi="Arial"/>
                <w:sz w:val="16"/>
                <w:szCs w:val="16"/>
                <w:color w:val="auto"/>
              </w:rPr>
              <w:t>Landlord’s Consent</w:t>
            </w:r>
          </w:p>
        </w:tc>
        <w:tc>
          <w:tcPr>
            <w:tcW w:w="2660" w:type="dxa"/>
            <w:vAlign w:val="bottom"/>
            <w:gridSpan w:val="6"/>
          </w:tcPr>
          <w:p>
            <w:pPr>
              <w:spacing w:after="0"/>
              <w:rPr>
                <w:sz w:val="20"/>
                <w:szCs w:val="20"/>
                <w:color w:val="auto"/>
              </w:rPr>
            </w:pPr>
            <w:r>
              <w:rPr>
                <w:rFonts w:ascii="Arial" w:cs="Arial" w:eastAsia="Arial" w:hAnsi="Arial"/>
                <w:sz w:val="16"/>
                <w:szCs w:val="16"/>
                <w:color w:val="auto"/>
              </w:rPr>
              <w:t>delivered to premises &gt; $100,000</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6"/>
                <w:szCs w:val="16"/>
                <w:color w:val="auto"/>
              </w:rPr>
              <w:t>10K and 10Q</w:t>
            </w:r>
          </w:p>
        </w:tc>
        <w:tc>
          <w:tcPr>
            <w:tcW w:w="2660" w:type="dxa"/>
            <w:vAlign w:val="bottom"/>
            <w:gridSpan w:val="6"/>
          </w:tcPr>
          <w:p>
            <w:pPr>
              <w:spacing w:after="0"/>
              <w:rPr>
                <w:sz w:val="20"/>
                <w:szCs w:val="20"/>
                <w:color w:val="auto"/>
              </w:rPr>
            </w:pPr>
            <w:r>
              <w:rPr>
                <w:rFonts w:ascii="Arial" w:cs="Arial" w:eastAsia="Arial" w:hAnsi="Arial"/>
                <w:sz w:val="16"/>
                <w:szCs w:val="16"/>
                <w:color w:val="auto"/>
              </w:rPr>
              <w:t>(as applicable)</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gridSpan w:val="2"/>
          </w:tcPr>
          <w:p>
            <w:pPr>
              <w:ind w:left="280"/>
              <w:spacing w:after="0"/>
              <w:rPr>
                <w:sz w:val="20"/>
                <w:szCs w:val="20"/>
                <w:color w:val="auto"/>
              </w:rPr>
            </w:pPr>
            <w:r>
              <w:rPr>
                <w:rFonts w:ascii="Arial" w:cs="Arial" w:eastAsia="Arial" w:hAnsi="Arial"/>
                <w:sz w:val="16"/>
                <w:szCs w:val="16"/>
                <w:color w:val="auto"/>
              </w:rPr>
              <w:t>Yes</w:t>
            </w:r>
          </w:p>
        </w:tc>
        <w:tc>
          <w:tcPr>
            <w:tcW w:w="680" w:type="dxa"/>
            <w:vAlign w:val="bottom"/>
          </w:tcPr>
          <w:p>
            <w:pPr>
              <w:ind w:left="180"/>
              <w:spacing w:after="0"/>
              <w:rPr>
                <w:sz w:val="20"/>
                <w:szCs w:val="20"/>
                <w:color w:val="auto"/>
              </w:rPr>
            </w:pPr>
            <w:r>
              <w:rPr>
                <w:rFonts w:ascii="Arial" w:cs="Arial" w:eastAsia="Arial" w:hAnsi="Arial"/>
                <w:sz w:val="16"/>
                <w:szCs w:val="16"/>
                <w:color w:val="auto"/>
              </w:rPr>
              <w:t>No</w:t>
            </w: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6"/>
                <w:szCs w:val="16"/>
                <w:color w:val="auto"/>
                <w:w w:val="92"/>
              </w:rPr>
              <w:t>Annual operating budget, sales projections and operating plans approved</w:t>
            </w:r>
          </w:p>
        </w:tc>
        <w:tc>
          <w:tcPr>
            <w:tcW w:w="4700" w:type="dxa"/>
            <w:vAlign w:val="bottom"/>
            <w:gridSpan w:val="11"/>
          </w:tcPr>
          <w:p>
            <w:pPr>
              <w:spacing w:after="0"/>
              <w:rPr>
                <w:sz w:val="20"/>
                <w:szCs w:val="20"/>
                <w:color w:val="auto"/>
              </w:rPr>
            </w:pPr>
            <w:r>
              <w:rPr>
                <w:rFonts w:ascii="Arial" w:cs="Arial" w:eastAsia="Arial" w:hAnsi="Arial"/>
                <w:sz w:val="16"/>
                <w:szCs w:val="16"/>
                <w:color w:val="auto"/>
                <w:w w:val="96"/>
              </w:rPr>
              <w:t>Annually no later than 45 days after the beginning of each fiscal year</w:t>
            </w:r>
          </w:p>
        </w:tc>
        <w:tc>
          <w:tcPr>
            <w:tcW w:w="1100" w:type="dxa"/>
            <w:vAlign w:val="bottom"/>
            <w:gridSpan w:val="2"/>
          </w:tcPr>
          <w:p>
            <w:pPr>
              <w:ind w:left="280"/>
              <w:spacing w:after="0"/>
              <w:rPr>
                <w:sz w:val="20"/>
                <w:szCs w:val="20"/>
                <w:color w:val="auto"/>
              </w:rPr>
            </w:pPr>
            <w:r>
              <w:rPr>
                <w:rFonts w:ascii="Arial" w:cs="Arial" w:eastAsia="Arial" w:hAnsi="Arial"/>
                <w:sz w:val="16"/>
                <w:szCs w:val="16"/>
                <w:color w:val="auto"/>
              </w:rPr>
              <w:t>Yes</w:t>
            </w:r>
          </w:p>
        </w:tc>
        <w:tc>
          <w:tcPr>
            <w:tcW w:w="680" w:type="dxa"/>
            <w:vAlign w:val="bottom"/>
          </w:tcPr>
          <w:p>
            <w:pPr>
              <w:ind w:left="180"/>
              <w:spacing w:after="0"/>
              <w:rPr>
                <w:sz w:val="20"/>
                <w:szCs w:val="20"/>
                <w:color w:val="auto"/>
              </w:rPr>
            </w:pPr>
            <w:r>
              <w:rPr>
                <w:rFonts w:ascii="Arial" w:cs="Arial" w:eastAsia="Arial" w:hAnsi="Arial"/>
                <w:sz w:val="16"/>
                <w:szCs w:val="16"/>
                <w:color w:val="auto"/>
              </w:rPr>
              <w:t>No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40" w:type="dxa"/>
            <w:vAlign w:val="bottom"/>
            <w:gridSpan w:val="2"/>
          </w:tcPr>
          <w:p>
            <w:pPr>
              <w:spacing w:after="0"/>
              <w:rPr>
                <w:sz w:val="20"/>
                <w:szCs w:val="20"/>
                <w:color w:val="auto"/>
              </w:rPr>
            </w:pPr>
            <w:r>
              <w:rPr>
                <w:rFonts w:ascii="Arial" w:cs="Arial" w:eastAsia="Arial" w:hAnsi="Arial"/>
                <w:sz w:val="16"/>
                <w:szCs w:val="16"/>
                <w:color w:val="auto"/>
              </w:rPr>
              <w:t>by board of directors</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6"/>
                <w:szCs w:val="16"/>
                <w:color w:val="auto"/>
              </w:rPr>
              <w:t>Deposit balance with Bank</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40" w:type="dxa"/>
            <w:vAlign w:val="bottom"/>
            <w:gridSpan w:val="2"/>
          </w:tcPr>
          <w:p>
            <w:pPr>
              <w:spacing w:after="0" w:line="183" w:lineRule="exact"/>
              <w:rPr>
                <w:sz w:val="20"/>
                <w:szCs w:val="20"/>
                <w:color w:val="auto"/>
              </w:rPr>
            </w:pPr>
            <w:r>
              <w:rPr>
                <w:rFonts w:ascii="Arial" w:cs="Arial" w:eastAsia="Arial" w:hAnsi="Arial"/>
                <w:sz w:val="16"/>
                <w:szCs w:val="16"/>
                <w:color w:val="auto"/>
              </w:rPr>
              <w:t>Deposit balance outside Bank</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2"/>
              </w:rPr>
              <w:t>Financial Covenant</w:t>
            </w:r>
          </w:p>
        </w:tc>
        <w:tc>
          <w:tcPr>
            <w:tcW w:w="3440" w:type="dxa"/>
            <w:vAlign w:val="bottom"/>
          </w:tcPr>
          <w:p>
            <w:pPr>
              <w:spacing w:after="0"/>
              <w:rPr>
                <w:sz w:val="24"/>
                <w:szCs w:val="24"/>
                <w:color w:val="auto"/>
              </w:rPr>
            </w:pPr>
          </w:p>
        </w:tc>
        <w:tc>
          <w:tcPr>
            <w:tcW w:w="64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89"/>
              </w:rPr>
              <w:t>Required</w:t>
            </w:r>
          </w:p>
        </w:tc>
        <w:tc>
          <w:tcPr>
            <w:tcW w:w="202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9"/>
              </w:rPr>
              <w:t>Actual</w:t>
            </w:r>
          </w:p>
        </w:tc>
        <w:tc>
          <w:tcPr>
            <w:tcW w:w="102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8"/>
              </w:rPr>
              <w:t>Complies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6"/>
                <w:szCs w:val="16"/>
                <w:color w:val="auto"/>
              </w:rPr>
              <w:t>Clinical Candidate Nomination</w:t>
            </w:r>
          </w:p>
        </w:tc>
        <w:tc>
          <w:tcPr>
            <w:tcW w:w="2660" w:type="dxa"/>
            <w:vAlign w:val="bottom"/>
            <w:gridSpan w:val="6"/>
          </w:tcPr>
          <w:p>
            <w:pPr>
              <w:spacing w:after="0"/>
              <w:rPr>
                <w:sz w:val="20"/>
                <w:szCs w:val="20"/>
                <w:color w:val="auto"/>
              </w:rPr>
            </w:pPr>
            <w:r>
              <w:rPr>
                <w:rFonts w:ascii="Arial" w:cs="Arial" w:eastAsia="Arial" w:hAnsi="Arial"/>
                <w:sz w:val="16"/>
                <w:szCs w:val="16"/>
                <w:color w:val="auto"/>
              </w:rPr>
              <w:t>By 12/31/18</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gridSpan w:val="2"/>
          </w:tcPr>
          <w:p>
            <w:pPr>
              <w:ind w:left="280"/>
              <w:spacing w:after="0"/>
              <w:rPr>
                <w:sz w:val="20"/>
                <w:szCs w:val="20"/>
                <w:color w:val="auto"/>
              </w:rPr>
            </w:pPr>
            <w:r>
              <w:rPr>
                <w:rFonts w:ascii="Arial" w:cs="Arial" w:eastAsia="Arial" w:hAnsi="Arial"/>
                <w:sz w:val="16"/>
                <w:szCs w:val="16"/>
                <w:color w:val="auto"/>
              </w:rPr>
              <w:t>Yes</w:t>
            </w:r>
          </w:p>
        </w:tc>
        <w:tc>
          <w:tcPr>
            <w:tcW w:w="680" w:type="dxa"/>
            <w:vAlign w:val="bottom"/>
          </w:tcPr>
          <w:p>
            <w:pPr>
              <w:ind w:left="180"/>
              <w:spacing w:after="0"/>
              <w:rPr>
                <w:sz w:val="20"/>
                <w:szCs w:val="20"/>
                <w:color w:val="auto"/>
              </w:rPr>
            </w:pPr>
            <w:r>
              <w:rPr>
                <w:rFonts w:ascii="Arial" w:cs="Arial" w:eastAsia="Arial" w:hAnsi="Arial"/>
                <w:sz w:val="16"/>
                <w:szCs w:val="16"/>
                <w:color w:val="auto"/>
              </w:rPr>
              <w:t>No</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6"/>
                <w:szCs w:val="16"/>
                <w:color w:val="auto"/>
              </w:rPr>
              <w:t>IND Submission; Approval</w:t>
            </w:r>
          </w:p>
        </w:tc>
        <w:tc>
          <w:tcPr>
            <w:tcW w:w="2660" w:type="dxa"/>
            <w:vAlign w:val="bottom"/>
            <w:gridSpan w:val="6"/>
          </w:tcPr>
          <w:p>
            <w:pPr>
              <w:spacing w:after="0"/>
              <w:rPr>
                <w:sz w:val="20"/>
                <w:szCs w:val="20"/>
                <w:color w:val="auto"/>
              </w:rPr>
            </w:pPr>
            <w:r>
              <w:rPr>
                <w:rFonts w:ascii="Arial" w:cs="Arial" w:eastAsia="Arial" w:hAnsi="Arial"/>
                <w:sz w:val="16"/>
                <w:szCs w:val="16"/>
                <w:color w:val="auto"/>
              </w:rPr>
              <w:t>By 12/31/19 and 1/31/20; but</w:t>
            </w:r>
          </w:p>
        </w:tc>
        <w:tc>
          <w:tcPr>
            <w:tcW w:w="1020" w:type="dxa"/>
            <w:vAlign w:val="bottom"/>
            <w:gridSpan w:val="3"/>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gridSpan w:val="2"/>
          </w:tcPr>
          <w:p>
            <w:pPr>
              <w:ind w:left="280"/>
              <w:spacing w:after="0"/>
              <w:rPr>
                <w:sz w:val="20"/>
                <w:szCs w:val="20"/>
                <w:color w:val="auto"/>
              </w:rPr>
            </w:pPr>
            <w:r>
              <w:rPr>
                <w:rFonts w:ascii="Arial" w:cs="Arial" w:eastAsia="Arial" w:hAnsi="Arial"/>
                <w:sz w:val="16"/>
                <w:szCs w:val="16"/>
                <w:color w:val="auto"/>
              </w:rPr>
              <w:t>Yes</w:t>
            </w:r>
          </w:p>
        </w:tc>
        <w:tc>
          <w:tcPr>
            <w:tcW w:w="680" w:type="dxa"/>
            <w:vAlign w:val="bottom"/>
          </w:tcPr>
          <w:p>
            <w:pPr>
              <w:ind w:left="180"/>
              <w:spacing w:after="0"/>
              <w:rPr>
                <w:sz w:val="20"/>
                <w:szCs w:val="20"/>
                <w:color w:val="auto"/>
              </w:rPr>
            </w:pPr>
            <w:r>
              <w:rPr>
                <w:rFonts w:ascii="Arial" w:cs="Arial" w:eastAsia="Arial" w:hAnsi="Arial"/>
                <w:sz w:val="16"/>
                <w:szCs w:val="16"/>
                <w:color w:val="auto"/>
              </w:rPr>
              <w:t>No</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660" w:type="dxa"/>
            <w:vAlign w:val="bottom"/>
            <w:gridSpan w:val="6"/>
          </w:tcPr>
          <w:p>
            <w:pPr>
              <w:spacing w:after="0"/>
              <w:rPr>
                <w:sz w:val="20"/>
                <w:szCs w:val="20"/>
                <w:color w:val="auto"/>
              </w:rPr>
            </w:pPr>
            <w:r>
              <w:rPr>
                <w:rFonts w:ascii="Arial" w:cs="Arial" w:eastAsia="Arial" w:hAnsi="Arial"/>
                <w:sz w:val="16"/>
                <w:szCs w:val="16"/>
                <w:color w:val="auto"/>
              </w:rPr>
              <w:t>see Section 6.8(b)</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4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Comments Regarding Exceptions: </w:t>
            </w:r>
            <w:r>
              <w:rPr>
                <w:rFonts w:ascii="Arial" w:cs="Arial" w:eastAsia="Arial" w:hAnsi="Arial"/>
                <w:sz w:val="18"/>
                <w:szCs w:val="18"/>
                <w:color w:val="auto"/>
              </w:rPr>
              <w:t>See Attached.</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4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80" w:type="dxa"/>
            <w:vAlign w:val="bottom"/>
          </w:tcPr>
          <w:p>
            <w:pPr>
              <w:ind w:left="40"/>
              <w:spacing w:after="0"/>
              <w:rPr>
                <w:sz w:val="20"/>
                <w:szCs w:val="20"/>
                <w:color w:val="auto"/>
              </w:rPr>
            </w:pPr>
            <w:r>
              <w:rPr>
                <w:rFonts w:ascii="Arial" w:cs="Arial" w:eastAsia="Arial" w:hAnsi="Arial"/>
                <w:sz w:val="18"/>
                <w:szCs w:val="18"/>
                <w:b w:val="1"/>
                <w:bCs w:val="1"/>
                <w:color w:val="auto"/>
              </w:rPr>
              <w:t>BANK USE ONLY</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940" w:type="dxa"/>
            <w:vAlign w:val="bottom"/>
            <w:gridSpan w:val="3"/>
            <w:vMerge w:val="restart"/>
          </w:tcPr>
          <w:p>
            <w:pPr>
              <w:spacing w:after="0"/>
              <w:rPr>
                <w:sz w:val="20"/>
                <w:szCs w:val="20"/>
                <w:color w:val="auto"/>
              </w:rPr>
            </w:pPr>
            <w:r>
              <w:rPr>
                <w:rFonts w:ascii="Arial" w:cs="Arial" w:eastAsia="Arial" w:hAnsi="Arial"/>
                <w:sz w:val="18"/>
                <w:szCs w:val="18"/>
                <w:color w:val="auto"/>
              </w:rPr>
              <w:t>Sincerely,</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tcPr>
          <w:p>
            <w:pPr>
              <w:ind w:left="40"/>
              <w:spacing w:after="0"/>
              <w:rPr>
                <w:sz w:val="20"/>
                <w:szCs w:val="20"/>
                <w:color w:val="auto"/>
              </w:rPr>
            </w:pPr>
            <w:r>
              <w:rPr>
                <w:rFonts w:ascii="Arial" w:cs="Arial" w:eastAsia="Arial" w:hAnsi="Arial"/>
                <w:sz w:val="18"/>
                <w:szCs w:val="18"/>
                <w:color w:val="auto"/>
              </w:rPr>
              <w:t>Received by:</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40" w:type="dxa"/>
            <w:vAlign w:val="bottom"/>
            <w:gridSpan w:val="5"/>
          </w:tcPr>
          <w:p>
            <w:pPr>
              <w:ind w:left="100"/>
              <w:spacing w:after="0"/>
              <w:rPr>
                <w:sz w:val="20"/>
                <w:szCs w:val="20"/>
                <w:color w:val="auto"/>
              </w:rPr>
            </w:pPr>
            <w:r>
              <w:rPr>
                <w:rFonts w:ascii="Arial" w:cs="Arial" w:eastAsia="Arial" w:hAnsi="Arial"/>
                <w:sz w:val="18"/>
                <w:szCs w:val="18"/>
                <w:color w:val="auto"/>
              </w:rPr>
              <w:t>AUTHORIZED SIGNER</w:t>
            </w: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tcPr>
          <w:p>
            <w:pPr>
              <w:ind w:left="40"/>
              <w:spacing w:after="0"/>
              <w:rPr>
                <w:sz w:val="20"/>
                <w:szCs w:val="20"/>
                <w:color w:val="auto"/>
              </w:rPr>
            </w:pPr>
            <w:r>
              <w:rPr>
                <w:rFonts w:ascii="Arial" w:cs="Arial" w:eastAsia="Arial" w:hAnsi="Arial"/>
                <w:sz w:val="18"/>
                <w:szCs w:val="18"/>
                <w:color w:val="auto"/>
              </w:rPr>
              <w:t>Date:</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1980" w:type="dxa"/>
            <w:vAlign w:val="bottom"/>
            <w:vMerge w:val="restart"/>
          </w:tcPr>
          <w:p>
            <w:pPr>
              <w:ind w:left="40"/>
              <w:spacing w:after="0"/>
              <w:rPr>
                <w:sz w:val="20"/>
                <w:szCs w:val="20"/>
                <w:color w:val="auto"/>
              </w:rPr>
            </w:pPr>
            <w:r>
              <w:rPr>
                <w:rFonts w:ascii="Arial" w:cs="Arial" w:eastAsia="Arial" w:hAnsi="Arial"/>
                <w:sz w:val="18"/>
                <w:szCs w:val="18"/>
                <w:color w:val="auto"/>
              </w:rPr>
              <w:t>Verified: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SIGNATURE</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1980" w:type="dxa"/>
            <w:vAlign w:val="bottom"/>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80" w:type="dxa"/>
            <w:vAlign w:val="bottom"/>
            <w:vMerge w:val="restart"/>
          </w:tcPr>
          <w:p>
            <w:pPr>
              <w:ind w:left="40"/>
              <w:spacing w:after="0"/>
              <w:rPr>
                <w:sz w:val="20"/>
                <w:szCs w:val="20"/>
                <w:color w:val="auto"/>
              </w:rPr>
            </w:pPr>
            <w:r>
              <w:rPr>
                <w:rFonts w:ascii="Arial" w:cs="Arial" w:eastAsia="Arial" w:hAnsi="Arial"/>
                <w:sz w:val="18"/>
                <w:szCs w:val="18"/>
                <w:color w:val="auto"/>
              </w:rPr>
              <w:t>Date:</w:t>
            </w:r>
          </w:p>
        </w:tc>
        <w:tc>
          <w:tcPr>
            <w:tcW w:w="2040" w:type="dxa"/>
            <w:vAlign w:val="bottom"/>
            <w:gridSpan w:val="5"/>
          </w:tcPr>
          <w:p>
            <w:pPr>
              <w:ind w:left="100"/>
              <w:spacing w:after="0"/>
              <w:rPr>
                <w:sz w:val="20"/>
                <w:szCs w:val="20"/>
                <w:color w:val="auto"/>
              </w:rPr>
            </w:pPr>
            <w:r>
              <w:rPr>
                <w:rFonts w:ascii="Arial" w:cs="Arial" w:eastAsia="Arial" w:hAnsi="Arial"/>
                <w:sz w:val="18"/>
                <w:szCs w:val="18"/>
                <w:color w:val="auto"/>
              </w:rPr>
              <w:t>AUTHORIZED SIGNER</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1980" w:type="dxa"/>
            <w:vAlign w:val="bottom"/>
            <w:vMerge w:val="restart"/>
          </w:tcPr>
          <w:p>
            <w:pPr>
              <w:ind w:left="40"/>
              <w:spacing w:after="0"/>
              <w:rPr>
                <w:sz w:val="20"/>
                <w:szCs w:val="20"/>
                <w:color w:val="auto"/>
              </w:rPr>
            </w:pPr>
            <w:r>
              <w:rPr>
                <w:rFonts w:ascii="Arial" w:cs="Arial" w:eastAsia="Arial" w:hAnsi="Arial"/>
                <w:sz w:val="18"/>
                <w:szCs w:val="18"/>
                <w:color w:val="auto"/>
              </w:rPr>
              <w:t>Compliance Status</w:t>
            </w:r>
          </w:p>
        </w:tc>
        <w:tc>
          <w:tcPr>
            <w:tcW w:w="560" w:type="dxa"/>
            <w:vAlign w:val="bottom"/>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38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8"/>
                <w:szCs w:val="18"/>
                <w:color w:val="auto"/>
              </w:rPr>
              <w:t>Yes</w:t>
            </w:r>
          </w:p>
        </w:tc>
        <w:tc>
          <w:tcPr>
            <w:tcW w:w="1100" w:type="dxa"/>
            <w:vAlign w:val="bottom"/>
            <w:gridSpan w:val="2"/>
            <w:vMerge w:val="restart"/>
          </w:tcPr>
          <w:p>
            <w:pPr>
              <w:ind w:left="100"/>
              <w:spacing w:after="0"/>
              <w:rPr>
                <w:sz w:val="20"/>
                <w:szCs w:val="20"/>
                <w:color w:val="auto"/>
              </w:rPr>
            </w:pPr>
            <w:r>
              <w:rPr>
                <w:rFonts w:ascii="Arial" w:cs="Arial" w:eastAsia="Arial" w:hAnsi="Arial"/>
                <w:sz w:val="18"/>
                <w:szCs w:val="18"/>
                <w:color w:val="auto"/>
              </w:rPr>
              <w:t>No</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DATE</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98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21"/>
        </w:trPr>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8"/>
          <w:szCs w:val="18"/>
          <w:u w:val="single" w:color="auto"/>
          <w:color w:val="auto"/>
        </w:rPr>
        <w:t>INSURANCE AUTHORIZATION LETTER</w:t>
      </w:r>
    </w:p>
    <w:p>
      <w:pPr>
        <w:spacing w:after="0" w:line="225" w:lineRule="exact"/>
        <w:rPr>
          <w:sz w:val="20"/>
          <w:szCs w:val="20"/>
          <w:color w:val="auto"/>
        </w:rPr>
      </w:pPr>
    </w:p>
    <w:p>
      <w:pPr>
        <w:jc w:val="both"/>
        <w:ind w:firstLine="950"/>
        <w:spacing w:after="0" w:line="264" w:lineRule="auto"/>
        <w:rPr>
          <w:sz w:val="20"/>
          <w:szCs w:val="20"/>
          <w:color w:val="auto"/>
        </w:rPr>
      </w:pPr>
      <w:r>
        <w:rPr>
          <w:rFonts w:ascii="Arial" w:cs="Arial" w:eastAsia="Arial" w:hAnsi="Arial"/>
          <w:sz w:val="18"/>
          <w:szCs w:val="18"/>
          <w:color w:val="auto"/>
        </w:rPr>
        <w:t>In accordance with the insurance coverage requirements of the Loan and Security Agreement dated as of October 12, 2018 (the “Agreement”) between Western Alliance Bank, an Arizona corporation (“Bank”), and ARCTURUS THERAPEUTICS, INC. (“Borrower”), coverage is to be provided as set forth below:</w:t>
      </w:r>
    </w:p>
    <w:p>
      <w:pPr>
        <w:spacing w:after="0" w:line="181"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u w:val="single" w:color="auto"/>
          <w:color w:val="auto"/>
        </w:rPr>
        <w:t>COVERAGE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All risk including liability and property damage.</w:t>
      </w:r>
    </w:p>
    <w:p>
      <w:pPr>
        <w:spacing w:after="0" w:line="225"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u w:val="single" w:color="auto"/>
          <w:color w:val="auto"/>
        </w:rPr>
        <w:t>INSURED</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ARCTURUS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LOCATION(s) OF COLLATERAL</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10628 Science Center Drive, Suite 250, San Diego, CA 92121</w:t>
      </w:r>
    </w:p>
    <w:p>
      <w:pPr>
        <w:spacing w:after="0" w:line="117" w:lineRule="exact"/>
        <w:rPr>
          <w:sz w:val="20"/>
          <w:szCs w:val="20"/>
          <w:color w:val="auto"/>
        </w:rPr>
      </w:pPr>
    </w:p>
    <w:p>
      <w:pPr>
        <w:ind w:left="100"/>
        <w:spacing w:after="0"/>
        <w:tabs>
          <w:tab w:leader="none" w:pos="2000" w:val="left"/>
        </w:tabs>
        <w:rPr>
          <w:sz w:val="20"/>
          <w:szCs w:val="20"/>
          <w:color w:val="auto"/>
        </w:rPr>
      </w:pPr>
      <w:r>
        <w:rPr>
          <w:rFonts w:ascii="Arial" w:cs="Arial" w:eastAsia="Arial" w:hAnsi="Arial"/>
          <w:sz w:val="18"/>
          <w:szCs w:val="18"/>
          <w:u w:val="single" w:color="auto"/>
          <w:color w:val="auto"/>
        </w:rPr>
        <w:t>Insuring Agent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Marsh &amp; McLennan Insurance Agency LLC</w:t>
      </w:r>
    </w:p>
    <w:p>
      <w:pPr>
        <w:spacing w:after="0" w:line="225" w:lineRule="exact"/>
        <w:rPr>
          <w:sz w:val="20"/>
          <w:szCs w:val="20"/>
          <w:color w:val="auto"/>
        </w:rPr>
      </w:pPr>
    </w:p>
    <w:p>
      <w:pPr>
        <w:ind w:left="1440"/>
        <w:spacing w:after="0"/>
        <w:tabs>
          <w:tab w:leader="none" w:pos="26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9171 Towne Centre Drive, Suite 500</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San Diego, CA 92122</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Phone Number:  858.587.7440</w:t>
      </w:r>
    </w:p>
    <w:p>
      <w:pPr>
        <w:spacing w:after="0" w:line="9" w:lineRule="exact"/>
        <w:rPr>
          <w:sz w:val="20"/>
          <w:szCs w:val="20"/>
          <w:color w:val="auto"/>
        </w:rPr>
      </w:pPr>
    </w:p>
    <w:p>
      <w:pPr>
        <w:ind w:left="1440"/>
        <w:spacing w:after="0"/>
        <w:tabs>
          <w:tab w:leader="none" w:pos="2680" w:val="left"/>
        </w:tabs>
        <w:rPr>
          <w:sz w:val="20"/>
          <w:szCs w:val="20"/>
          <w:color w:val="auto"/>
        </w:rPr>
      </w:pPr>
      <w:r>
        <w:rPr>
          <w:rFonts w:ascii="Arial" w:cs="Arial" w:eastAsia="Arial" w:hAnsi="Arial"/>
          <w:sz w:val="18"/>
          <w:szCs w:val="18"/>
          <w:color w:val="auto"/>
        </w:rPr>
        <w:t>Fax Number:</w:t>
      </w:r>
      <w:r>
        <w:rPr>
          <w:sz w:val="20"/>
          <w:szCs w:val="20"/>
          <w:color w:val="auto"/>
        </w:rPr>
        <w:tab/>
      </w:r>
      <w:r>
        <w:rPr>
          <w:rFonts w:ascii="Arial" w:cs="Arial" w:eastAsia="Arial" w:hAnsi="Arial"/>
          <w:sz w:val="16"/>
          <w:szCs w:val="16"/>
          <w:color w:val="auto"/>
        </w:rPr>
        <w:t>858.452.7530</w:t>
      </w:r>
    </w:p>
    <w:p>
      <w:pPr>
        <w:spacing w:after="0" w:line="211" w:lineRule="exact"/>
        <w:rPr>
          <w:sz w:val="20"/>
          <w:szCs w:val="20"/>
          <w:color w:val="auto"/>
        </w:rPr>
      </w:pPr>
    </w:p>
    <w:p>
      <w:pPr>
        <w:ind w:left="960"/>
        <w:spacing w:after="0"/>
        <w:rPr>
          <w:sz w:val="20"/>
          <w:szCs w:val="20"/>
          <w:color w:val="auto"/>
        </w:rPr>
      </w:pPr>
      <w:r>
        <w:rPr>
          <w:rFonts w:ascii="Arial" w:cs="Arial" w:eastAsia="Arial" w:hAnsi="Arial"/>
          <w:sz w:val="18"/>
          <w:szCs w:val="18"/>
          <w:u w:val="single" w:color="auto"/>
          <w:color w:val="auto"/>
        </w:rPr>
        <w:t>ADDITIONAL INSURED AND LOSS PAYEE</w:t>
      </w:r>
      <w:r>
        <w:rPr>
          <w:rFonts w:ascii="Arial" w:cs="Arial" w:eastAsia="Arial" w:hAnsi="Arial"/>
          <w:sz w:val="18"/>
          <w:szCs w:val="18"/>
          <w:color w:val="auto"/>
        </w:rPr>
        <w:t>:</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Bank, as its interest may appear below.</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Western Alliance Bank, an Arizona corporation</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Its successors and/or assigns (ISAOA)</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P.O. Box 26237</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Las Vegas, NV 89126</w:t>
      </w:r>
    </w:p>
    <w:p>
      <w:pPr>
        <w:spacing w:after="0" w:line="200" w:lineRule="exact"/>
        <w:rPr>
          <w:sz w:val="20"/>
          <w:szCs w:val="20"/>
          <w:color w:val="auto"/>
        </w:rPr>
      </w:pPr>
    </w:p>
    <w:p>
      <w:pPr>
        <w:spacing w:after="0" w:line="227" w:lineRule="exact"/>
        <w:rPr>
          <w:sz w:val="20"/>
          <w:szCs w:val="20"/>
          <w:color w:val="auto"/>
        </w:rPr>
      </w:pPr>
    </w:p>
    <w:p>
      <w:pPr>
        <w:jc w:val="both"/>
        <w:ind w:firstLine="950"/>
        <w:spacing w:after="0" w:line="277" w:lineRule="auto"/>
        <w:rPr>
          <w:sz w:val="20"/>
          <w:szCs w:val="20"/>
          <w:color w:val="auto"/>
        </w:rPr>
      </w:pPr>
      <w:r>
        <w:rPr>
          <w:rFonts w:ascii="Arial" w:cs="Arial" w:eastAsia="Arial" w:hAnsi="Arial"/>
          <w:sz w:val="18"/>
          <w:szCs w:val="18"/>
          <w:color w:val="auto"/>
        </w:rPr>
        <w:t>The above coverage is to be provided prior to funding the Agreement. Borrower hereby agrees to pay for the coverage above and by signing below acknowledges its obligation to do so.</w:t>
      </w:r>
    </w:p>
    <w:p>
      <w:pPr>
        <w:spacing w:after="0" w:line="38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960"/>
        <w:spacing w:after="0"/>
        <w:tabs>
          <w:tab w:leader="none" w:pos="2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-130810</wp:posOffset>
            </wp:positionV>
            <wp:extent cx="19640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5715</wp:posOffset>
            </wp:positionV>
            <wp:extent cx="19640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640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1373505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CORPORATE RESOLUTIONS TO BORROW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r>
        <w:rPr>
          <w:rFonts w:ascii="Arial" w:cs="Arial" w:eastAsia="Arial" w:hAnsi="Arial"/>
          <w:sz w:val="18"/>
          <w:szCs w:val="18"/>
          <w:color w:val="auto"/>
        </w:rPr>
        <w:t>: ARCTURUS THERAPEUTICS,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p>
      <w:pPr>
        <w:ind w:firstLine="950"/>
        <w:spacing w:after="0" w:line="277" w:lineRule="auto"/>
        <w:rPr>
          <w:sz w:val="20"/>
          <w:szCs w:val="20"/>
          <w:color w:val="auto"/>
        </w:rPr>
      </w:pPr>
      <w:r>
        <w:rPr>
          <w:rFonts w:ascii="Arial" w:cs="Arial" w:eastAsia="Arial" w:hAnsi="Arial"/>
          <w:sz w:val="18"/>
          <w:szCs w:val="18"/>
          <w:color w:val="auto"/>
        </w:rPr>
        <w:t>I, the undersigned Secretary or Assistant Secretary of ARCTURUS THERAPEUTICS, INC., a Delaware corporation (the “Corporation”), HEREBY CERTIFY that the Corporation is organized and existing under and by virtue of the laws of the State of DELAWARE.</w:t>
      </w:r>
    </w:p>
    <w:p>
      <w:pPr>
        <w:spacing w:after="0" w:line="170" w:lineRule="exact"/>
        <w:rPr>
          <w:sz w:val="20"/>
          <w:szCs w:val="20"/>
          <w:color w:val="auto"/>
        </w:rPr>
      </w:pPr>
    </w:p>
    <w:p>
      <w:pPr>
        <w:ind w:firstLine="950"/>
        <w:spacing w:after="0" w:line="277" w:lineRule="auto"/>
        <w:rPr>
          <w:sz w:val="20"/>
          <w:szCs w:val="20"/>
          <w:color w:val="auto"/>
        </w:rPr>
      </w:pPr>
      <w:r>
        <w:rPr>
          <w:rFonts w:ascii="Arial" w:cs="Arial" w:eastAsia="Arial" w:hAnsi="Arial"/>
          <w:sz w:val="18"/>
          <w:szCs w:val="18"/>
          <w:color w:val="auto"/>
        </w:rPr>
        <w:t>I FURTHER CERTIFY that attached hereto as Attachments 1 and 2 are true and complete copies of the Certificate of Incorporation, as amended, and the Bylaws of the Corporation, each of which is in full force and effect on the date hereof.</w:t>
      </w:r>
    </w:p>
    <w:p>
      <w:pPr>
        <w:spacing w:after="0" w:line="170" w:lineRule="exact"/>
        <w:rPr>
          <w:sz w:val="20"/>
          <w:szCs w:val="20"/>
          <w:color w:val="auto"/>
        </w:rPr>
      </w:pPr>
    </w:p>
    <w:p>
      <w:pPr>
        <w:ind w:firstLine="950"/>
        <w:spacing w:after="0" w:line="277" w:lineRule="auto"/>
        <w:rPr>
          <w:sz w:val="20"/>
          <w:szCs w:val="20"/>
          <w:color w:val="auto"/>
        </w:rPr>
      </w:pPr>
      <w:r>
        <w:rPr>
          <w:rFonts w:ascii="Arial" w:cs="Arial" w:eastAsia="Arial" w:hAnsi="Arial"/>
          <w:sz w:val="18"/>
          <w:szCs w:val="18"/>
          <w:color w:val="auto"/>
        </w:rPr>
        <w:t>I FURTHER CERTIFY that at a meeting of the Directors of the Corporation, duly called and held, at which a quorum was present and voting (or by other duly authorized corporate action in lieu of a meeting), the following resolutions (the “Resolutions”) were adopted.</w:t>
      </w:r>
    </w:p>
    <w:p>
      <w:pPr>
        <w:spacing w:after="0" w:line="170" w:lineRule="exact"/>
        <w:rPr>
          <w:sz w:val="20"/>
          <w:szCs w:val="20"/>
          <w:color w:val="auto"/>
        </w:rPr>
      </w:pPr>
    </w:p>
    <w:p>
      <w:pPr>
        <w:ind w:firstLine="950"/>
        <w:spacing w:after="0" w:line="277" w:lineRule="auto"/>
        <w:rPr>
          <w:sz w:val="20"/>
          <w:szCs w:val="20"/>
          <w:color w:val="auto"/>
        </w:rPr>
      </w:pPr>
      <w:r>
        <w:rPr>
          <w:rFonts w:ascii="Arial" w:cs="Arial" w:eastAsia="Arial" w:hAnsi="Arial"/>
          <w:sz w:val="18"/>
          <w:szCs w:val="18"/>
          <w:color w:val="auto"/>
        </w:rPr>
        <w:t>BE IT RESOLVED, that any one (1) of the following named officers, employees, or agents of this Corporation, whose actual signatures are shown below:</w:t>
      </w:r>
    </w:p>
    <w:p>
      <w:pPr>
        <w:spacing w:after="0" w:line="166" w:lineRule="exact"/>
        <w:rPr>
          <w:sz w:val="20"/>
          <w:szCs w:val="20"/>
          <w:color w:val="auto"/>
        </w:rPr>
      </w:pPr>
    </w:p>
    <w:p>
      <w:pPr>
        <w:ind w:left="1520"/>
        <w:spacing w:after="0"/>
        <w:tabs>
          <w:tab w:leader="none" w:pos="5220" w:val="left"/>
          <w:tab w:leader="none" w:pos="8540" w:val="left"/>
        </w:tabs>
        <w:rPr>
          <w:sz w:val="20"/>
          <w:szCs w:val="20"/>
          <w:color w:val="auto"/>
        </w:rPr>
      </w:pPr>
      <w:r>
        <w:rPr>
          <w:rFonts w:ascii="Arial" w:cs="Arial" w:eastAsia="Arial" w:hAnsi="Arial"/>
          <w:sz w:val="18"/>
          <w:szCs w:val="18"/>
          <w:b w:val="1"/>
          <w:bCs w:val="1"/>
          <w:u w:val="single" w:color="auto"/>
          <w:color w:val="auto"/>
        </w:rPr>
        <w:t>NAMES</w:t>
      </w:r>
      <w:r>
        <w:rPr>
          <w:sz w:val="20"/>
          <w:szCs w:val="20"/>
          <w:color w:val="auto"/>
        </w:rPr>
        <w:tab/>
      </w:r>
      <w:r>
        <w:rPr>
          <w:rFonts w:ascii="Arial" w:cs="Arial" w:eastAsia="Arial" w:hAnsi="Arial"/>
          <w:sz w:val="18"/>
          <w:szCs w:val="18"/>
          <w:b w:val="1"/>
          <w:bCs w:val="1"/>
          <w:u w:val="single" w:color="auto"/>
          <w:color w:val="auto"/>
        </w:rPr>
        <w:t>POSITION</w:t>
      </w:r>
      <w:r>
        <w:rPr>
          <w:sz w:val="20"/>
          <w:szCs w:val="20"/>
          <w:color w:val="auto"/>
        </w:rPr>
        <w:tab/>
      </w:r>
      <w:r>
        <w:rPr>
          <w:rFonts w:ascii="Arial" w:cs="Arial" w:eastAsia="Arial" w:hAnsi="Arial"/>
          <w:sz w:val="17"/>
          <w:szCs w:val="17"/>
          <w:b w:val="1"/>
          <w:bCs w:val="1"/>
          <w:u w:val="single" w:color="auto"/>
          <w:color w:val="auto"/>
        </w:rPr>
        <w:t>ACTUAL SIGNATURES</w:t>
      </w:r>
    </w:p>
    <w:p>
      <w:pPr>
        <w:sectPr>
          <w:pgSz w:w="11900" w:h="16838" w:orient="portrait"/>
          <w:cols w:equalWidth="0" w:num="1">
            <w:col w:w="11420"/>
          </w:cols>
          <w:pgMar w:left="240" w:top="337"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Joseph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3241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Pad Chiviukula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595630</wp:posOffset>
            </wp:positionV>
            <wp:extent cx="23241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312420</wp:posOffset>
            </wp:positionV>
            <wp:extent cx="23241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23241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48450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8450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COO, CSO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595630</wp:posOffset>
            </wp:positionV>
            <wp:extent cx="48450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8450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312420</wp:posOffset>
            </wp:positionV>
            <wp:extent cx="48450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8450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29210</wp:posOffset>
            </wp:positionV>
            <wp:extent cx="48450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8450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720"/>
            <w:col w:w="7640"/>
          </w:cols>
          <w:pgMar w:left="240" w:top="33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acting for and on behalf of this Corporation and as its act and deed be, and they hereby are, authorized and empowered:</w:t>
      </w:r>
    </w:p>
    <w:p>
      <w:pPr>
        <w:spacing w:after="0" w:line="221" w:lineRule="exact"/>
        <w:rPr>
          <w:sz w:val="20"/>
          <w:szCs w:val="20"/>
          <w:color w:val="auto"/>
        </w:rPr>
      </w:pPr>
    </w:p>
    <w:p>
      <w:pPr>
        <w:jc w:val="both"/>
        <w:ind w:firstLine="950"/>
        <w:spacing w:after="0" w:line="266" w:lineRule="auto"/>
        <w:rPr>
          <w:sz w:val="20"/>
          <w:szCs w:val="20"/>
          <w:color w:val="auto"/>
        </w:rPr>
      </w:pPr>
      <w:r>
        <w:rPr>
          <w:rFonts w:ascii="Arial" w:cs="Arial" w:eastAsia="Arial" w:hAnsi="Arial"/>
          <w:sz w:val="18"/>
          <w:szCs w:val="18"/>
          <w:b w:val="1"/>
          <w:bCs w:val="1"/>
          <w:color w:val="auto"/>
        </w:rPr>
        <w:t>Borrow Money</w:t>
      </w:r>
      <w:r>
        <w:rPr>
          <w:rFonts w:ascii="Arial" w:cs="Arial" w:eastAsia="Arial" w:hAnsi="Arial"/>
          <w:sz w:val="18"/>
          <w:szCs w:val="18"/>
          <w:color w:val="auto"/>
        </w:rPr>
        <w:t>. To borrow from time to time from Western Alliance Bank, an Arizona corporation (“Bank”), on such terms as may be agreed</w:t>
      </w:r>
      <w:r>
        <w:rPr>
          <w:rFonts w:ascii="Arial" w:cs="Arial" w:eastAsia="Arial" w:hAnsi="Arial"/>
          <w:sz w:val="18"/>
          <w:szCs w:val="18"/>
          <w:b w:val="1"/>
          <w:bCs w:val="1"/>
          <w:color w:val="auto"/>
        </w:rPr>
        <w:t xml:space="preserve"> </w:t>
      </w:r>
      <w:r>
        <w:rPr>
          <w:rFonts w:ascii="Arial" w:cs="Arial" w:eastAsia="Arial" w:hAnsi="Arial"/>
          <w:sz w:val="18"/>
          <w:szCs w:val="18"/>
          <w:color w:val="auto"/>
        </w:rPr>
        <w:t>upon between the officers, employees, or agents of the Corporation and Bank, such sum or sums of money as in their judgment should be borrowed, without limitation.</w:t>
      </w:r>
    </w:p>
    <w:p>
      <w:pPr>
        <w:spacing w:after="0" w:line="176" w:lineRule="exact"/>
        <w:rPr>
          <w:sz w:val="20"/>
          <w:szCs w:val="20"/>
          <w:color w:val="auto"/>
        </w:rPr>
      </w:pPr>
    </w:p>
    <w:p>
      <w:pPr>
        <w:jc w:val="both"/>
        <w:ind w:firstLine="950"/>
        <w:spacing w:after="0" w:line="303" w:lineRule="auto"/>
        <w:rPr>
          <w:sz w:val="20"/>
          <w:szCs w:val="20"/>
          <w:color w:val="auto"/>
        </w:rPr>
      </w:pPr>
      <w:r>
        <w:rPr>
          <w:rFonts w:ascii="Arial" w:cs="Arial" w:eastAsia="Arial" w:hAnsi="Arial"/>
          <w:sz w:val="16"/>
          <w:szCs w:val="16"/>
          <w:b w:val="1"/>
          <w:bCs w:val="1"/>
          <w:color w:val="auto"/>
        </w:rPr>
        <w:t>Execute Loan Documents</w:t>
      </w:r>
      <w:r>
        <w:rPr>
          <w:rFonts w:ascii="Arial" w:cs="Arial" w:eastAsia="Arial" w:hAnsi="Arial"/>
          <w:sz w:val="16"/>
          <w:szCs w:val="16"/>
          <w:color w:val="auto"/>
        </w:rPr>
        <w:t>. To execute and deliver to Bank that certain Loan and Security Agreement dated as of October 12, 2018 (the “Loan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any other agreement entered into between Corporation and Bank in connection with the Loan Agreement, including any amendments, all as amended or extended from time to time (collectively, with the Loan Agreement, the “Loan Documents”), and also to execute and deliver to Bank one or more renewals, extensions, modifications, refinancings, consolidations, or substitutions for the Loan Documents, or any portion thereof.</w:t>
      </w:r>
    </w:p>
    <w:p>
      <w:pPr>
        <w:spacing w:after="0" w:line="151" w:lineRule="exact"/>
        <w:rPr>
          <w:sz w:val="20"/>
          <w:szCs w:val="20"/>
          <w:color w:val="auto"/>
        </w:rPr>
      </w:pPr>
    </w:p>
    <w:p>
      <w:pPr>
        <w:jc w:val="both"/>
        <w:ind w:right="20" w:firstLine="950"/>
        <w:spacing w:after="0" w:line="282" w:lineRule="auto"/>
        <w:rPr>
          <w:sz w:val="20"/>
          <w:szCs w:val="20"/>
          <w:color w:val="auto"/>
        </w:rPr>
      </w:pPr>
      <w:r>
        <w:rPr>
          <w:rFonts w:ascii="Arial" w:cs="Arial" w:eastAsia="Arial" w:hAnsi="Arial"/>
          <w:sz w:val="18"/>
          <w:szCs w:val="18"/>
          <w:b w:val="1"/>
          <w:bCs w:val="1"/>
          <w:color w:val="auto"/>
        </w:rPr>
        <w:t>Grant Security</w:t>
      </w:r>
      <w:r>
        <w:rPr>
          <w:rFonts w:ascii="Arial" w:cs="Arial" w:eastAsia="Arial" w:hAnsi="Arial"/>
          <w:sz w:val="18"/>
          <w:szCs w:val="18"/>
          <w:color w:val="auto"/>
        </w:rPr>
        <w:t>. To grant a security interest to Bank in the Collateral described in the Loan Documents, which security interest shall secure all</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Corporation’s Obligations, as described in the Loan Documents.</w:t>
      </w:r>
    </w:p>
    <w:p>
      <w:pPr>
        <w:spacing w:after="0" w:line="162" w:lineRule="exact"/>
        <w:rPr>
          <w:sz w:val="20"/>
          <w:szCs w:val="20"/>
          <w:color w:val="auto"/>
        </w:rPr>
      </w:pPr>
    </w:p>
    <w:p>
      <w:pPr>
        <w:jc w:val="both"/>
        <w:ind w:firstLine="950"/>
        <w:spacing w:after="0" w:line="314" w:lineRule="auto"/>
        <w:rPr>
          <w:sz w:val="20"/>
          <w:szCs w:val="20"/>
          <w:color w:val="auto"/>
        </w:rPr>
      </w:pPr>
      <w:r>
        <w:rPr>
          <w:rFonts w:ascii="Arial" w:cs="Arial" w:eastAsia="Arial" w:hAnsi="Arial"/>
          <w:sz w:val="16"/>
          <w:szCs w:val="16"/>
          <w:b w:val="1"/>
          <w:bCs w:val="1"/>
          <w:color w:val="auto"/>
        </w:rPr>
        <w:t>Negotiate Items</w:t>
      </w:r>
      <w:r>
        <w:rPr>
          <w:rFonts w:ascii="Arial" w:cs="Arial" w:eastAsia="Arial" w:hAnsi="Arial"/>
          <w:sz w:val="16"/>
          <w:szCs w:val="16"/>
          <w:color w:val="auto"/>
        </w:rPr>
        <w:t>. To draw, endorse, and discount with Bank all drafts, trade acceptances, promissory notes, or other evidences of indebtedness</w:t>
      </w:r>
      <w:r>
        <w:rPr>
          <w:rFonts w:ascii="Arial" w:cs="Arial" w:eastAsia="Arial" w:hAnsi="Arial"/>
          <w:sz w:val="16"/>
          <w:szCs w:val="16"/>
          <w:b w:val="1"/>
          <w:bCs w:val="1"/>
          <w:color w:val="auto"/>
        </w:rPr>
        <w:t xml:space="preserve"> </w:t>
      </w:r>
      <w:r>
        <w:rPr>
          <w:rFonts w:ascii="Arial" w:cs="Arial" w:eastAsia="Arial" w:hAnsi="Arial"/>
          <w:sz w:val="16"/>
          <w:szCs w:val="16"/>
          <w:color w:val="auto"/>
        </w:rPr>
        <w:t>payable to or belonging to the Corporation or in which the Corporation may have an interest, and either to receive cash for the same or to cause such proceeds to be credited to the account of the Corporation with Bank, or to cause such other disposition of the proceeds derived therefrom as they may deem advisable.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518160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43" w:name="page44"/>
    <w:bookmarkEnd w:id="43"/>
    <w:p>
      <w:pPr>
        <w:ind w:left="960"/>
        <w:spacing w:after="0"/>
        <w:rPr>
          <w:sz w:val="20"/>
          <w:szCs w:val="20"/>
          <w:color w:val="auto"/>
        </w:rPr>
      </w:pPr>
      <w:r>
        <w:rPr>
          <w:rFonts w:ascii="Arial" w:cs="Arial" w:eastAsia="Arial" w:hAnsi="Arial"/>
          <w:sz w:val="17"/>
          <w:szCs w:val="17"/>
          <w:b w:val="1"/>
          <w:bCs w:val="1"/>
          <w:color w:val="auto"/>
        </w:rPr>
        <w:t>Letters of Credit</w:t>
      </w:r>
      <w:r>
        <w:rPr>
          <w:rFonts w:ascii="Arial" w:cs="Arial" w:eastAsia="Arial" w:hAnsi="Arial"/>
          <w:sz w:val="17"/>
          <w:szCs w:val="17"/>
          <w:color w:val="auto"/>
        </w:rPr>
        <w:t>. To execute letter of credit applications and other related documents pertaining to Bank’s issuance of letters of credit.</w:t>
      </w:r>
    </w:p>
    <w:p>
      <w:pPr>
        <w:spacing w:after="0" w:line="237" w:lineRule="exact"/>
        <w:rPr>
          <w:sz w:val="20"/>
          <w:szCs w:val="20"/>
          <w:color w:val="auto"/>
        </w:rPr>
      </w:pPr>
    </w:p>
    <w:p>
      <w:pPr>
        <w:jc w:val="both"/>
        <w:ind w:firstLine="950"/>
        <w:spacing w:after="0" w:line="282" w:lineRule="auto"/>
        <w:rPr>
          <w:sz w:val="20"/>
          <w:szCs w:val="20"/>
          <w:color w:val="auto"/>
        </w:rPr>
      </w:pPr>
      <w:r>
        <w:rPr>
          <w:rFonts w:ascii="Arial" w:cs="Arial" w:eastAsia="Arial" w:hAnsi="Arial"/>
          <w:sz w:val="18"/>
          <w:szCs w:val="18"/>
          <w:b w:val="1"/>
          <w:bCs w:val="1"/>
          <w:color w:val="auto"/>
        </w:rPr>
        <w:t xml:space="preserve">Corporate Credit Cards. </w:t>
      </w:r>
      <w:r>
        <w:rPr>
          <w:rFonts w:ascii="Arial" w:cs="Arial" w:eastAsia="Arial" w:hAnsi="Arial"/>
          <w:sz w:val="18"/>
          <w:szCs w:val="18"/>
          <w:color w:val="auto"/>
        </w:rPr>
        <w:t>To execute corporate credit card applications and agreements and other related documents pertaining to Bank’s</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corporate credit cards.</w:t>
      </w:r>
    </w:p>
    <w:p>
      <w:pPr>
        <w:spacing w:after="0" w:line="162" w:lineRule="exact"/>
        <w:rPr>
          <w:sz w:val="20"/>
          <w:szCs w:val="20"/>
          <w:color w:val="auto"/>
        </w:rPr>
      </w:pPr>
    </w:p>
    <w:p>
      <w:pPr>
        <w:jc w:val="both"/>
        <w:ind w:firstLine="950"/>
        <w:spacing w:after="0" w:line="314" w:lineRule="auto"/>
        <w:rPr>
          <w:sz w:val="20"/>
          <w:szCs w:val="20"/>
          <w:color w:val="auto"/>
        </w:rPr>
      </w:pPr>
      <w:r>
        <w:rPr>
          <w:rFonts w:ascii="Arial" w:cs="Arial" w:eastAsia="Arial" w:hAnsi="Arial"/>
          <w:sz w:val="16"/>
          <w:szCs w:val="16"/>
          <w:b w:val="1"/>
          <w:bCs w:val="1"/>
          <w:color w:val="auto"/>
        </w:rPr>
        <w:t>Further Acts</w:t>
      </w:r>
      <w:r>
        <w:rPr>
          <w:rFonts w:ascii="Arial" w:cs="Arial" w:eastAsia="Arial" w:hAnsi="Arial"/>
          <w:sz w:val="16"/>
          <w:szCs w:val="16"/>
          <w:color w:val="auto"/>
        </w:rPr>
        <w:t>. In the case of lines of credit, to designate additional or alternate individuals as being authorized to request advances thereunder,</w:t>
      </w:r>
      <w:r>
        <w:rPr>
          <w:rFonts w:ascii="Arial" w:cs="Arial" w:eastAsia="Arial" w:hAnsi="Arial"/>
          <w:sz w:val="16"/>
          <w:szCs w:val="16"/>
          <w:b w:val="1"/>
          <w:bCs w:val="1"/>
          <w:color w:val="auto"/>
        </w:rPr>
        <w:t xml:space="preserve"> </w:t>
      </w:r>
      <w:r>
        <w:rPr>
          <w:rFonts w:ascii="Arial" w:cs="Arial" w:eastAsia="Arial" w:hAnsi="Arial"/>
          <w:sz w:val="16"/>
          <w:szCs w:val="16"/>
          <w:color w:val="auto"/>
        </w:rPr>
        <w:t>and in all cases, to do and perform such other acts and things, to pay any and all fees and costs, and to execute and deliver such other documents and agreements as they may in their discretion deem reasonably necessary or proper in order to carry into effect the provisions of these Resolutions.</w:t>
      </w:r>
    </w:p>
    <w:p>
      <w:pPr>
        <w:spacing w:after="0" w:line="146" w:lineRule="exact"/>
        <w:rPr>
          <w:sz w:val="20"/>
          <w:szCs w:val="20"/>
          <w:color w:val="auto"/>
        </w:rPr>
      </w:pPr>
    </w:p>
    <w:p>
      <w:pPr>
        <w:jc w:val="both"/>
        <w:ind w:firstLine="950"/>
        <w:spacing w:after="0" w:line="259" w:lineRule="auto"/>
        <w:rPr>
          <w:sz w:val="20"/>
          <w:szCs w:val="20"/>
          <w:color w:val="auto"/>
        </w:rPr>
      </w:pPr>
      <w:r>
        <w:rPr>
          <w:rFonts w:ascii="Arial" w:cs="Arial" w:eastAsia="Arial" w:hAnsi="Arial"/>
          <w:sz w:val="18"/>
          <w:szCs w:val="18"/>
          <w:color w:val="auto"/>
        </w:rPr>
        <w:t>BE IT FURTHER RESOLVED, that any and all acts authorized pursuant to these Resolutions and performed prior to the passage of these resolutions are hereby ratified and approved, that these Resolutions shall remain in full force and effect and Bank may rely on these Resolutions until written notice of their revocation shall have been delivered to and received by Bank. Any such notice shall not affect any of the Corporation’s agreements or commitments in effect at the time notice is given.</w:t>
      </w:r>
    </w:p>
    <w:p>
      <w:pPr>
        <w:spacing w:after="0" w:line="187" w:lineRule="exact"/>
        <w:rPr>
          <w:sz w:val="20"/>
          <w:szCs w:val="20"/>
          <w:color w:val="auto"/>
        </w:rPr>
      </w:pPr>
    </w:p>
    <w:p>
      <w:pPr>
        <w:jc w:val="both"/>
        <w:ind w:firstLine="950"/>
        <w:spacing w:after="0" w:line="312" w:lineRule="auto"/>
        <w:rPr>
          <w:sz w:val="20"/>
          <w:szCs w:val="20"/>
          <w:color w:val="auto"/>
        </w:rPr>
      </w:pPr>
      <w:r>
        <w:rPr>
          <w:rFonts w:ascii="Arial" w:cs="Arial" w:eastAsia="Arial" w:hAnsi="Arial"/>
          <w:sz w:val="16"/>
          <w:szCs w:val="16"/>
          <w:color w:val="auto"/>
        </w:rPr>
        <w:t>I FURTHER CERTIFY that the officers, employees, and agents named above are duly elected, appointed, or employed by or for the Corporation, as the case may be, and occupy the positions set forth opposite their respective names; that the foregoing Resolutions now stand of record on the books of the Corporation; and that the Resolutions are in full force and effect and have not been modified or revoked in any manner whatsoever.</w:t>
      </w:r>
    </w:p>
    <w:p>
      <w:pPr>
        <w:spacing w:after="0" w:line="147" w:lineRule="exact"/>
        <w:rPr>
          <w:sz w:val="20"/>
          <w:szCs w:val="20"/>
          <w:color w:val="auto"/>
        </w:rPr>
      </w:pPr>
    </w:p>
    <w:p>
      <w:pPr>
        <w:jc w:val="both"/>
        <w:ind w:firstLine="950"/>
        <w:spacing w:after="0" w:line="277" w:lineRule="auto"/>
        <w:rPr>
          <w:sz w:val="20"/>
          <w:szCs w:val="20"/>
          <w:color w:val="auto"/>
        </w:rPr>
      </w:pPr>
      <w:r>
        <w:rPr>
          <w:rFonts w:ascii="Arial" w:cs="Arial" w:eastAsia="Arial" w:hAnsi="Arial"/>
          <w:sz w:val="18"/>
          <w:szCs w:val="18"/>
          <w:color w:val="auto"/>
        </w:rPr>
        <w:t>IN WITNESS WHEREOF, I have hereunto set my hand as of the date first set forth above and attest that the signatures set opposite the names listed above are their genuine signatures.</w:t>
      </w:r>
    </w:p>
    <w:p>
      <w:pPr>
        <w:spacing w:after="0" w:line="38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CERTIFIED AND ATTESTED BY:</w:t>
      </w:r>
    </w:p>
    <w:p>
      <w:pPr>
        <w:spacing w:after="0" w:line="200" w:lineRule="exact"/>
        <w:rPr>
          <w:sz w:val="20"/>
          <w:szCs w:val="20"/>
          <w:color w:val="auto"/>
        </w:rPr>
      </w:pPr>
    </w:p>
    <w:p>
      <w:pPr>
        <w:spacing w:after="0" w:line="24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Pad Chiviukula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Secretary or Assistant Secretary of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p>
      <w:pPr>
        <w:ind w:right="20" w:firstLine="8"/>
        <w:spacing w:after="0" w:line="277" w:lineRule="auto"/>
        <w:tabs>
          <w:tab w:leader="none" w:pos="331"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If the Secretary, Assistant Secretary or other certifying officer executing above is designated by the resolutions set forth in paragraph 4 as one of the authorized signing officers, this Certificate must also be signed by a second authorized officer or director of Borrower.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a Director of Borrower, hereby certify as to the paragraphs above, as of the date set forth above.</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ind w:left="5720"/>
        <w:spacing w:after="0"/>
        <w:tabs>
          <w:tab w:leader="none" w:pos="6520" w:val="left"/>
        </w:tabs>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Andrew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-130810</wp:posOffset>
            </wp:positionV>
            <wp:extent cx="31045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520" w:val="left"/>
        </w:tabs>
        <w:rPr>
          <w:sz w:val="20"/>
          <w:szCs w:val="20"/>
          <w:color w:val="auto"/>
        </w:rPr>
      </w:pPr>
      <w:r>
        <w:rPr>
          <w:rFonts w:ascii="Arial" w:cs="Arial" w:eastAsia="Arial" w:hAnsi="Arial"/>
          <w:sz w:val="18"/>
          <w:szCs w:val="18"/>
          <w:b w:val="1"/>
          <w:bCs w:val="1"/>
          <w:color w:val="auto"/>
        </w:rPr>
        <w:t>Title</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902335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color w:val="auto"/>
        </w:rPr>
        <w:t>ATTACHMENT A</w:t>
      </w:r>
    </w:p>
    <w:p>
      <w:pPr>
        <w:spacing w:after="0" w:line="333" w:lineRule="exact"/>
        <w:rPr>
          <w:sz w:val="20"/>
          <w:szCs w:val="20"/>
          <w:color w:val="auto"/>
        </w:rPr>
      </w:pPr>
    </w:p>
    <w:p>
      <w:pPr>
        <w:ind w:left="3300"/>
        <w:spacing w:after="0"/>
        <w:rPr>
          <w:sz w:val="20"/>
          <w:szCs w:val="20"/>
          <w:color w:val="auto"/>
        </w:rPr>
      </w:pPr>
      <w:r>
        <w:rPr>
          <w:rFonts w:ascii="Arial" w:cs="Arial" w:eastAsia="Arial" w:hAnsi="Arial"/>
          <w:sz w:val="17"/>
          <w:szCs w:val="17"/>
          <w:color w:val="auto"/>
        </w:rPr>
        <w:t>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987425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8"/>
          <w:szCs w:val="18"/>
          <w:color w:val="auto"/>
        </w:rPr>
        <w:t>ATTACHMENT B</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BYLAWS OF THE CORPORATION</w:t>
      </w:r>
    </w:p>
    <w:p>
      <w:pPr>
        <w:sectPr>
          <w:pgSz w:w="11900" w:h="16838" w:orient="portrait"/>
          <w:cols w:equalWidth="0" w:num="1">
            <w:col w:w="9019"/>
          </w:cols>
          <w:pgMar w:left="1440" w:top="341" w:right="1440" w:bottom="1440" w:gutter="0" w:footer="0" w:header="0"/>
        </w:sectPr>
      </w:pPr>
    </w:p>
    <w:bookmarkStart w:id="46" w:name="page47"/>
    <w:bookmarkEnd w:id="46"/>
    <w:p>
      <w:pPr>
        <w:jc w:val="right"/>
        <w:spacing w:after="0"/>
        <w:rPr>
          <w:sz w:val="20"/>
          <w:szCs w:val="20"/>
          <w:color w:val="auto"/>
        </w:rPr>
      </w:pPr>
      <w:r>
        <w:rPr>
          <w:rFonts w:ascii="Arial" w:cs="Arial" w:eastAsia="Arial" w:hAnsi="Arial"/>
          <w:sz w:val="20"/>
          <w:szCs w:val="20"/>
          <w:b w:val="1"/>
          <w:bCs w:val="1"/>
          <w:color w:val="auto"/>
        </w:rPr>
        <w:t>Exhibit 10.2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Arcturus Therapeutics Ltd.</w:t>
      </w:r>
    </w:p>
    <w:p>
      <w:pPr>
        <w:jc w:val="center"/>
        <w:spacing w:after="0"/>
        <w:rPr>
          <w:sz w:val="20"/>
          <w:szCs w:val="20"/>
          <w:color w:val="auto"/>
        </w:rPr>
      </w:pPr>
      <w:r>
        <w:rPr>
          <w:rFonts w:ascii="Arial" w:cs="Arial" w:eastAsia="Arial" w:hAnsi="Arial"/>
          <w:sz w:val="20"/>
          <w:szCs w:val="20"/>
          <w:b w:val="1"/>
          <w:bCs w:val="1"/>
          <w:color w:val="auto"/>
        </w:rPr>
        <w:t>Ordinary Shares</w:t>
      </w:r>
    </w:p>
    <w:p>
      <w:pPr>
        <w:jc w:val="center"/>
        <w:spacing w:after="0"/>
        <w:rPr>
          <w:sz w:val="20"/>
          <w:szCs w:val="20"/>
          <w:color w:val="auto"/>
        </w:rPr>
      </w:pPr>
      <w:r>
        <w:rPr>
          <w:rFonts w:ascii="Arial" w:cs="Arial" w:eastAsia="Arial" w:hAnsi="Arial"/>
          <w:sz w:val="20"/>
          <w:szCs w:val="20"/>
          <w:b w:val="1"/>
          <w:bCs w:val="1"/>
          <w:color w:val="auto"/>
        </w:rPr>
        <w:t>(NIS 0.07 par value)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SALES AGREEMENT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October 15, 2018</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LEERINK PARTNERS LLC</w:t>
      </w:r>
    </w:p>
    <w:p>
      <w:pPr>
        <w:spacing w:after="0" w:line="182" w:lineRule="auto"/>
        <w:rPr>
          <w:sz w:val="20"/>
          <w:szCs w:val="20"/>
          <w:color w:val="auto"/>
        </w:rPr>
      </w:pPr>
      <w:r>
        <w:rPr>
          <w:rFonts w:ascii="Arial" w:cs="Arial" w:eastAsia="Arial" w:hAnsi="Arial"/>
          <w:sz w:val="19"/>
          <w:szCs w:val="19"/>
          <w:color w:val="auto"/>
        </w:rPr>
        <w:t xml:space="preserve">1301 </w:t>
      </w:r>
      <w:r>
        <w:rPr>
          <w:rFonts w:ascii="Arial" w:cs="Arial" w:eastAsia="Arial" w:hAnsi="Arial"/>
          <w:sz w:val="17"/>
          <w:szCs w:val="17"/>
          <w:color w:val="auto"/>
        </w:rPr>
        <w:t>Avenue of the Americas, 12</w:t>
      </w:r>
      <w:r>
        <w:rPr>
          <w:rFonts w:ascii="Arial" w:cs="Arial" w:eastAsia="Arial" w:hAnsi="Arial"/>
          <w:sz w:val="28"/>
          <w:szCs w:val="28"/>
          <w:color w:val="auto"/>
          <w:vertAlign w:val="superscript"/>
        </w:rPr>
        <w:t>th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 10019</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0" w:lineRule="exact"/>
        <w:rPr>
          <w:sz w:val="20"/>
          <w:szCs w:val="20"/>
          <w:color w:val="auto"/>
        </w:rPr>
      </w:pPr>
    </w:p>
    <w:p>
      <w:pPr>
        <w:spacing w:after="0" w:line="267" w:lineRule="auto"/>
        <w:rPr>
          <w:sz w:val="20"/>
          <w:szCs w:val="20"/>
          <w:color w:val="auto"/>
        </w:rPr>
      </w:pPr>
      <w:r>
        <w:rPr>
          <w:rFonts w:ascii="Arial" w:cs="Arial" w:eastAsia="Arial" w:hAnsi="Arial"/>
          <w:sz w:val="20"/>
          <w:szCs w:val="20"/>
          <w:color w:val="auto"/>
        </w:rPr>
        <w:t>Arcturus Therapeutics Ltd., an Israeli company (the “</w:t>
      </w:r>
      <w:r>
        <w:rPr>
          <w:rFonts w:ascii="Arial" w:cs="Arial" w:eastAsia="Arial" w:hAnsi="Arial"/>
          <w:sz w:val="20"/>
          <w:szCs w:val="20"/>
          <w:b w:val="1"/>
          <w:bCs w:val="1"/>
          <w:u w:val="single" w:color="auto"/>
          <w:color w:val="auto"/>
        </w:rPr>
        <w:t>Company</w:t>
      </w:r>
      <w:r>
        <w:rPr>
          <w:rFonts w:ascii="Arial" w:cs="Arial" w:eastAsia="Arial" w:hAnsi="Arial"/>
          <w:sz w:val="20"/>
          <w:szCs w:val="20"/>
          <w:color w:val="auto"/>
        </w:rPr>
        <w:t>”), confirms its agreement (this “</w:t>
      </w:r>
      <w:r>
        <w:rPr>
          <w:rFonts w:ascii="Arial" w:cs="Arial" w:eastAsia="Arial" w:hAnsi="Arial"/>
          <w:sz w:val="20"/>
          <w:szCs w:val="20"/>
          <w:b w:val="1"/>
          <w:bCs w:val="1"/>
          <w:u w:val="single" w:color="auto"/>
          <w:color w:val="auto"/>
        </w:rPr>
        <w:t>Agreement</w:t>
      </w:r>
      <w:r>
        <w:rPr>
          <w:rFonts w:ascii="Arial" w:cs="Arial" w:eastAsia="Arial" w:hAnsi="Arial"/>
          <w:sz w:val="20"/>
          <w:szCs w:val="20"/>
          <w:color w:val="auto"/>
        </w:rPr>
        <w:t>”) with Leerink Partners LLC (the “</w:t>
      </w:r>
      <w:r>
        <w:rPr>
          <w:rFonts w:ascii="Arial" w:cs="Arial" w:eastAsia="Arial" w:hAnsi="Arial"/>
          <w:sz w:val="20"/>
          <w:szCs w:val="20"/>
          <w:b w:val="1"/>
          <w:bCs w:val="1"/>
          <w:u w:val="single" w:color="auto"/>
          <w:color w:val="auto"/>
        </w:rPr>
        <w:t>Agent</w:t>
      </w:r>
      <w:r>
        <w:rPr>
          <w:rFonts w:ascii="Arial" w:cs="Arial" w:eastAsia="Arial" w:hAnsi="Arial"/>
          <w:sz w:val="20"/>
          <w:szCs w:val="20"/>
          <w:color w:val="auto"/>
        </w:rPr>
        <w:t>”), as follows:</w:t>
      </w:r>
    </w:p>
    <w:p>
      <w:pPr>
        <w:spacing w:after="0" w:line="170" w:lineRule="exact"/>
        <w:rPr>
          <w:sz w:val="20"/>
          <w:szCs w:val="20"/>
          <w:color w:val="auto"/>
        </w:rPr>
      </w:pPr>
    </w:p>
    <w:p>
      <w:pPr>
        <w:jc w:val="both"/>
        <w:ind w:firstLine="885"/>
        <w:spacing w:after="0" w:line="256" w:lineRule="auto"/>
        <w:tabs>
          <w:tab w:leader="none" w:pos="1674"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Issuance and Sale of Shares</w:t>
      </w:r>
      <w:r>
        <w:rPr>
          <w:rFonts w:ascii="Arial" w:cs="Arial" w:eastAsia="Arial" w:hAnsi="Arial"/>
          <w:sz w:val="19"/>
          <w:szCs w:val="19"/>
          <w:color w:val="auto"/>
        </w:rPr>
        <w:t>. The Company agrees that, from time to time during the term of this Agreement, on the terms and subject to the conditions set forth herein, it may issue and sell through the Agent up to $30,000,000 of ordinary shares, NIS 0.07 par value per share, of the Company (the “</w:t>
      </w:r>
      <w:r>
        <w:rPr>
          <w:rFonts w:ascii="Arial" w:cs="Arial" w:eastAsia="Arial" w:hAnsi="Arial"/>
          <w:sz w:val="19"/>
          <w:szCs w:val="19"/>
          <w:b w:val="1"/>
          <w:bCs w:val="1"/>
          <w:u w:val="single" w:color="auto"/>
          <w:color w:val="auto"/>
        </w:rPr>
        <w:t>Shares</w:t>
      </w:r>
      <w:r>
        <w:rPr>
          <w:rFonts w:ascii="Arial" w:cs="Arial" w:eastAsia="Arial" w:hAnsi="Arial"/>
          <w:sz w:val="19"/>
          <w:szCs w:val="19"/>
          <w:color w:val="auto"/>
        </w:rPr>
        <w:t xml:space="preserve">”), subject to the limitations set forth in </w:t>
      </w:r>
      <w:r>
        <w:rPr>
          <w:rFonts w:ascii="Arial" w:cs="Arial" w:eastAsia="Arial" w:hAnsi="Arial"/>
          <w:sz w:val="19"/>
          <w:szCs w:val="19"/>
          <w:u w:val="single" w:color="auto"/>
          <w:color w:val="auto"/>
        </w:rPr>
        <w:t>Section 5(c)</w:t>
      </w:r>
      <w:r>
        <w:rPr>
          <w:rFonts w:ascii="Arial" w:cs="Arial" w:eastAsia="Arial" w:hAnsi="Arial"/>
          <w:sz w:val="19"/>
          <w:szCs w:val="19"/>
          <w:color w:val="auto"/>
        </w:rPr>
        <w:t xml:space="preserve"> (the “</w:t>
      </w:r>
      <w:r>
        <w:rPr>
          <w:rFonts w:ascii="Arial" w:cs="Arial" w:eastAsia="Arial" w:hAnsi="Arial"/>
          <w:sz w:val="19"/>
          <w:szCs w:val="19"/>
          <w:b w:val="1"/>
          <w:bCs w:val="1"/>
          <w:u w:val="single" w:color="auto"/>
          <w:color w:val="auto"/>
        </w:rPr>
        <w:t>Placement Shares</w:t>
      </w:r>
      <w:r>
        <w:rPr>
          <w:rFonts w:ascii="Arial" w:cs="Arial" w:eastAsia="Arial" w:hAnsi="Arial"/>
          <w:sz w:val="19"/>
          <w:szCs w:val="19"/>
          <w:color w:val="auto"/>
        </w:rPr>
        <w:t xml:space="preserve">”). Notwithstanding anything to the contrary contained herein, the parties hereto agree that compliance with the limitation set forth in this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on the aggregate gross sales price of Placement Shares that may be issued and sold under this Agreement from time to time shall be the sole responsibility of the Company, and that the Agent shall have no obligation in connection with such compliance. The issuance and sale of Placement Shares through the Agent will be effected pursuant to the Registration Statement (as defined below) filed by the Company and declared effective by the Securities and Exchange Commission (the “</w:t>
      </w:r>
      <w:r>
        <w:rPr>
          <w:rFonts w:ascii="Arial" w:cs="Arial" w:eastAsia="Arial" w:hAnsi="Arial"/>
          <w:sz w:val="19"/>
          <w:szCs w:val="19"/>
          <w:b w:val="1"/>
          <w:bCs w:val="1"/>
          <w:u w:val="single" w:color="auto"/>
          <w:color w:val="auto"/>
        </w:rPr>
        <w:t>Commission</w:t>
      </w:r>
      <w:r>
        <w:rPr>
          <w:rFonts w:ascii="Arial" w:cs="Arial" w:eastAsia="Arial" w:hAnsi="Arial"/>
          <w:sz w:val="19"/>
          <w:szCs w:val="19"/>
          <w:color w:val="auto"/>
        </w:rPr>
        <w:t>”) on March 18, 2016, although nothing in this Agreement shall be construed as requiring the Company to issue any Placement Shares.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Company has prepared and filed, in accordance with the provisions of the Securities Act of 1933, as amended, and the rules and regulations thereunder (collectively, the “</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with the Commission a registration statement on Form F-3 (File No. 333-209960),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The Company has prepared a prospectus supplement to the base prospectus included as part of the such registration statement at the time the registration statement became effective, which prospectus supplement specifically relates to the Placement Shares to be issued from time to time pursuant to this Agreement (the “</w:t>
      </w:r>
      <w:r>
        <w:rPr>
          <w:rFonts w:ascii="Arial" w:cs="Arial" w:eastAsia="Arial" w:hAnsi="Arial"/>
          <w:sz w:val="18"/>
          <w:szCs w:val="18"/>
          <w:b w:val="1"/>
          <w:bCs w:val="1"/>
          <w:u w:val="single" w:color="auto"/>
          <w:color w:val="auto"/>
        </w:rPr>
        <w:t>Prospectus Supplement</w:t>
      </w:r>
      <w:r>
        <w:rPr>
          <w:rFonts w:ascii="Arial" w:cs="Arial" w:eastAsia="Arial" w:hAnsi="Arial"/>
          <w:sz w:val="18"/>
          <w:szCs w:val="18"/>
          <w:color w:val="auto"/>
        </w:rPr>
        <w:t>”). The Company will furnish to the Agent, for use by the Agent, copies of the base prospectus included as part of such registration statement at the time it became effective, as supplemented by the Prospectus Supplement. Except where the context otherwise requires, such registration statement,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Rule 462(b) under the Securities Act, is herein called the “</w:t>
      </w:r>
      <w:r>
        <w:rPr>
          <w:rFonts w:ascii="Arial" w:cs="Arial" w:eastAsia="Arial" w:hAnsi="Arial"/>
          <w:sz w:val="18"/>
          <w:szCs w:val="18"/>
          <w:b w:val="1"/>
          <w:bCs w:val="1"/>
          <w:u w:val="single" w:color="auto"/>
          <w:color w:val="auto"/>
        </w:rPr>
        <w:t>Registration Statement</w:t>
      </w:r>
      <w:r>
        <w:rPr>
          <w:rFonts w:ascii="Arial" w:cs="Arial" w:eastAsia="Arial" w:hAnsi="Arial"/>
          <w:sz w:val="18"/>
          <w:szCs w:val="18"/>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7" w:name="page48"/>
    <w:bookmarkEnd w:id="47"/>
    <w:p>
      <w:pPr>
        <w:jc w:val="both"/>
        <w:spacing w:after="0" w:line="282" w:lineRule="auto"/>
        <w:rPr>
          <w:sz w:val="20"/>
          <w:szCs w:val="20"/>
          <w:color w:val="auto"/>
        </w:rPr>
      </w:pPr>
      <w:r>
        <w:rPr>
          <w:rFonts w:ascii="Arial" w:cs="Arial" w:eastAsia="Arial" w:hAnsi="Arial"/>
          <w:sz w:val="18"/>
          <w:szCs w:val="18"/>
          <w:color w:val="auto"/>
        </w:rPr>
        <w:t>the Commission pursuant to Rule 424(b) under the Securities Act, together with any “issuer free writing prospectus” (as used herein, as defined in Rule 433 under the Securities Act (“</w:t>
      </w:r>
      <w:r>
        <w:rPr>
          <w:rFonts w:ascii="Arial" w:cs="Arial" w:eastAsia="Arial" w:hAnsi="Arial"/>
          <w:sz w:val="18"/>
          <w:szCs w:val="18"/>
          <w:b w:val="1"/>
          <w:bCs w:val="1"/>
          <w:u w:val="single" w:color="auto"/>
          <w:color w:val="auto"/>
        </w:rPr>
        <w:t>Rule 433</w:t>
      </w:r>
      <w:r>
        <w:rPr>
          <w:rFonts w:ascii="Arial" w:cs="Arial" w:eastAsia="Arial" w:hAnsi="Arial"/>
          <w:sz w:val="18"/>
          <w:szCs w:val="18"/>
          <w:color w:val="auto"/>
        </w:rPr>
        <w:t>”)), relating to the Placement Shares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Arial" w:cs="Arial" w:eastAsia="Arial" w:hAnsi="Arial"/>
          <w:sz w:val="18"/>
          <w:szCs w:val="18"/>
          <w:b w:val="1"/>
          <w:bCs w:val="1"/>
          <w:u w:val="single" w:color="auto"/>
          <w:color w:val="auto"/>
        </w:rPr>
        <w:t>Prospectus</w:t>
      </w:r>
      <w:r>
        <w:rPr>
          <w:rFonts w:ascii="Arial" w:cs="Arial" w:eastAsia="Arial" w:hAnsi="Arial"/>
          <w:sz w:val="18"/>
          <w:szCs w:val="18"/>
          <w:color w:val="auto"/>
        </w:rPr>
        <w:t>.”</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Any reference herein to the Registration Statement, the Prospectus Supplement, the Prospectus or any issuer free writing prospectus shall be deemed to refer to and include the documents, if any, that are or are deemed to be incorporated by reference therein (the “</w:t>
      </w:r>
      <w:r>
        <w:rPr>
          <w:rFonts w:ascii="Arial" w:cs="Arial" w:eastAsia="Arial" w:hAnsi="Arial"/>
          <w:sz w:val="18"/>
          <w:szCs w:val="18"/>
          <w:b w:val="1"/>
          <w:bCs w:val="1"/>
          <w:u w:val="single" w:color="auto"/>
          <w:color w:val="auto"/>
        </w:rPr>
        <w:t>Incorporated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Documents</w:t>
      </w:r>
      <w:r>
        <w:rPr>
          <w:rFonts w:ascii="Arial" w:cs="Arial" w:eastAsia="Arial" w:hAnsi="Arial"/>
          <w:sz w:val="18"/>
          <w:szCs w:val="18"/>
          <w:color w:val="auto"/>
        </w:rPr>
        <w:t>”), including, unless the context otherwise requires, the documents, if any, filed as exhibits to such Incorporated Documents. Any</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herein to the terms “amend,” “amendment” or “supplement” with respect to the Registration Statement, the Prospectus Supplement, the Prospectus or any issuer free writing prospectus shall be deemed to refer to and include the filing of any document under the Exchange Act on or after the most-recent effective date of the Registration Statement, or the respective dates of the Prospectus Supplement, Prospectus or such issuer free writing prospectus, as the case may be, and incorporated therein by reference. For purposes of this Agreement, all references to the Registration Statement, the Prospectus or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Arial" w:cs="Arial" w:eastAsia="Arial" w:hAnsi="Arial"/>
          <w:sz w:val="18"/>
          <w:szCs w:val="18"/>
          <w:b w:val="1"/>
          <w:bCs w:val="1"/>
          <w:u w:val="single" w:color="auto"/>
          <w:color w:val="auto"/>
        </w:rPr>
        <w:t>EDGAR</w:t>
      </w:r>
      <w:r>
        <w:rPr>
          <w:rFonts w:ascii="Arial" w:cs="Arial" w:eastAsia="Arial" w:hAnsi="Arial"/>
          <w:sz w:val="18"/>
          <w:szCs w:val="18"/>
          <w:color w:val="auto"/>
        </w:rPr>
        <w:t>”).</w:t>
      </w:r>
    </w:p>
    <w:p>
      <w:pPr>
        <w:spacing w:after="0" w:line="175" w:lineRule="exact"/>
        <w:rPr>
          <w:sz w:val="20"/>
          <w:szCs w:val="20"/>
          <w:color w:val="auto"/>
        </w:rPr>
      </w:pPr>
    </w:p>
    <w:p>
      <w:pPr>
        <w:jc w:val="both"/>
        <w:ind w:firstLine="885"/>
        <w:spacing w:after="0" w:line="268" w:lineRule="auto"/>
        <w:tabs>
          <w:tab w:leader="none" w:pos="1674"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Placements</w:t>
      </w:r>
      <w:r>
        <w:rPr>
          <w:rFonts w:ascii="Arial" w:cs="Arial" w:eastAsia="Arial" w:hAnsi="Arial"/>
          <w:sz w:val="18"/>
          <w:szCs w:val="18"/>
          <w:color w:val="auto"/>
        </w:rPr>
        <w:t>. Each time that the Company wishes to issue and sell any Placement Shares through the Agent hereunder (each, a “</w:t>
      </w:r>
      <w:r>
        <w:rPr>
          <w:rFonts w:ascii="Arial" w:cs="Arial" w:eastAsia="Arial" w:hAnsi="Arial"/>
          <w:sz w:val="18"/>
          <w:szCs w:val="18"/>
          <w:b w:val="1"/>
          <w:bCs w:val="1"/>
          <w:u w:val="single" w:color="auto"/>
          <w:color w:val="auto"/>
        </w:rPr>
        <w:t>Placement</w:t>
      </w:r>
      <w:r>
        <w:rPr>
          <w:rFonts w:ascii="Arial" w:cs="Arial" w:eastAsia="Arial" w:hAnsi="Arial"/>
          <w:sz w:val="18"/>
          <w:szCs w:val="18"/>
          <w:color w:val="auto"/>
        </w:rPr>
        <w:t>”), it will notify the Agent by email notice (or other method mutually agreed to in writing by the parties) (each such notice, a “</w:t>
      </w:r>
      <w:r>
        <w:rPr>
          <w:rFonts w:ascii="Arial" w:cs="Arial" w:eastAsia="Arial" w:hAnsi="Arial"/>
          <w:sz w:val="18"/>
          <w:szCs w:val="18"/>
          <w:b w:val="1"/>
          <w:bCs w:val="1"/>
          <w:u w:val="single" w:color="auto"/>
          <w:color w:val="auto"/>
        </w:rPr>
        <w:t>Placement Notice</w:t>
      </w:r>
      <w:r>
        <w:rPr>
          <w:rFonts w:ascii="Arial" w:cs="Arial" w:eastAsia="Arial" w:hAnsi="Arial"/>
          <w:sz w:val="18"/>
          <w:szCs w:val="18"/>
          <w:color w:val="auto"/>
        </w:rPr>
        <w:t xml:space="preserve">”) containing the parameters in accordance with which it desires such Placement Shares to be sold, which at a minimum shall include the maximum number or amount of Placement Shares to be sold, the time period during which sales are requested to be made, any limitation on the number or amount of Placement Shares that may be sold in any one Trading Day (as defined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and any minimum price below which sales may not be made, a form of which containing such minimum sales parameters is attached hereto as </w:t>
      </w:r>
      <w:r>
        <w:rPr>
          <w:rFonts w:ascii="Arial" w:cs="Arial" w:eastAsia="Arial" w:hAnsi="Arial"/>
          <w:sz w:val="18"/>
          <w:szCs w:val="18"/>
          <w:b w:val="1"/>
          <w:bCs w:val="1"/>
          <w:u w:val="single" w:color="auto"/>
          <w:color w:val="auto"/>
        </w:rPr>
        <w:t>Schedule 1</w:t>
      </w:r>
      <w:r>
        <w:rPr>
          <w:rFonts w:ascii="Arial" w:cs="Arial" w:eastAsia="Arial" w:hAnsi="Arial"/>
          <w:sz w:val="18"/>
          <w:szCs w:val="18"/>
          <w:color w:val="auto"/>
        </w:rPr>
        <w:t xml:space="preserve">. The Placement Notice must originate from one of the individuals authorized to act on behalf of the Company and set forth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(with a copy to each of the other individuals from the Company listed on such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and shall be addressed to each of the individuals from the Agent set forth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as such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may be updated by either party from time to time by sending a written notice containing a revised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to the other party in the manner provided in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(including by email correspondence to each of the individuals of the Company set forth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if receipt of such correspondence is actually acknowledged by any of the individuals to whom the notice is sent, other than via auto-reply). The Placement Notice shall be effective upon receipt by the Agent unless and until (i) in accordance with the notice requirements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the Agent declines to accept the terms contained therein for any reason, in its sole discretion, within two Trading Days of the date the Agent receives the Placement Notice, (ii) in accordance with the notice requirements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the Agent suspends sales under the Placement Notice for any reason in its sole discretion, (iii) the entire amount of the Placement Shares has been sold pursuant to this Agreement, (iv) in accordance with the notice requirements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the Company suspends sales under or terminates the Placement Notice for any reason in its sole discretion, (v) the Company issues a subsequent Placement Notice and explicitly indicates that its parameters supersede those contained in the earlier dated Placement Notice or (vi) this Agreement has been terminated pursuant to the provisions of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The amount of any discount, commission or other compensation to be paid by the Company to the Agent in connection with the sale of the Placement Shares effected through the Agent shall be calculated in accordance with the terms set forth in </w:t>
      </w:r>
      <w:r>
        <w:rPr>
          <w:rFonts w:ascii="Arial" w:cs="Arial" w:eastAsia="Arial" w:hAnsi="Arial"/>
          <w:sz w:val="18"/>
          <w:szCs w:val="18"/>
          <w:b w:val="1"/>
          <w:bCs w:val="1"/>
          <w:u w:val="single" w:color="auto"/>
          <w:color w:val="auto"/>
        </w:rPr>
        <w:t>Schedule 3</w:t>
      </w:r>
      <w:r>
        <w:rPr>
          <w:rFonts w:ascii="Arial" w:cs="Arial" w:eastAsia="Arial" w:hAnsi="Arial"/>
          <w:sz w:val="18"/>
          <w:szCs w:val="18"/>
          <w:color w:val="auto"/>
        </w:rPr>
        <w:t>. It is expressly acknowledged and agreed that neither the Company nor the Agent will have any obligation whatsoever with respect to a Placement or any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48" w:name="page49"/>
    <w:bookmarkEnd w:id="48"/>
    <w:p>
      <w:pPr>
        <w:jc w:val="both"/>
        <w:spacing w:after="0" w:line="246" w:lineRule="auto"/>
        <w:rPr>
          <w:sz w:val="20"/>
          <w:szCs w:val="20"/>
          <w:color w:val="auto"/>
        </w:rPr>
      </w:pPr>
      <w:r>
        <w:rPr>
          <w:rFonts w:ascii="Arial" w:cs="Arial" w:eastAsia="Arial" w:hAnsi="Arial"/>
          <w:sz w:val="20"/>
          <w:szCs w:val="20"/>
          <w:color w:val="auto"/>
        </w:rPr>
        <w:t>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with respect to the matters covered thereby.</w:t>
      </w:r>
    </w:p>
    <w:p>
      <w:pPr>
        <w:spacing w:after="0" w:line="192" w:lineRule="exact"/>
        <w:rPr>
          <w:sz w:val="20"/>
          <w:szCs w:val="20"/>
          <w:color w:val="auto"/>
        </w:rPr>
      </w:pPr>
    </w:p>
    <w:p>
      <w:pPr>
        <w:jc w:val="both"/>
        <w:ind w:firstLine="885"/>
        <w:spacing w:after="0" w:line="268" w:lineRule="auto"/>
        <w:tabs>
          <w:tab w:leader="none" w:pos="1674"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Sale of Placement Shares by the Agent</w:t>
      </w:r>
      <w:r>
        <w:rPr>
          <w:rFonts w:ascii="Arial" w:cs="Arial" w:eastAsia="Arial" w:hAnsi="Arial"/>
          <w:sz w:val="18"/>
          <w:szCs w:val="18"/>
          <w:color w:val="auto"/>
        </w:rPr>
        <w:t xml:space="preserve">. On the basis of the representations and warranties herein contained and subject to the terms and conditions herein set forth, including, without limitation, </w:t>
      </w:r>
      <w:r>
        <w:rPr>
          <w:rFonts w:ascii="Arial" w:cs="Arial" w:eastAsia="Arial" w:hAnsi="Arial"/>
          <w:sz w:val="18"/>
          <w:szCs w:val="18"/>
          <w:u w:val="single" w:color="auto"/>
          <w:color w:val="auto"/>
        </w:rPr>
        <w:t>Section 5(c)</w:t>
      </w:r>
      <w:r>
        <w:rPr>
          <w:rFonts w:ascii="Arial" w:cs="Arial" w:eastAsia="Arial" w:hAnsi="Arial"/>
          <w:sz w:val="18"/>
          <w:szCs w:val="18"/>
          <w:color w:val="auto"/>
        </w:rPr>
        <w:t xml:space="preserve">, upon the effectiveness of a Placement Notice as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state and federal laws, rules and regulations and the rules of the Nasdaq Global Market (“</w:t>
      </w:r>
      <w:r>
        <w:rPr>
          <w:rFonts w:ascii="Arial" w:cs="Arial" w:eastAsia="Arial" w:hAnsi="Arial"/>
          <w:sz w:val="18"/>
          <w:szCs w:val="18"/>
          <w:b w:val="1"/>
          <w:bCs w:val="1"/>
          <w:u w:val="single" w:color="auto"/>
          <w:color w:val="auto"/>
        </w:rPr>
        <w:t>Nasdaq</w:t>
      </w:r>
      <w:r>
        <w:rPr>
          <w:rFonts w:ascii="Arial" w:cs="Arial" w:eastAsia="Arial" w:hAnsi="Arial"/>
          <w:sz w:val="18"/>
          <w:szCs w:val="18"/>
          <w:color w:val="auto"/>
        </w:rPr>
        <w:t xml:space="preserve">”) to sell such Placement Shares up to the number or amount specified in, and otherwise in accordance with the terms of, such Placement Notice. The Agent will provide written confirmation to the Company (including by email correspondence to each of the individuals of the Company set forth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or amount of Placement Shares sold on such Trading Day, the volume-weighted average price of the Placement Shares sold, the Net Proceeds (as defined below) payable to the Company and an itemization of the deductions made by the Agent) from the gross proceeds that it receives from such sales. Unless otherwise specified by the Company in a Placement Notice, the Agent may sell Placement Shares by any method permitted by law deemed to be an “at the market offering” as defined in Rule 415 of the Securities Act, including, without limitation, sales made directly on or through Nasdaq, on or through any other existing trading market for the Shares or to or through a market maker. If expressly authorized by the Company (including in a Placement Notice), the Agent may also sell Placement Shares in negotiated transactions. Notwithstanding the provisions of </w:t>
      </w:r>
      <w:r>
        <w:rPr>
          <w:rFonts w:ascii="Arial" w:cs="Arial" w:eastAsia="Arial" w:hAnsi="Arial"/>
          <w:sz w:val="18"/>
          <w:szCs w:val="18"/>
          <w:u w:val="single" w:color="auto"/>
          <w:color w:val="auto"/>
        </w:rPr>
        <w:t>Section 6(uu)</w:t>
      </w:r>
      <w:r>
        <w:rPr>
          <w:rFonts w:ascii="Arial" w:cs="Arial" w:eastAsia="Arial" w:hAnsi="Arial"/>
          <w:sz w:val="18"/>
          <w:szCs w:val="18"/>
          <w:color w:val="auto"/>
        </w:rPr>
        <w:t>, except as may be otherwise agreed by the Company and the Agent, the Agent shall not purchase Placement Shares on a principal basis pursuant to this Agreement unless the Company and the Agent enter into a separate written agreement setting forth the terms of such sale.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state and federal laws, rules and regulations and the rules of Nasdaq to sell such Placement Shares as required under this Agreement and (iii) the Agent shall be under no obligation to purchase Placement Shares on a principal basis pursuant to this Agreement unless the Company and the Agent enter into a separate written agreement setting forth the terms of such sale. For the purposes hereof, “</w:t>
      </w:r>
      <w:r>
        <w:rPr>
          <w:rFonts w:ascii="Arial" w:cs="Arial" w:eastAsia="Arial" w:hAnsi="Arial"/>
          <w:sz w:val="18"/>
          <w:szCs w:val="18"/>
          <w:b w:val="1"/>
          <w:bCs w:val="1"/>
          <w:u w:val="single" w:color="auto"/>
          <w:color w:val="auto"/>
        </w:rPr>
        <w:t>Trading Day</w:t>
      </w:r>
      <w:r>
        <w:rPr>
          <w:rFonts w:ascii="Arial" w:cs="Arial" w:eastAsia="Arial" w:hAnsi="Arial"/>
          <w:sz w:val="18"/>
          <w:szCs w:val="18"/>
          <w:color w:val="auto"/>
        </w:rPr>
        <w:t>” means any day on which Shares are purchased and sold on Nasdaq.</w:t>
      </w:r>
    </w:p>
    <w:p>
      <w:pPr>
        <w:spacing w:after="0" w:line="177" w:lineRule="exact"/>
        <w:rPr>
          <w:rFonts w:ascii="Arial" w:cs="Arial" w:eastAsia="Arial" w:hAnsi="Arial"/>
          <w:sz w:val="18"/>
          <w:szCs w:val="18"/>
          <w:color w:val="auto"/>
        </w:rPr>
      </w:pPr>
    </w:p>
    <w:p>
      <w:pPr>
        <w:ind w:left="1680" w:hanging="795"/>
        <w:spacing w:after="0"/>
        <w:tabs>
          <w:tab w:leader="none" w:pos="1680"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Suspension of Sales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763"/>
        <w:spacing w:after="0" w:line="276" w:lineRule="auto"/>
        <w:tabs>
          <w:tab w:leader="none" w:pos="2623"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The Company or the Agent may, upon notice to the other party in writing (including by email correspondence to each of the individuals of the other party set forth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suspend any sale of Placement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suspension shall not affect or impair either party’s obligations with respect to any Placement Shares sold hereunder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receipt of such notice. Each of the parties agrees that no such notice under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shall be effective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49" w:name="page50"/>
    <w:bookmarkEnd w:id="49"/>
    <w:p>
      <w:pPr>
        <w:jc w:val="both"/>
        <w:spacing w:after="0" w:line="253" w:lineRule="auto"/>
        <w:rPr>
          <w:sz w:val="20"/>
          <w:szCs w:val="20"/>
          <w:color w:val="auto"/>
        </w:rPr>
      </w:pPr>
      <w:r>
        <w:rPr>
          <w:rFonts w:ascii="Arial" w:cs="Arial" w:eastAsia="Arial" w:hAnsi="Arial"/>
          <w:sz w:val="20"/>
          <w:szCs w:val="20"/>
          <w:color w:val="auto"/>
        </w:rPr>
        <w:t xml:space="preserve">against the other party unless notice is sent by one of the individuals named on </w:t>
      </w:r>
      <w:r>
        <w:rPr>
          <w:rFonts w:ascii="Arial" w:cs="Arial" w:eastAsia="Arial" w:hAnsi="Arial"/>
          <w:sz w:val="20"/>
          <w:szCs w:val="20"/>
          <w:b w:val="1"/>
          <w:bCs w:val="1"/>
          <w:u w:val="single" w:color="auto"/>
          <w:color w:val="auto"/>
        </w:rPr>
        <w:t>Schedule 2</w:t>
      </w:r>
      <w:r>
        <w:rPr>
          <w:rFonts w:ascii="Arial" w:cs="Arial" w:eastAsia="Arial" w:hAnsi="Arial"/>
          <w:sz w:val="20"/>
          <w:szCs w:val="20"/>
          <w:color w:val="auto"/>
        </w:rPr>
        <w:t xml:space="preserve"> hereto to the other party in writing (including by email correspondence to each of the individuals of the other party set forth on </w:t>
      </w:r>
      <w:r>
        <w:rPr>
          <w:rFonts w:ascii="Arial" w:cs="Arial" w:eastAsia="Arial" w:hAnsi="Arial"/>
          <w:sz w:val="20"/>
          <w:szCs w:val="20"/>
          <w:b w:val="1"/>
          <w:bCs w:val="1"/>
          <w:u w:val="single" w:color="auto"/>
          <w:color w:val="auto"/>
        </w:rPr>
        <w:t>Schedule 2</w:t>
      </w:r>
      <w:r>
        <w:rPr>
          <w:rFonts w:ascii="Arial" w:cs="Arial" w:eastAsia="Arial" w:hAnsi="Arial"/>
          <w:sz w:val="20"/>
          <w:szCs w:val="20"/>
          <w:color w:val="auto"/>
        </w:rPr>
        <w:t>, if receipt of such correspondence is actually acknowledged by any of the individuals to whom the notice is sent, other than via auto-reply).</w:t>
      </w:r>
    </w:p>
    <w:p>
      <w:pPr>
        <w:spacing w:after="0" w:line="184" w:lineRule="exact"/>
        <w:rPr>
          <w:sz w:val="20"/>
          <w:szCs w:val="20"/>
          <w:color w:val="auto"/>
        </w:rPr>
      </w:pPr>
    </w:p>
    <w:p>
      <w:pPr>
        <w:jc w:val="both"/>
        <w:ind w:firstLine="1763"/>
        <w:spacing w:after="0" w:line="282" w:lineRule="auto"/>
        <w:tabs>
          <w:tab w:leader="none" w:pos="2634" w:val="left"/>
        </w:tabs>
        <w:numPr>
          <w:ilvl w:val="1"/>
          <w:numId w:val="49"/>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during any period in which the Company is, or is reasonably deemed to be, in possession of material non-public information, the Company and the Agent agree that (i) no sale of Placement Shares will take place, (ii) the Company shall not request the sale of any Placement Shares and shall cancel any effective Placement Notices instructing the Agent to make any sales and (iii) the Agent shall not be obligated to sell or offer to sell any Placement Shares.</w:t>
      </w:r>
    </w:p>
    <w:p>
      <w:pPr>
        <w:spacing w:after="0" w:line="161" w:lineRule="exact"/>
        <w:rPr>
          <w:rFonts w:ascii="Arial" w:cs="Arial" w:eastAsia="Arial" w:hAnsi="Arial"/>
          <w:sz w:val="18"/>
          <w:szCs w:val="18"/>
          <w:color w:val="auto"/>
        </w:rPr>
      </w:pPr>
    </w:p>
    <w:p>
      <w:pPr>
        <w:ind w:firstLine="1763"/>
        <w:spacing w:after="0" w:line="260" w:lineRule="auto"/>
        <w:tabs>
          <w:tab w:leader="none" w:pos="2623" w:val="left"/>
        </w:tabs>
        <w:numPr>
          <w:ilvl w:val="1"/>
          <w:numId w:val="49"/>
        </w:numPr>
        <w:rPr>
          <w:rFonts w:ascii="Arial" w:cs="Arial" w:eastAsia="Arial" w:hAnsi="Arial"/>
          <w:sz w:val="20"/>
          <w:szCs w:val="20"/>
          <w:color w:val="auto"/>
        </w:rPr>
      </w:pPr>
      <w:r>
        <w:rPr>
          <w:rFonts w:ascii="Arial" w:cs="Arial" w:eastAsia="Arial" w:hAnsi="Arial"/>
          <w:sz w:val="20"/>
          <w:szCs w:val="20"/>
          <w:color w:val="auto"/>
        </w:rPr>
        <w:t xml:space="preserve">While a Suspension is in effect any obligation under </w:t>
      </w:r>
      <w:r>
        <w:rPr>
          <w:rFonts w:ascii="Arial" w:cs="Arial" w:eastAsia="Arial" w:hAnsi="Arial"/>
          <w:sz w:val="20"/>
          <w:szCs w:val="20"/>
          <w:u w:val="single" w:color="auto"/>
          <w:color w:val="auto"/>
        </w:rPr>
        <w:t>Sections 7(l)</w:t>
      </w:r>
      <w:r>
        <w:rPr>
          <w:rFonts w:ascii="Arial" w:cs="Arial" w:eastAsia="Arial" w:hAnsi="Arial"/>
          <w:sz w:val="20"/>
          <w:szCs w:val="20"/>
          <w:color w:val="auto"/>
        </w:rPr>
        <w:t xml:space="preserve">, </w:t>
      </w:r>
      <w:r>
        <w:rPr>
          <w:rFonts w:ascii="Arial" w:cs="Arial" w:eastAsia="Arial" w:hAnsi="Arial"/>
          <w:sz w:val="20"/>
          <w:szCs w:val="20"/>
          <w:u w:val="single" w:color="auto"/>
          <w:color w:val="auto"/>
        </w:rPr>
        <w:t>7(m)</w:t>
      </w:r>
      <w:r>
        <w:rPr>
          <w:rFonts w:ascii="Arial" w:cs="Arial" w:eastAsia="Arial" w:hAnsi="Arial"/>
          <w:sz w:val="20"/>
          <w:szCs w:val="20"/>
          <w:color w:val="auto"/>
        </w:rPr>
        <w:t xml:space="preserve">, </w:t>
      </w:r>
      <w:r>
        <w:rPr>
          <w:rFonts w:ascii="Arial" w:cs="Arial" w:eastAsia="Arial" w:hAnsi="Arial"/>
          <w:sz w:val="20"/>
          <w:szCs w:val="20"/>
          <w:u w:val="single" w:color="auto"/>
          <w:color w:val="auto"/>
        </w:rPr>
        <w:t>7(n)</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7(o)</w:t>
      </w:r>
      <w:r>
        <w:rPr>
          <w:rFonts w:ascii="Arial" w:cs="Arial" w:eastAsia="Arial" w:hAnsi="Arial"/>
          <w:sz w:val="20"/>
          <w:szCs w:val="20"/>
          <w:color w:val="auto"/>
        </w:rPr>
        <w:t xml:space="preserve"> with respect to the delivery of certificates, opinions, or comfort letters to the Agent, shall be waived.</w:t>
      </w:r>
    </w:p>
    <w:p>
      <w:pPr>
        <w:spacing w:after="0" w:line="176" w:lineRule="exact"/>
        <w:rPr>
          <w:rFonts w:ascii="Arial" w:cs="Arial" w:eastAsia="Arial" w:hAnsi="Arial"/>
          <w:sz w:val="20"/>
          <w:szCs w:val="20"/>
          <w:color w:val="auto"/>
        </w:rPr>
      </w:pPr>
    </w:p>
    <w:p>
      <w:pPr>
        <w:ind w:left="1680" w:hanging="795"/>
        <w:spacing w:after="0"/>
        <w:tabs>
          <w:tab w:leader="none" w:pos="1680"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Settlement and Delivery of the Placement Shares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763"/>
        <w:spacing w:after="0" w:line="274" w:lineRule="auto"/>
        <w:tabs>
          <w:tab w:leader="none" w:pos="2623" w:val="left"/>
        </w:tabs>
        <w:numPr>
          <w:ilvl w:val="1"/>
          <w:numId w:val="50"/>
        </w:numPr>
        <w:rPr>
          <w:rFonts w:ascii="Arial" w:cs="Arial" w:eastAsia="Arial" w:hAnsi="Arial"/>
          <w:sz w:val="18"/>
          <w:szCs w:val="18"/>
          <w:color w:val="auto"/>
        </w:rPr>
      </w:pPr>
      <w:r>
        <w:rPr>
          <w:rFonts w:ascii="Arial" w:cs="Arial" w:eastAsia="Arial" w:hAnsi="Arial"/>
          <w:sz w:val="18"/>
          <w:szCs w:val="18"/>
          <w:color w:val="auto"/>
        </w:rPr>
        <w:t>Unless otherwise specified in the applicable Placement Notice, settlement for sales of Placement Shares will occur on the second Trading Day (or such earlier day as is industry practice or as is required for regular-way trading) following the date on which such sales are made (each, a “</w:t>
      </w:r>
      <w:r>
        <w:rPr>
          <w:rFonts w:ascii="Arial" w:cs="Arial" w:eastAsia="Arial" w:hAnsi="Arial"/>
          <w:sz w:val="18"/>
          <w:szCs w:val="18"/>
          <w:b w:val="1"/>
          <w:bCs w:val="1"/>
          <w:u w:val="single" w:color="auto"/>
          <w:color w:val="auto"/>
        </w:rPr>
        <w:t>Settlement Date</w:t>
      </w:r>
      <w:r>
        <w:rPr>
          <w:rFonts w:ascii="Arial" w:cs="Arial" w:eastAsia="Arial" w:hAnsi="Arial"/>
          <w:sz w:val="18"/>
          <w:szCs w:val="18"/>
          <w:color w:val="auto"/>
        </w:rPr>
        <w:t>”). The amount of proceeds to be delivered to the Company on a Settlement Date against receipt of the Placement Shares sold (the “</w:t>
      </w:r>
      <w:r>
        <w:rPr>
          <w:rFonts w:ascii="Arial" w:cs="Arial" w:eastAsia="Arial" w:hAnsi="Arial"/>
          <w:sz w:val="18"/>
          <w:szCs w:val="18"/>
          <w:b w:val="1"/>
          <w:bCs w:val="1"/>
          <w:u w:val="single" w:color="auto"/>
          <w:color w:val="auto"/>
        </w:rPr>
        <w:t>Net Proceeds</w:t>
      </w:r>
      <w:r>
        <w:rPr>
          <w:rFonts w:ascii="Arial" w:cs="Arial" w:eastAsia="Arial" w:hAnsi="Arial"/>
          <w:sz w:val="18"/>
          <w:szCs w:val="18"/>
          <w:color w:val="auto"/>
        </w:rPr>
        <w:t xml:space="preserve">”) will be equal to the aggregate gross sales price received by the Agent at which such Placement Shares were sold, after deduction of (i) the Agent’s commission, discount or other compensation for such sales payable by the Company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(ii) any other amounts due and payable by the Company to the Agent hereunder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7(g)</w:t>
      </w:r>
      <w:r>
        <w:rPr>
          <w:rFonts w:ascii="Arial" w:cs="Arial" w:eastAsia="Arial" w:hAnsi="Arial"/>
          <w:sz w:val="18"/>
          <w:szCs w:val="18"/>
          <w:color w:val="auto"/>
        </w:rPr>
        <w:t xml:space="preserve"> hereof and (iii) any transaction fees imposed by any governmental or self-regulatory organization in respect of such sales.</w:t>
      </w:r>
    </w:p>
    <w:p>
      <w:pPr>
        <w:spacing w:after="0" w:line="169" w:lineRule="exact"/>
        <w:rPr>
          <w:rFonts w:ascii="Arial" w:cs="Arial" w:eastAsia="Arial" w:hAnsi="Arial"/>
          <w:sz w:val="18"/>
          <w:szCs w:val="18"/>
          <w:color w:val="auto"/>
        </w:rPr>
      </w:pPr>
    </w:p>
    <w:p>
      <w:pPr>
        <w:jc w:val="both"/>
        <w:ind w:firstLine="1763"/>
        <w:spacing w:after="0" w:line="305" w:lineRule="auto"/>
        <w:tabs>
          <w:tab w:leader="none" w:pos="2634" w:val="left"/>
        </w:tabs>
        <w:numPr>
          <w:ilvl w:val="1"/>
          <w:numId w:val="50"/>
        </w:numPr>
        <w:rPr>
          <w:rFonts w:ascii="Arial" w:cs="Arial" w:eastAsia="Arial" w:hAnsi="Arial"/>
          <w:sz w:val="16"/>
          <w:szCs w:val="16"/>
          <w:color w:val="auto"/>
        </w:rPr>
      </w:pPr>
      <w:r>
        <w:rPr>
          <w:rFonts w:ascii="Arial" w:cs="Arial" w:eastAsia="Arial" w:hAnsi="Arial"/>
          <w:sz w:val="16"/>
          <w:szCs w:val="16"/>
          <w:color w:val="auto"/>
        </w:rPr>
        <w:t>On or before each Settlement Date, the Company will issue the Placement Shares being sold on such date and will, or will cause its transfer agent to, electronically transfer such Placement Shares by crediting the Agent’s or its designee’s account (provided the Agent shall have given the Company written notice of such designee prior to the Settlement Date) at The Depository Trust Company through its Deposit and Withdrawal at Custodian System (“</w:t>
      </w:r>
      <w:r>
        <w:rPr>
          <w:rFonts w:ascii="Arial" w:cs="Arial" w:eastAsia="Arial" w:hAnsi="Arial"/>
          <w:sz w:val="16"/>
          <w:szCs w:val="16"/>
          <w:b w:val="1"/>
          <w:bCs w:val="1"/>
          <w:u w:val="single" w:color="auto"/>
          <w:color w:val="auto"/>
        </w:rPr>
        <w:t>DWAC</w:t>
      </w:r>
      <w:r>
        <w:rPr>
          <w:rFonts w:ascii="Arial" w:cs="Arial" w:eastAsia="Arial" w:hAnsi="Arial"/>
          <w:sz w:val="16"/>
          <w:szCs w:val="16"/>
          <w:color w:val="auto"/>
        </w:rPr>
        <w:t xml:space="preserve">”) or by such other means of delivery as may be mutually agreed upon by the parties hereto, which in all cases shall be duly authorized, freely tradeable, transferable, registered Shares in good deliverable form. On each Settlement Date, the Agent will deliver the related Net Proceeds in same day funds to an account designated by the Company on or prior to the Settlement Date. The Agent shall be responsible for providing DWAC instructions or other instructions for delivery by other means with regard to the transfer of the Placement Shares being sold. In addition to and in no way limiting the rights and obligations set forth in </w:t>
      </w:r>
      <w:r>
        <w:rPr>
          <w:rFonts w:ascii="Arial" w:cs="Arial" w:eastAsia="Arial" w:hAnsi="Arial"/>
          <w:sz w:val="16"/>
          <w:szCs w:val="16"/>
          <w:u w:val="single" w:color="auto"/>
          <w:color w:val="auto"/>
        </w:rPr>
        <w:t>Section 9(a)</w:t>
      </w:r>
      <w:r>
        <w:rPr>
          <w:rFonts w:ascii="Arial" w:cs="Arial" w:eastAsia="Arial" w:hAnsi="Arial"/>
          <w:sz w:val="16"/>
          <w:szCs w:val="16"/>
          <w:color w:val="auto"/>
        </w:rPr>
        <w:t xml:space="preserve"> hereto, the Company agrees that if the Company or its transfer agent (if applicable), defaults in its obligation to deliver duly authorized, freely tradeable, transferable, registered Placement Shares in good deliverable form by 2:30 P.M., New York City time, on a Settlement Date (other than as a result of a failure by the Agent to provide instructions for delivery), and as a result the Agent cancels such trade, the Company will (i) take all necessary action to cause the full amount of any Net Proceeds that were delivered to the Company’s account with respect to such settlement, together with any costs incurred by the Agent and/or its clearing firm in connection with recovering such Net Proceeds, to be immediately returned to the Agent or its clearing firm no later than 5:00 P.M., New York City time, on such Settlement Date, by wire transfer of immediately available funds to an account designated by the Agent or its clearing firm, (ii) indemnify and hold the Agent and its clearing firm harmless against any reasonably incurred out-of-pocket loss, claim, damage, or expense (including reasonable legal fees and expenses), arising out of or in connection with such default by the Company or its transfer agent (if applicable) and (iii) pay to the Agent any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0" w:name="page51"/>
    <w:bookmarkEnd w:id="50"/>
    <w:p>
      <w:pPr>
        <w:jc w:val="both"/>
        <w:spacing w:after="0" w:line="244" w:lineRule="auto"/>
        <w:rPr>
          <w:sz w:val="20"/>
          <w:szCs w:val="20"/>
          <w:color w:val="auto"/>
        </w:rPr>
      </w:pPr>
      <w:r>
        <w:rPr>
          <w:rFonts w:ascii="Arial" w:cs="Arial" w:eastAsia="Arial" w:hAnsi="Arial"/>
          <w:sz w:val="20"/>
          <w:szCs w:val="20"/>
          <w:color w:val="auto"/>
        </w:rPr>
        <w:t>commission, discount or other compensation to which it would otherwise have been entitled absent such default. Certificates for the Placement Shares, if any, shall be in such denominations and registered in such names as the Agent may request in writing one Business Day (as defined below) before the applicable Settlement Date. Certificates for the Placement Shares, if any, will be made available by the Company for examination and packaging by the Agent in New York City not later than 12:00 P.M., New York City time, on the Business Day prior to the applicable Settlement Date.</w:t>
      </w:r>
    </w:p>
    <w:p>
      <w:pPr>
        <w:spacing w:after="0" w:line="195" w:lineRule="exact"/>
        <w:rPr>
          <w:sz w:val="20"/>
          <w:szCs w:val="20"/>
          <w:color w:val="auto"/>
        </w:rPr>
      </w:pPr>
    </w:p>
    <w:p>
      <w:pPr>
        <w:jc w:val="both"/>
        <w:ind w:firstLine="1763"/>
        <w:spacing w:after="0" w:line="254" w:lineRule="auto"/>
        <w:tabs>
          <w:tab w:leader="none" w:pos="2623" w:val="left"/>
        </w:tabs>
        <w:numPr>
          <w:ilvl w:val="1"/>
          <w:numId w:val="51"/>
        </w:numPr>
        <w:rPr>
          <w:rFonts w:ascii="Arial" w:cs="Arial" w:eastAsia="Arial" w:hAnsi="Arial"/>
          <w:sz w:val="19"/>
          <w:szCs w:val="19"/>
          <w:color w:val="auto"/>
        </w:rPr>
      </w:pPr>
      <w:r>
        <w:rPr>
          <w:rFonts w:ascii="Arial" w:cs="Arial" w:eastAsia="Arial" w:hAnsi="Arial"/>
          <w:sz w:val="19"/>
          <w:szCs w:val="19"/>
          <w:color w:val="auto"/>
        </w:rPr>
        <w:t xml:space="preserve">Under no circumstances shall the Company cause or request the offer or sale of any Placement Shares if, after giving effect to the sale of such Placement Shares, the aggregate number or gross sales proceeds of Placement Shares sold pursuant to this Agreement would exceed the lesser of: (i) the number or dollar amount of Shares registered pursuant to, and available for offer and sale under, the Registration Statement pursuant to which the offering of Placement Shares is being made, (ii) the number of authorized but unissued Shares of the Company (less Shares issuable upon exercise, conversion or exchange of any outstanding securities of the Company or otherwise reserved from the Company’s authorized capital), (iii) the number or dollar amount of Shares permitted to be offered and sold by the Company under Form F-3 (including General Instruction I.B.6. thereof, if such instruction is applicable), (iv) the number or dollar amount of Shares the Company’s board of directors or a duly authorized committee thereof is authorized to issue and sell from time to time, and notified to the Agent in writing, or (v) the dollar amount of Shares for which the Company has filed the Prospectus Supplement. Under no circumstances shall the Company cause or request the offer or sale of any Placement Shares pursuant to this Agreement at a price lower than the minimum price authorized from time to time by the Company’s board of directors or a duly authorized committee thereof, and notified to the Agent in writing. Notwithstanding anything to the contrary contained herein, the parties hereto acknowledge and agree that compliance with the limitations set forth in this </w:t>
      </w:r>
      <w:r>
        <w:rPr>
          <w:rFonts w:ascii="Arial" w:cs="Arial" w:eastAsia="Arial" w:hAnsi="Arial"/>
          <w:sz w:val="19"/>
          <w:szCs w:val="19"/>
          <w:u w:val="single" w:color="auto"/>
          <w:color w:val="auto"/>
        </w:rPr>
        <w:t>Section 5(c)</w:t>
      </w:r>
      <w:r>
        <w:rPr>
          <w:rFonts w:ascii="Arial" w:cs="Arial" w:eastAsia="Arial" w:hAnsi="Arial"/>
          <w:sz w:val="19"/>
          <w:szCs w:val="19"/>
          <w:color w:val="auto"/>
        </w:rPr>
        <w:t xml:space="preserve"> on the number or dollar amount of Placement Shares that may be issued and sold under this Agreement from time to time shall be the sole responsibility of the Company, and that the Agent shall have no obligation in connection with such compliance.</w:t>
      </w:r>
    </w:p>
    <w:p>
      <w:pPr>
        <w:spacing w:after="0" w:line="191" w:lineRule="exact"/>
        <w:rPr>
          <w:rFonts w:ascii="Arial" w:cs="Arial" w:eastAsia="Arial" w:hAnsi="Arial"/>
          <w:sz w:val="19"/>
          <w:szCs w:val="19"/>
          <w:color w:val="auto"/>
        </w:rPr>
      </w:pPr>
    </w:p>
    <w:p>
      <w:pPr>
        <w:jc w:val="both"/>
        <w:ind w:firstLine="1763"/>
        <w:spacing w:after="0" w:line="272" w:lineRule="auto"/>
        <w:tabs>
          <w:tab w:leader="none" w:pos="2634"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the agent undertakes that it will not offer in a negotiated transaction any Placement Shares to offerees in the State of Israel, other than to investors listed in the First Addendum to the Israeli Securities Law, 5728-1968 (the “</w:t>
      </w:r>
      <w:r>
        <w:rPr>
          <w:rFonts w:ascii="Arial" w:cs="Arial" w:eastAsia="Arial" w:hAnsi="Arial"/>
          <w:sz w:val="18"/>
          <w:szCs w:val="18"/>
          <w:b w:val="1"/>
          <w:bCs w:val="1"/>
          <w:u w:val="single" w:color="auto"/>
          <w:color w:val="auto"/>
        </w:rPr>
        <w:t>Addendum</w:t>
      </w:r>
      <w:r>
        <w:rPr>
          <w:rFonts w:ascii="Arial" w:cs="Arial" w:eastAsia="Arial" w:hAnsi="Arial"/>
          <w:sz w:val="18"/>
          <w:szCs w:val="18"/>
          <w:color w:val="auto"/>
        </w:rPr>
        <w:t>”) and subject to the terms thereof; provided further that as a prerequisite to an offer in a negotiated transaction of Placement Shares to such Israeli investors, each of them shall be required to submit written confirmation to the Agent and the Company that such investor (a) (x) falls within the scope of the Addendum, (y) is aware of the implications of falling within the scope of the Addendum and that the offer of the Placement Shares has not been approved by the Israel Securities Authority, and (z) agrees to it; and (b) will be acquiring the Placement Shares being offered to it for investment for its own account or, if applicable, for investment for clients who fall within the scope of the Addendum. In addition, the Agent will not engage in any form of solicitation, advertising or any other action which constitutes an offer to the public under the Israeli Securities Law in connection with the transactions contemplated hereby.</w:t>
      </w:r>
    </w:p>
    <w:p>
      <w:pPr>
        <w:spacing w:after="0" w:line="171" w:lineRule="exact"/>
        <w:rPr>
          <w:rFonts w:ascii="Arial" w:cs="Arial" w:eastAsia="Arial" w:hAnsi="Arial"/>
          <w:sz w:val="18"/>
          <w:szCs w:val="18"/>
          <w:color w:val="auto"/>
        </w:rPr>
      </w:pPr>
    </w:p>
    <w:p>
      <w:pPr>
        <w:jc w:val="both"/>
        <w:ind w:firstLine="885"/>
        <w:spacing w:after="0" w:line="260" w:lineRule="auto"/>
        <w:tabs>
          <w:tab w:leader="none" w:pos="1674"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the Company</w:t>
      </w:r>
      <w:r>
        <w:rPr>
          <w:rFonts w:ascii="Arial" w:cs="Arial" w:eastAsia="Arial" w:hAnsi="Arial"/>
          <w:sz w:val="19"/>
          <w:szCs w:val="19"/>
          <w:color w:val="auto"/>
        </w:rPr>
        <w:t xml:space="preserve">. The Company represents and warrants to, and agrees with, the Agent that, except as set forth in the Registration Statement or the Prospectus, as of the date of this Agreement, and (unless such representation or warranty is made expressly as of the date hereof) as of (i) each Representation Date (as defined in </w:t>
      </w:r>
      <w:r>
        <w:rPr>
          <w:rFonts w:ascii="Arial" w:cs="Arial" w:eastAsia="Arial" w:hAnsi="Arial"/>
          <w:sz w:val="19"/>
          <w:szCs w:val="19"/>
          <w:u w:val="single" w:color="auto"/>
          <w:color w:val="auto"/>
        </w:rPr>
        <w:t>Section 7(m)</w:t>
      </w:r>
      <w:r>
        <w:rPr>
          <w:rFonts w:ascii="Arial" w:cs="Arial" w:eastAsia="Arial" w:hAnsi="Arial"/>
          <w:sz w:val="19"/>
          <w:szCs w:val="19"/>
          <w:color w:val="auto"/>
        </w:rPr>
        <w:t>), (ii) each date on which a Placement Notice is given, (iii) the date and time of each sale of any Placement Shares pursuant to this Agreement and (iv) each Settlement Date (each such time or date referred to in clauses (i) through (iv), an “</w:t>
      </w:r>
      <w:r>
        <w:rPr>
          <w:rFonts w:ascii="Arial" w:cs="Arial" w:eastAsia="Arial" w:hAnsi="Arial"/>
          <w:sz w:val="19"/>
          <w:szCs w:val="19"/>
          <w:b w:val="1"/>
          <w:bCs w:val="1"/>
          <w:u w:val="single" w:color="auto"/>
          <w:color w:val="auto"/>
        </w:rPr>
        <w:t>Applicable Time</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jc w:val="both"/>
        <w:ind w:firstLine="1763"/>
        <w:spacing w:after="0" w:line="244" w:lineRule="auto"/>
        <w:tabs>
          <w:tab w:leader="none" w:pos="2623" w:val="left"/>
        </w:tabs>
        <w:numPr>
          <w:ilvl w:val="1"/>
          <w:numId w:val="52"/>
        </w:numPr>
        <w:rPr>
          <w:rFonts w:ascii="Arial" w:cs="Arial" w:eastAsia="Arial" w:hAnsi="Arial"/>
          <w:sz w:val="20"/>
          <w:szCs w:val="20"/>
          <w:color w:val="auto"/>
        </w:rPr>
      </w:pPr>
      <w:r>
        <w:rPr>
          <w:rFonts w:ascii="Arial" w:cs="Arial" w:eastAsia="Arial" w:hAnsi="Arial"/>
          <w:sz w:val="20"/>
          <w:szCs w:val="20"/>
          <w:color w:val="auto"/>
        </w:rPr>
        <w:t>The Company and the transactions contemplated by this Agreement meet the requirements for and comply with the applicable conditions for the use of Form F-3 (including General Instructions I.A and I.B) under the Securities Act. The Company is a “foreign private issuer,” as such term is defined in Rule 3b-4 under the Exchange Act. The Registration Statement has been filed with and has been declared effective by the Commission under the Securities Act. At the time the Registration Statement originally became effective and at the time the Company’s Annual Report on Form 20-F for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51" w:name="page52"/>
    <w:bookmarkEnd w:id="51"/>
    <w:p>
      <w:pPr>
        <w:jc w:val="both"/>
        <w:spacing w:after="0" w:line="270" w:lineRule="auto"/>
        <w:rPr>
          <w:sz w:val="20"/>
          <w:szCs w:val="20"/>
          <w:color w:val="auto"/>
        </w:rPr>
      </w:pPr>
      <w:r>
        <w:rPr>
          <w:rFonts w:ascii="Arial" w:cs="Arial" w:eastAsia="Arial" w:hAnsi="Arial"/>
          <w:sz w:val="18"/>
          <w:szCs w:val="18"/>
          <w:color w:val="auto"/>
        </w:rPr>
        <w:t>year ended December 31, 2017, was filed with the Commission, the Company met the then-applicable requirements for use of Form F-3 under the Securities Act. The Registration Statement meets, and the offering and sale of Placement Shares as contemplated hereby comply in all material respects with, the requirements of Rule 415(a)(1)(x) under the Securities Act. The Agent is named as the agent engaged by the Company in the section entitled “Plan of Distribution” in the Prospectus Supplement. The Company has not received, and has no notice from the Commission of, any notice pursuant to Rule 401(g)(1) under the Securities Act objecting to the use of the shelf registration statement form. No stop order of the Commission preventing or suspending the use of the base prospectus, the Prospectus Supplement or the Prospectus, or the effectiveness of the Registration Statement, has been issued, and no proceedings for such purpose are pending before or, to the knowledge of the Company, threatened by the Commission. At the time of the initial filing of the Registration Statement, the Company paid the required Commission filing fees relating to the securities covered by the Registration Statement, including the Shares that may be sold pursuant to this Agreement, in accordance with Rule 457(o) under the Securities Act. Copies of the Registration Statement, the Prospectus, any such amendments or supplements to any of the foregoing and all Incorporated Documents that were filed with the Commission on or prior to the date of this Agreement have been delivered, or are available through EDGAR, to the Agent and its counsel.</w:t>
      </w:r>
    </w:p>
    <w:p>
      <w:pPr>
        <w:spacing w:after="0" w:line="177" w:lineRule="exact"/>
        <w:rPr>
          <w:sz w:val="20"/>
          <w:szCs w:val="20"/>
          <w:color w:val="auto"/>
        </w:rPr>
      </w:pPr>
    </w:p>
    <w:p>
      <w:pPr>
        <w:jc w:val="both"/>
        <w:ind w:firstLine="1763"/>
        <w:spacing w:after="0" w:line="268" w:lineRule="auto"/>
        <w:tabs>
          <w:tab w:leader="none" w:pos="2634"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the Registration Statement and any post-effective amendment thereto, at the time it became or becomes effective, at each deemed effective date with respect to the Agent pursuant to Rule 430B(f)(2) under the Securities Act and as of each Applicable Time, complied, complies and will comply in all material respects with the requirements of the Securities Act and did not, does not and will not contain any untrue statement of a material fact or omit to state a material fact required to be stated therein or necessary to make the statements therein not misleading, except that the representations and warranties set forth in this sentence do not apply to Agent’s Information (as defined below). The Prospectus and any amendment or supplement thereto, when so filed with the Commission under Rule 424(b) under the Securities Act, complied, complies and as of each Applicable Time will comply in all material respects with the requirements of the Securities Act, and each Prospectus Supplement, Prospectus or issuer free writing prospectus (or any amendments or supplements to any of the foregoing) furnished to the Agent for use in connection with the offering of the Placement Shares was identical to the electronically transmitted copies thereof filed with the Commission pursuant to EDGAR, except to the extent permitted by Regulation S-T. Neither the Prospectus nor any amendment or supplement thereto, as of its date and as of each Applicable Time, included, includes or will include an untrue statement of a material fact or omitted, omits or will omit to state a material fact necessary in order to make the statements therein, in the light of the circumstances under which they were made, not misleading, except that the representations and warranties set forth in this sentence do not apply to Agent’s Information. Each Incorporated Document heretofore filed, when it was filed (or, if any amendment with respect to any such document was filed, when such amendment was filed), conformed in all material respects with the requirements of the Exchange Act and were filed on a timely basis with the Commission, and any further Incorporated Documents so filed and incorporated after the date of this Agreement will be filed on a timely basis and, when so filed, will conform in all material respects with the requirements of the Exchange Act; no such Incorporated Document when it was filed (or, if an amendment with respect to any such document was filed, when such amendment was filed), contained an untrue statement of a material fact or omitted to state a material fact required to be stated therein or necessary in order to make the statements therein, in the light of the circumstances under which they were made, not misleading; and no such Incorporated Document, when it is filed, will contain an untrue statement of a material fact or will omit to state a material fact required to be stated therein or necessary in order to make the statements therein, in light of the circumstances under which they were made, not misleading. The foregoing shall not apply to statements in, or omissions from, any such document made in reliance upon, and in conformity with, information furnished to the Company by the Agent specifically for use in the preparation thereof.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52" w:name="page53"/>
    <w:bookmarkEnd w:id="52"/>
    <w:p>
      <w:pPr>
        <w:jc w:val="both"/>
        <w:ind w:firstLine="1763"/>
        <w:spacing w:after="0" w:line="246" w:lineRule="auto"/>
        <w:tabs>
          <w:tab w:leader="none" w:pos="2623" w:val="left"/>
        </w:tabs>
        <w:numPr>
          <w:ilvl w:val="0"/>
          <w:numId w:val="54"/>
        </w:numPr>
        <w:rPr>
          <w:rFonts w:ascii="Arial" w:cs="Arial" w:eastAsia="Arial" w:hAnsi="Arial"/>
          <w:sz w:val="20"/>
          <w:szCs w:val="20"/>
          <w:color w:val="auto"/>
        </w:rPr>
      </w:pPr>
      <w:r>
        <w:rPr>
          <w:rFonts w:ascii="Arial" w:cs="Arial" w:eastAsia="Arial" w:hAnsi="Arial"/>
          <w:sz w:val="20"/>
          <w:szCs w:val="20"/>
          <w:color w:val="auto"/>
        </w:rPr>
        <w:t>(i) At the time of filing the Registration Statement and (ii) at the time of the execution of this Agreement (with such date being used as the determination date for purposes of this clause (ii)), the Company was not and is not an “ineligible issuer” (as defined in Rule 405 of the Securities Act (“</w:t>
      </w:r>
      <w:r>
        <w:rPr>
          <w:rFonts w:ascii="Arial" w:cs="Arial" w:eastAsia="Arial" w:hAnsi="Arial"/>
          <w:sz w:val="20"/>
          <w:szCs w:val="20"/>
          <w:b w:val="1"/>
          <w:bCs w:val="1"/>
          <w:u w:val="single" w:color="auto"/>
          <w:color w:val="auto"/>
        </w:rPr>
        <w:t>Rule 405</w:t>
      </w:r>
      <w:r>
        <w:rPr>
          <w:rFonts w:ascii="Arial" w:cs="Arial" w:eastAsia="Arial" w:hAnsi="Arial"/>
          <w:sz w:val="20"/>
          <w:szCs w:val="20"/>
          <w:color w:val="auto"/>
        </w:rPr>
        <w:t>”)), without taking account of any determination by the Commission pursuant to Rule 405 that it is not necessary that the Company be considered an ineligible issuer.</w:t>
      </w:r>
    </w:p>
    <w:p>
      <w:pPr>
        <w:spacing w:after="0" w:line="191" w:lineRule="exact"/>
        <w:rPr>
          <w:rFonts w:ascii="Arial" w:cs="Arial" w:eastAsia="Arial" w:hAnsi="Arial"/>
          <w:sz w:val="20"/>
          <w:szCs w:val="20"/>
          <w:color w:val="auto"/>
        </w:rPr>
      </w:pPr>
    </w:p>
    <w:p>
      <w:pPr>
        <w:ind w:firstLine="1763"/>
        <w:spacing w:after="0" w:line="260" w:lineRule="auto"/>
        <w:tabs>
          <w:tab w:leader="none" w:pos="2634" w:val="left"/>
        </w:tabs>
        <w:numPr>
          <w:ilvl w:val="0"/>
          <w:numId w:val="54"/>
        </w:numPr>
        <w:rPr>
          <w:rFonts w:ascii="Arial" w:cs="Arial" w:eastAsia="Arial" w:hAnsi="Arial"/>
          <w:sz w:val="20"/>
          <w:szCs w:val="20"/>
          <w:color w:val="auto"/>
        </w:rPr>
      </w:pPr>
      <w:r>
        <w:rPr>
          <w:rFonts w:ascii="Arial" w:cs="Arial" w:eastAsia="Arial" w:hAnsi="Arial"/>
          <w:sz w:val="20"/>
          <w:szCs w:val="20"/>
          <w:color w:val="auto"/>
        </w:rPr>
        <w:t>As of the date hereof, the Company is, and since May 21, 2013 has been, an “emerging growth company,” as defined in Section 2(a) of the Securities Act (an “</w:t>
      </w:r>
      <w:r>
        <w:rPr>
          <w:rFonts w:ascii="Arial" w:cs="Arial" w:eastAsia="Arial" w:hAnsi="Arial"/>
          <w:sz w:val="20"/>
          <w:szCs w:val="20"/>
          <w:b w:val="1"/>
          <w:bCs w:val="1"/>
          <w:u w:val="single" w:color="auto"/>
          <w:color w:val="auto"/>
        </w:rPr>
        <w:t>Emerging Growth Company</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1763"/>
        <w:spacing w:after="0" w:line="278" w:lineRule="auto"/>
        <w:tabs>
          <w:tab w:leader="none" w:pos="2623"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issuer free writing prospectus, if any, as of its issue date and as of each Applicable Time,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Each issuer free writing prospectus that the Company has filed, or is required to file, pursuant to Rule 433 or that was prepared by or on behalf of or used by the Company complies or will comply in all material respects with the requirements of the Securities Act.</w:t>
      </w:r>
    </w:p>
    <w:p>
      <w:pPr>
        <w:spacing w:after="0" w:line="165" w:lineRule="exact"/>
        <w:rPr>
          <w:rFonts w:ascii="Arial" w:cs="Arial" w:eastAsia="Arial" w:hAnsi="Arial"/>
          <w:sz w:val="18"/>
          <w:szCs w:val="18"/>
          <w:color w:val="auto"/>
        </w:rPr>
      </w:pPr>
    </w:p>
    <w:p>
      <w:pPr>
        <w:jc w:val="both"/>
        <w:ind w:firstLine="1763"/>
        <w:spacing w:after="0" w:line="246" w:lineRule="auto"/>
        <w:tabs>
          <w:tab w:leader="none" w:pos="2601"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Company has not distributed and, prior to the later to occur of each Settlement Date and completion of the Agent’s distribution of the Placement Shares under this Agreement, will not distribute any offering material in connection with the offering and sale of the Placement Shares other than the Registration Statement, the Prospectus or any Permitted Free Writing Prospectus (as defined below).</w:t>
      </w:r>
    </w:p>
    <w:p>
      <w:pPr>
        <w:spacing w:after="0" w:line="191" w:lineRule="exact"/>
        <w:rPr>
          <w:rFonts w:ascii="Arial" w:cs="Arial" w:eastAsia="Arial" w:hAnsi="Arial"/>
          <w:sz w:val="20"/>
          <w:szCs w:val="20"/>
          <w:color w:val="auto"/>
        </w:rPr>
      </w:pPr>
    </w:p>
    <w:p>
      <w:pPr>
        <w:jc w:val="both"/>
        <w:ind w:right="20" w:firstLine="1763"/>
        <w:spacing w:after="0" w:line="250" w:lineRule="auto"/>
        <w:tabs>
          <w:tab w:leader="none" w:pos="2634"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spacing w:after="0" w:line="186" w:lineRule="exact"/>
        <w:rPr>
          <w:rFonts w:ascii="Arial" w:cs="Arial" w:eastAsia="Arial" w:hAnsi="Arial"/>
          <w:sz w:val="20"/>
          <w:szCs w:val="20"/>
          <w:color w:val="auto"/>
        </w:rPr>
      </w:pPr>
    </w:p>
    <w:p>
      <w:pPr>
        <w:jc w:val="both"/>
        <w:ind w:firstLine="1763"/>
        <w:spacing w:after="0" w:line="258" w:lineRule="auto"/>
        <w:tabs>
          <w:tab w:leader="none" w:pos="2634"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Company is subject to and in compliance in all material respects with the reporting requirements of Section 13 or Section 15(d) of the Exchange Act. The Shares are registered pursuant to Section 12(b) of the Exchange Act and are listed on Nasdaq, and the Company has taken no action designed to, or reasonably likely to have the effect of, terminating the registration of the Shares under the Exchange Act or delisting the Shares from Nasdaq, nor has the Company received any notification that the Commission or Nasdaq is contemplating terminating such registration or listing. The Company is in compliance with the current listing standards of Nasdaq. The Company will file a Notification of Listing of Additional Shares with Nasdaq with respect to the Placement Shares prior to issuance by the Company of the first Placement Notice.</w:t>
      </w:r>
    </w:p>
    <w:p>
      <w:pPr>
        <w:spacing w:after="0" w:line="179" w:lineRule="exact"/>
        <w:rPr>
          <w:rFonts w:ascii="Arial" w:cs="Arial" w:eastAsia="Arial" w:hAnsi="Arial"/>
          <w:sz w:val="19"/>
          <w:szCs w:val="19"/>
          <w:color w:val="auto"/>
        </w:rPr>
      </w:pPr>
    </w:p>
    <w:p>
      <w:pPr>
        <w:jc w:val="both"/>
        <w:ind w:firstLine="1763"/>
        <w:spacing w:after="0" w:line="250" w:lineRule="auto"/>
        <w:tabs>
          <w:tab w:leader="none" w:pos="2590" w:val="left"/>
        </w:tabs>
        <w:numPr>
          <w:ilvl w:val="0"/>
          <w:numId w:val="54"/>
        </w:numPr>
        <w:rPr>
          <w:rFonts w:ascii="Arial" w:cs="Arial" w:eastAsia="Arial" w:hAnsi="Arial"/>
          <w:sz w:val="20"/>
          <w:szCs w:val="20"/>
          <w:color w:val="auto"/>
        </w:rPr>
      </w:pPr>
      <w:r>
        <w:rPr>
          <w:rFonts w:ascii="Arial" w:cs="Arial" w:eastAsia="Arial" w:hAnsi="Arial"/>
          <w:sz w:val="20"/>
          <w:szCs w:val="20"/>
          <w:color w:val="auto"/>
        </w:rPr>
        <w:t>Except for the Agent, there is no broker, finder or other party that is entitled to receive from the Company or any of its Subsidiaries (as defined below) any brokerage or finder’s fee or other fee or commission as a result of any transactions contemplated by this Agreement.</w:t>
      </w:r>
    </w:p>
    <w:p>
      <w:pPr>
        <w:spacing w:after="0" w:line="186" w:lineRule="exact"/>
        <w:rPr>
          <w:rFonts w:ascii="Arial" w:cs="Arial" w:eastAsia="Arial" w:hAnsi="Arial"/>
          <w:sz w:val="20"/>
          <w:szCs w:val="20"/>
          <w:color w:val="auto"/>
        </w:rPr>
      </w:pPr>
    </w:p>
    <w:p>
      <w:pPr>
        <w:jc w:val="both"/>
        <w:ind w:firstLine="1763"/>
        <w:spacing w:after="0" w:line="276" w:lineRule="auto"/>
        <w:tabs>
          <w:tab w:leader="none" w:pos="259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and each of its Subsidiaries are duly organized, validly existing as a corporation and in good standing under the laws of their respective jurisdictions of organization. The Company and each of its Subsidiaries are duly licensed or qualified as a foreign corporation for transaction of business and in good standing (or the non-U.S. equivalent thereof)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and the Prospectus, except where the failure to be so qualified 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53" w:name="page54"/>
    <w:bookmarkEnd w:id="53"/>
    <w:p>
      <w:pPr>
        <w:jc w:val="both"/>
        <w:spacing w:after="0" w:line="260" w:lineRule="auto"/>
        <w:rPr>
          <w:sz w:val="20"/>
          <w:szCs w:val="20"/>
          <w:color w:val="auto"/>
        </w:rPr>
      </w:pPr>
      <w:r>
        <w:rPr>
          <w:rFonts w:ascii="Arial" w:cs="Arial" w:eastAsia="Arial" w:hAnsi="Arial"/>
          <w:sz w:val="19"/>
          <w:szCs w:val="19"/>
          <w:color w:val="auto"/>
        </w:rPr>
        <w:t>in good standing or have such power or authority would not, individually or in the aggregate, have a material adverse effect or would reasonably be expected to have a material adverse effect on or affecting the assets, business, operations, earnings, properties, condition (financial or otherwise), prospects, shareholders’ equity or results of operations of the Company and the Subsidiaries taken as a whole, or prevent or materially interfere with consummation of the transactions contemplated hereby (a “</w:t>
      </w:r>
      <w:r>
        <w:rPr>
          <w:rFonts w:ascii="Arial" w:cs="Arial" w:eastAsia="Arial" w:hAnsi="Arial"/>
          <w:sz w:val="19"/>
          <w:szCs w:val="19"/>
          <w:b w:val="1"/>
          <w:bCs w:val="1"/>
          <w:u w:val="single" w:color="auto"/>
          <w:color w:val="auto"/>
        </w:rPr>
        <w:t>Material Adverse Effect</w:t>
      </w:r>
      <w:r>
        <w:rPr>
          <w:rFonts w:ascii="Arial" w:cs="Arial" w:eastAsia="Arial" w:hAnsi="Arial"/>
          <w:sz w:val="19"/>
          <w:szCs w:val="19"/>
          <w:color w:val="auto"/>
        </w:rPr>
        <w:t>”). The Company is not designated as a “breaching company” by the Registrar of Companies of the State of Israel.</w:t>
      </w:r>
    </w:p>
    <w:p>
      <w:pPr>
        <w:spacing w:after="0" w:line="181" w:lineRule="exact"/>
        <w:rPr>
          <w:sz w:val="20"/>
          <w:szCs w:val="20"/>
          <w:color w:val="auto"/>
        </w:rPr>
      </w:pPr>
    </w:p>
    <w:p>
      <w:pPr>
        <w:jc w:val="both"/>
        <w:ind w:firstLine="1763"/>
        <w:spacing w:after="0" w:line="257" w:lineRule="auto"/>
        <w:tabs>
          <w:tab w:leader="none" w:pos="2634"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Company does not own or control, directly or indirectly, any corporation, association or other entity, other than the subsidiaries listed on Exhibit 8.1 to the Company’s most recent Annual Report on Form 20-F filed with the Commission (each, a “</w:t>
      </w:r>
      <w:r>
        <w:rPr>
          <w:rFonts w:ascii="Arial" w:cs="Arial" w:eastAsia="Arial" w:hAnsi="Arial"/>
          <w:sz w:val="19"/>
          <w:szCs w:val="19"/>
          <w:b w:val="1"/>
          <w:bCs w:val="1"/>
          <w:u w:val="single" w:color="auto"/>
          <w:color w:val="auto"/>
        </w:rPr>
        <w:t>Subsidiary</w:t>
      </w:r>
      <w:r>
        <w:rPr>
          <w:rFonts w:ascii="Arial" w:cs="Arial" w:eastAsia="Arial" w:hAnsi="Arial"/>
          <w:sz w:val="19"/>
          <w:szCs w:val="19"/>
          <w:color w:val="auto"/>
        </w:rPr>
        <w:t>”).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 No Subsidiary is prohibited or restricted, directly or indirectly, from paying dividends to the Company, from making any other distribution with respect to such Subsidiary’s equity securities, from repaying to the Company or any other Subsidiary any amounts that may from time to time become due under any loans or advances to such Subsidiary from the Company or from transferring any property or assets to the Company or to any other Subsidiary.</w:t>
      </w:r>
    </w:p>
    <w:p>
      <w:pPr>
        <w:spacing w:after="0" w:line="181" w:lineRule="exact"/>
        <w:rPr>
          <w:rFonts w:ascii="Arial" w:cs="Arial" w:eastAsia="Arial" w:hAnsi="Arial"/>
          <w:sz w:val="19"/>
          <w:szCs w:val="19"/>
          <w:color w:val="auto"/>
        </w:rPr>
      </w:pPr>
    </w:p>
    <w:p>
      <w:pPr>
        <w:jc w:val="both"/>
        <w:ind w:firstLine="1763"/>
        <w:spacing w:after="0" w:line="271" w:lineRule="auto"/>
        <w:tabs>
          <w:tab w:leader="none" w:pos="259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issued and outstanding Ordinary Shares have been validly issued, are fully paid and nonassessable and, other than as disclosed in the Registration Statement or the Prospectus, are not subject to any preemptive rights, rights of first refusal or similar rights. The Company has an authorized, issued and outstanding capitalization as set forth in the Registration Statement and the Prospectus as of the dates referred to therein (other than the grant of additional options under the Company’s existing share option plans, or changes in the number of outstanding Ordinary Shares of the Company due to the issuance of shares upon the exercise or conversion of securities exercisable for, or convertible into, Ordinary Shares outstanding on the date hereof) and such authorized capital conforms in all material respects to the description thereof set forth in the Registration Statement and the Prospectus. The description of the securities of the Company in the Registration Statement and the Prospectus is complete and accurate in all material respects. Except as disclosed in or contemplated by the Registration Statement or the Prospectus, as of the date referred to therein, the Company does not have outstanding any options to purchase, or any rights or warrants to subscribe for, or any securities or obligations convertible into, or exchangeable for, or any contracts or commitments to issue or sell, any shares of its authorized capital or other securities.</w:t>
      </w:r>
    </w:p>
    <w:p>
      <w:pPr>
        <w:spacing w:after="0" w:line="170" w:lineRule="exact"/>
        <w:rPr>
          <w:rFonts w:ascii="Arial" w:cs="Arial" w:eastAsia="Arial" w:hAnsi="Arial"/>
          <w:sz w:val="18"/>
          <w:szCs w:val="18"/>
          <w:color w:val="auto"/>
        </w:rPr>
      </w:pPr>
    </w:p>
    <w:p>
      <w:pPr>
        <w:jc w:val="both"/>
        <w:ind w:firstLine="1763"/>
        <w:spacing w:after="0" w:line="272" w:lineRule="auto"/>
        <w:tabs>
          <w:tab w:leader="none" w:pos="268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Placement Shares have been duly authorized for issuance and sale pursuant to this Agreement and, when issued and delivered by the Company against payment therefor pursuant to this Agreement, will be validly issued, fully paid and nonassessable and will confirm in all material respects to the description thereof contained in the Prospectus. The issuance and sale of the Placement Shares as contemplated hereby shall not be subject to any preemptive rights, rights of first refusal or other similar rights to subscribe for or purchase the Placement Shares. When issued and delivered by the Company against payment therefor pursuant to this Agreement, the purchasers of the Placement Shares issued and sold hereunder will acquire good, marketable and valid title to such Placement Shares, free and clear of all pledges, liens, security interests, charges, claims or encumbrances. There are no restrictions upon the voting or transfer of the Shares under the Company’s amended and restated articles of association or other organizational documents or any agreement or other instrument to which the Company is a party or otherwise filed as an exhibit to the Registration Statement.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54" w:name="page55"/>
    <w:bookmarkEnd w:id="54"/>
    <w:p>
      <w:pPr>
        <w:jc w:val="both"/>
        <w:ind w:firstLine="1763"/>
        <w:spacing w:after="0" w:line="271" w:lineRule="auto"/>
        <w:tabs>
          <w:tab w:leader="none" w:pos="263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There is no statute, regulation, contract, agreement or other document required to be described in the Registration Statement, Prospectus or in any Incorporated Document, or to be filed as an exhibit to the Registration Statement or any Incorporated Document which is not described or filed as required. The statements set forth or incorporated by reference in the Prospectus, insofar as they purport to constitute summaries of the terms of the statutes, regulations, contracts, agreements or other documents described and filed, constitute accurate summaries of the terms thereof in all material respects. The statements set forth or incorporated by reference in the Prospectus under the headings “Risk Factors,” “Item 4. Information on the Company—Collaboration Agreements,” “Item 4. Information on the Company— Other Material Agreements,” “Item 4. Information on the Company —Intellectual Property,” “Item 4. Information on the Company Government—Product Approval and Government Regulation,” “Item 8.A. Legal Proceedings,” and “Item 10—Additional Information,” insofar as such statements summarize legal matters, agreements, documents or proceedings discussed therein, are, in all material respects, accurate and fair summaries of such legal matters, agreements, documents or proceedings.</w:t>
      </w:r>
    </w:p>
    <w:p>
      <w:pPr>
        <w:spacing w:after="0" w:line="174" w:lineRule="exact"/>
        <w:rPr>
          <w:rFonts w:ascii="Arial" w:cs="Arial" w:eastAsia="Arial" w:hAnsi="Arial"/>
          <w:sz w:val="18"/>
          <w:szCs w:val="18"/>
          <w:color w:val="auto"/>
        </w:rPr>
      </w:pPr>
    </w:p>
    <w:p>
      <w:pPr>
        <w:jc w:val="both"/>
        <w:ind w:firstLine="1763"/>
        <w:spacing w:after="0" w:line="263" w:lineRule="auto"/>
        <w:tabs>
          <w:tab w:leader="none" w:pos="2634"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This Agreement has been duly and validly authorized, executed and delivered by the Company and constitutes a valid and legally binding obligation of the Company, enforceable against the Company in accordance with its terms, except as enforceability, including rights of indemnification, may be limited by bankruptcy, insolvency, fraudulent conveyance, reorganization, moratorium and other similar laws relating to or affecting creditors’ rights generally and by general principles of equity.</w:t>
      </w:r>
    </w:p>
    <w:p>
      <w:pPr>
        <w:spacing w:after="0" w:line="176" w:lineRule="exact"/>
        <w:rPr>
          <w:rFonts w:ascii="Arial" w:cs="Arial" w:eastAsia="Arial" w:hAnsi="Arial"/>
          <w:sz w:val="19"/>
          <w:szCs w:val="19"/>
          <w:color w:val="auto"/>
        </w:rPr>
      </w:pPr>
    </w:p>
    <w:p>
      <w:pPr>
        <w:jc w:val="both"/>
        <w:ind w:firstLine="1763"/>
        <w:spacing w:after="0" w:line="250" w:lineRule="auto"/>
        <w:tabs>
          <w:tab w:leader="none" w:pos="2634"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Company is not and, after giving effect to the offering and sale of the Placement Shares and the application of the proceeds thereof as described in the Prospectus, will not be an “investment company” as defined in the Investment Company Act of 1940, as amended.</w:t>
      </w:r>
    </w:p>
    <w:p>
      <w:pPr>
        <w:spacing w:after="0" w:line="186" w:lineRule="exact"/>
        <w:rPr>
          <w:rFonts w:ascii="Arial" w:cs="Arial" w:eastAsia="Arial" w:hAnsi="Arial"/>
          <w:sz w:val="20"/>
          <w:szCs w:val="20"/>
          <w:color w:val="auto"/>
        </w:rPr>
      </w:pPr>
    </w:p>
    <w:p>
      <w:pPr>
        <w:jc w:val="both"/>
        <w:ind w:firstLine="1763"/>
        <w:spacing w:after="0" w:line="243" w:lineRule="auto"/>
        <w:tabs>
          <w:tab w:leader="none" w:pos="2634" w:val="left"/>
        </w:tabs>
        <w:numPr>
          <w:ilvl w:val="0"/>
          <w:numId w:val="56"/>
        </w:numPr>
        <w:rPr>
          <w:rFonts w:ascii="Arial" w:cs="Arial" w:eastAsia="Arial" w:hAnsi="Arial"/>
          <w:sz w:val="20"/>
          <w:szCs w:val="20"/>
          <w:color w:val="auto"/>
        </w:rPr>
      </w:pPr>
      <w:r>
        <w:rPr>
          <w:rFonts w:ascii="Arial" w:cs="Arial" w:eastAsia="Arial" w:hAnsi="Arial"/>
          <w:sz w:val="20"/>
          <w:szCs w:val="20"/>
          <w:color w:val="auto"/>
        </w:rPr>
        <w:t>No consent, approval, license, permit, qualification, authorization or other order or decree of, or registration or filing with, any court or other governmental, taxing or regulatory authority or agency, is required for the Company’s execution, delivery and performance of this Agreement or consummation of the transactions contemplated hereby or by the Registration Statement and the Prospectus (including the issuance and sale of the Placement Shares hereunder), except such as have been already obtained or made or as may be required under the Securities Act, applicable state securities or Blue Sky laws, applicable rules of Nasdaq, or Rule 5110 of the Financial Industry Regulatory Authority, Inc. (“</w:t>
      </w:r>
      <w:r>
        <w:rPr>
          <w:rFonts w:ascii="Arial" w:cs="Arial" w:eastAsia="Arial" w:hAnsi="Arial"/>
          <w:sz w:val="20"/>
          <w:szCs w:val="20"/>
          <w:b w:val="1"/>
          <w:bCs w:val="1"/>
          <w:u w:val="single" w:color="auto"/>
          <w:color w:val="auto"/>
        </w:rPr>
        <w:t>FINRA</w:t>
      </w:r>
      <w:r>
        <w:rPr>
          <w:rFonts w:ascii="Arial" w:cs="Arial" w:eastAsia="Arial" w:hAnsi="Arial"/>
          <w:sz w:val="20"/>
          <w:szCs w:val="20"/>
          <w:color w:val="auto"/>
        </w:rPr>
        <w:t>”).</w:t>
      </w:r>
    </w:p>
    <w:p>
      <w:pPr>
        <w:spacing w:after="0" w:line="196" w:lineRule="exact"/>
        <w:rPr>
          <w:rFonts w:ascii="Arial" w:cs="Arial" w:eastAsia="Arial" w:hAnsi="Arial"/>
          <w:sz w:val="20"/>
          <w:szCs w:val="20"/>
          <w:color w:val="auto"/>
        </w:rPr>
      </w:pPr>
    </w:p>
    <w:p>
      <w:pPr>
        <w:jc w:val="both"/>
        <w:ind w:firstLine="1763"/>
        <w:spacing w:after="0" w:line="241" w:lineRule="auto"/>
        <w:tabs>
          <w:tab w:leader="none" w:pos="2601" w:val="left"/>
        </w:tabs>
        <w:numPr>
          <w:ilvl w:val="0"/>
          <w:numId w:val="56"/>
        </w:numPr>
        <w:rPr>
          <w:rFonts w:ascii="Arial" w:cs="Arial" w:eastAsia="Arial" w:hAnsi="Arial"/>
          <w:sz w:val="20"/>
          <w:szCs w:val="20"/>
          <w:color w:val="auto"/>
        </w:rPr>
      </w:pPr>
      <w:r>
        <w:rPr>
          <w:rFonts w:ascii="Arial" w:cs="Arial" w:eastAsia="Arial" w:hAnsi="Arial"/>
          <w:sz w:val="20"/>
          <w:szCs w:val="20"/>
          <w:color w:val="auto"/>
        </w:rPr>
        <w:t>Neither the execution and delivery by the Company of, nor the performance of the Company of its obligations under, this Agreement will conflict with, result in a breach or violation of, or result in the creation or imposition of any lien, charge or encumbrance upon any property or assets of the Company or any of its Subsidiaries pursuant to: (i) the amended and restated articles of association , certificate of incorporation or other organizational documents, of such entity, (ii) the terms of any indenture, contract, license, lease, mortgage, deed of trust, note agreement, agreement or other instrument, obligation, condition, covenant or instrument to which it is a party or bound or to which its property or assets is subject or (iii) any statute, law, rule, regulation, judgment, order or decree applicable to the Company or any of its Subsidiaries of any court, regulatory body, administrative agency, governmental body, arbitrator or other authority having jurisdiction over the Company, any of its Subsidiaries or any of their respective properties or assets, as applicable, except, in the case of clauses (ii) and (iii) above, for any such conflict, breach, violation or default that would not, individually or in the aggregate, have a Material Adverse Effect.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55" w:name="page56"/>
    <w:bookmarkEnd w:id="55"/>
    <w:p>
      <w:pPr>
        <w:jc w:val="both"/>
        <w:ind w:firstLine="1763"/>
        <w:spacing w:after="0" w:line="270" w:lineRule="auto"/>
        <w:tabs>
          <w:tab w:leader="none" w:pos="2612"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Subsequent to the respective dates as of which information is given in the Registration Statement and the Prospectus: (i) there has been no Material Adverse Effect or the occurrence of any development that the Company reasonably expects will result in a Material Adverse Effect, (ii) neither the Company nor its Subsidiaries has (A)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(B) entered into any material transactions not in the ordinary course of business or (C) issued or granted any Shares or securities convertible into or exchangeable or exercisable for or that represent the right to receive Shares other than under the Company’s existing share option plans; and (iii) there has not been any material decrease in the share capital or any material increase in any short-term or long-term indebtedness of the Company or any of its Subsidiaries and there has been no dividend or distribution of any kind declared, paid or made by the Company or, except for dividends paid to the Company or another Subsidiary, by any Subsidiary on any class of shares, or any repurchase or redemption by the Company or any of its Subsidiaries of any class of shares.</w:t>
      </w:r>
    </w:p>
    <w:p>
      <w:pPr>
        <w:spacing w:after="0" w:line="176" w:lineRule="exact"/>
        <w:rPr>
          <w:rFonts w:ascii="Arial" w:cs="Arial" w:eastAsia="Arial" w:hAnsi="Arial"/>
          <w:sz w:val="18"/>
          <w:szCs w:val="18"/>
          <w:color w:val="auto"/>
        </w:rPr>
      </w:pPr>
    </w:p>
    <w:p>
      <w:pPr>
        <w:jc w:val="both"/>
        <w:ind w:firstLine="1763"/>
        <w:spacing w:after="0" w:line="268" w:lineRule="auto"/>
        <w:tabs>
          <w:tab w:leader="none" w:pos="259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consolidated financial statements included or incorporated by reference in the Registration Statement and the Prospectus, together with the related notes and schedules, present fairly in all material respects the consolidated financial position of the Company and the Subsidiaries as of the dates indicated and the consolidated results of operations, cash flows and changes in shareholders’ equity of the Company and the Subsidiaries for the periods specified and have been prepared in compliance with the requirements of the Securities Act and Exchange Act and in conformity with United States generally accepted accounting principles (“</w:t>
      </w:r>
      <w:r>
        <w:rPr>
          <w:rFonts w:ascii="Arial" w:cs="Arial" w:eastAsia="Arial" w:hAnsi="Arial"/>
          <w:sz w:val="18"/>
          <w:szCs w:val="18"/>
          <w:b w:val="1"/>
          <w:bCs w:val="1"/>
          <w:u w:val="single" w:color="auto"/>
          <w:color w:val="auto"/>
        </w:rPr>
        <w:t>GAAP</w:t>
      </w:r>
      <w:r>
        <w:rPr>
          <w:rFonts w:ascii="Arial" w:cs="Arial" w:eastAsia="Arial" w:hAnsi="Arial"/>
          <w:sz w:val="18"/>
          <w:szCs w:val="18"/>
          <w:color w:val="auto"/>
        </w:rPr>
        <w:t>”) applied on a consistent basis during the periods involved (except for such adjustments to accounting standards and practices as are noted therein). To the extent applicable, any pro forma financial statements, information or data included or incorporated by reference in the Registration Statement and the Prospectus comply with the requirements of Regulation S-X of the Securities Act, including, without limitation, Article 11 thereof, fairly present the information set forth herein,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 other financial data set forth or incorporated by reference in the Registration Statement and the Prospectus is accurately and fairly presented in all material respects and prepared on a basis consistent in all material respects with the financial statements and books and records of the Company. There are no financial statements (historical or pro forma) that are required to be included or incorporated by reference in the Registration Statement or the Prospectus that are no included or incorporated by reference therein as required. The Company and the Subsidiaries do not have any material liabilities or obligations, direct or contingent (including any off-balance sheet obligations), not disclosed in the Registration Statement and the Prospectus. All disclosures contained in the Registration Statement or the Prospectus that contain “non-GAAP financial measures” (as such term is defined by the rules and regulations of the Commission) comply, in all material respects, with Regulation G under the Exchange Act and Item 10 of Regulation S-K under the Securities Act, to the extent applicable. To the Company’s knowledge, no person who has been suspended or barred from being associated with a registered public accounting firm, or who has failed to comply with any sanction pursuant to Rule 5300 promulgated by the Public Company Accounting Oversight Board (“</w:t>
      </w:r>
      <w:r>
        <w:rPr>
          <w:rFonts w:ascii="Arial" w:cs="Arial" w:eastAsia="Arial" w:hAnsi="Arial"/>
          <w:sz w:val="18"/>
          <w:szCs w:val="18"/>
          <w:b w:val="1"/>
          <w:bCs w:val="1"/>
          <w:color w:val="auto"/>
        </w:rPr>
        <w:t>PCAOB</w:t>
      </w:r>
      <w:r>
        <w:rPr>
          <w:rFonts w:ascii="Arial" w:cs="Arial" w:eastAsia="Arial" w:hAnsi="Arial"/>
          <w:sz w:val="18"/>
          <w:szCs w:val="18"/>
          <w:color w:val="auto"/>
        </w:rPr>
        <w:t>”), has participated in or otherwise aided the preparation of, or audited, the financial statements, supporting schedules or other financial data filed with the Commission as a part of the Registration Statement and the Prospectus.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56" w:name="page57"/>
    <w:bookmarkEnd w:id="56"/>
    <w:p>
      <w:pPr>
        <w:jc w:val="both"/>
        <w:ind w:firstLine="1763"/>
        <w:spacing w:after="0" w:line="246" w:lineRule="auto"/>
        <w:tabs>
          <w:tab w:leader="none" w:pos="2634"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statistical, industry-related and market-related data included or incorporated by reference in the Registration Statement and the Prospectus were obtained or derived from sources which the Company reasonably and in good faith believes are reliable and accurate, such data agree with the sources from which they are derived, and the Company has obtained the written consent to the use of such data from such sources to the extent required.</w:t>
      </w:r>
    </w:p>
    <w:p>
      <w:pPr>
        <w:spacing w:after="0" w:line="191" w:lineRule="exact"/>
        <w:rPr>
          <w:rFonts w:ascii="Arial" w:cs="Arial" w:eastAsia="Arial" w:hAnsi="Arial"/>
          <w:sz w:val="20"/>
          <w:szCs w:val="20"/>
          <w:color w:val="auto"/>
        </w:rPr>
      </w:pPr>
    </w:p>
    <w:p>
      <w:pPr>
        <w:jc w:val="both"/>
        <w:ind w:firstLine="1763"/>
        <w:spacing w:after="0" w:line="263" w:lineRule="auto"/>
        <w:tabs>
          <w:tab w:leader="none" w:pos="2634" w:val="left"/>
        </w:tabs>
        <w:numPr>
          <w:ilvl w:val="0"/>
          <w:numId w:val="58"/>
        </w:numPr>
        <w:rPr>
          <w:rFonts w:ascii="Arial" w:cs="Arial" w:eastAsia="Arial" w:hAnsi="Arial"/>
          <w:sz w:val="19"/>
          <w:szCs w:val="19"/>
          <w:color w:val="auto"/>
        </w:rPr>
      </w:pPr>
      <w:r>
        <w:rPr>
          <w:rFonts w:ascii="Arial" w:cs="Arial" w:eastAsia="Arial" w:hAnsi="Arial"/>
          <w:sz w:val="19"/>
          <w:szCs w:val="19"/>
          <w:color w:val="auto"/>
        </w:rPr>
        <w:t>No action, suit or proceeding by or before any court or governmental agency, authority or body or any arbitrator involving the Company or its or their property is pending, or to the best knowledge of the Company, threatened, that (i) could reasonably be expected to have a material adverse effect on the performance of this this Agreement or the consummation of any of the transactions contemplated hereby or (ii) could reasonably be expected to have a Material Adverse Effect.</w:t>
      </w:r>
    </w:p>
    <w:p>
      <w:pPr>
        <w:spacing w:after="0" w:line="176" w:lineRule="exact"/>
        <w:rPr>
          <w:rFonts w:ascii="Arial" w:cs="Arial" w:eastAsia="Arial" w:hAnsi="Arial"/>
          <w:sz w:val="19"/>
          <w:szCs w:val="19"/>
          <w:color w:val="auto"/>
        </w:rPr>
      </w:pPr>
    </w:p>
    <w:p>
      <w:pPr>
        <w:ind w:firstLine="1763"/>
        <w:spacing w:after="0" w:line="260" w:lineRule="auto"/>
        <w:tabs>
          <w:tab w:leader="none" w:pos="2678"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Company and its Subsidiaries own or lease all such real properties as are necessary to the conduct of their operations as presently conducted in all material respects.</w:t>
      </w:r>
    </w:p>
    <w:p>
      <w:pPr>
        <w:spacing w:after="0" w:line="176" w:lineRule="exact"/>
        <w:rPr>
          <w:rFonts w:ascii="Arial" w:cs="Arial" w:eastAsia="Arial" w:hAnsi="Arial"/>
          <w:sz w:val="20"/>
          <w:szCs w:val="20"/>
          <w:color w:val="auto"/>
        </w:rPr>
      </w:pPr>
    </w:p>
    <w:p>
      <w:pPr>
        <w:jc w:val="both"/>
        <w:ind w:firstLine="1763"/>
        <w:spacing w:after="0" w:line="257" w:lineRule="auto"/>
        <w:tabs>
          <w:tab w:leader="none" w:pos="2634" w:val="left"/>
        </w:tabs>
        <w:numPr>
          <w:ilvl w:val="0"/>
          <w:numId w:val="58"/>
        </w:numPr>
        <w:rPr>
          <w:rFonts w:ascii="Arial" w:cs="Arial" w:eastAsia="Arial" w:hAnsi="Arial"/>
          <w:sz w:val="19"/>
          <w:szCs w:val="19"/>
          <w:color w:val="auto"/>
        </w:rPr>
      </w:pPr>
      <w:r>
        <w:rPr>
          <w:rFonts w:ascii="Arial" w:cs="Arial" w:eastAsia="Arial" w:hAnsi="Arial"/>
          <w:sz w:val="19"/>
          <w:szCs w:val="19"/>
          <w:color w:val="auto"/>
        </w:rPr>
        <w:t>Neither the Company nor any Subsidiary is in violation or default of (i) any provision of its certificate or articles of incorporation, charter, bylaws, articles of association, limited liability company agreement, certificate or agreement of limited or general partnership, or other similar organizational documents, as the case may be, of such entity, (ii) the terms of any indenture, contract, lease, mortgage, deed of trust, note agreement, loan agreement or other agreement, obligation, condition, covenant or instrument to which it is a party or bound or to which its property or assets is subject, or (iii) any statute, law, rule, regulation, judgment, order or decree of any court, regulatory body, administrative agency, governmental body, arbitrator or other authority having jurisdiction over the Company, any of its Subsidiaries or any of their respective properties or assets, as applicable, except, in the case of clauses (ii) and (iii) above, for any such default or violation that would not, individually or in the aggregate, have a Material Adverse Effect.</w:t>
      </w:r>
    </w:p>
    <w:p>
      <w:pPr>
        <w:spacing w:after="0" w:line="181" w:lineRule="exact"/>
        <w:rPr>
          <w:rFonts w:ascii="Arial" w:cs="Arial" w:eastAsia="Arial" w:hAnsi="Arial"/>
          <w:sz w:val="19"/>
          <w:szCs w:val="19"/>
          <w:color w:val="auto"/>
        </w:rPr>
      </w:pPr>
    </w:p>
    <w:p>
      <w:pPr>
        <w:jc w:val="both"/>
        <w:ind w:firstLine="1763"/>
        <w:spacing w:after="0" w:line="282" w:lineRule="auto"/>
        <w:tabs>
          <w:tab w:leader="none" w:pos="2634"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of Kost, Forer, Gabbay and Kasierer, a member of Ernst &amp; Young Global, and Ernst &amp; Young LLP, whose reports on the consolidated financial statements of the Company is filed with the Commission as part of the Company’s most recent annual report on Form 20-F filed with the Commission and incorporated by reference in the Registration Statement and the Prospectus, is an independent registered public accounting firm as required by the Securities Act, the Exchange Act and the rules of the PCAOB.</w:t>
      </w:r>
    </w:p>
    <w:p>
      <w:pPr>
        <w:spacing w:after="0" w:line="161" w:lineRule="exact"/>
        <w:rPr>
          <w:rFonts w:ascii="Arial" w:cs="Arial" w:eastAsia="Arial" w:hAnsi="Arial"/>
          <w:sz w:val="18"/>
          <w:szCs w:val="18"/>
          <w:color w:val="auto"/>
        </w:rPr>
      </w:pPr>
    </w:p>
    <w:p>
      <w:pPr>
        <w:jc w:val="both"/>
        <w:ind w:firstLine="1763"/>
        <w:spacing w:after="0" w:line="250" w:lineRule="auto"/>
        <w:tabs>
          <w:tab w:leader="none" w:pos="2623"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There are no transfer taxes or other similar fees or charges under federal law, the laws of any state, any foreign law, or any political subdivision thereof, required to be paid in connection with the execution and delivery of this Agreement or the issuance by the Company or sale by the Company of the Placement Shares.</w:t>
      </w:r>
    </w:p>
    <w:p>
      <w:pPr>
        <w:spacing w:after="0" w:line="186" w:lineRule="exact"/>
        <w:rPr>
          <w:sz w:val="20"/>
          <w:szCs w:val="20"/>
          <w:color w:val="auto"/>
        </w:rPr>
      </w:pPr>
    </w:p>
    <w:p>
      <w:pPr>
        <w:jc w:val="both"/>
        <w:ind w:firstLine="1763"/>
        <w:spacing w:after="0" w:line="258" w:lineRule="auto"/>
        <w:tabs>
          <w:tab w:leader="none" w:pos="2711"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Company and each of its Subsidiaries have filed all federal, state, local and foreign income tax returns which have been required to be filed and paid all income taxes shown thereon through the date hereof, to the extent that such taxes have become due and are not being contested in good faith, except where the failure to so file or pay would not have a Material Adverse Effect. Except as otherwise disclosed in or contemplated by the Registration Statement or the Prospectus, no tax deficiency has been determined adversely to the Company or any of its Subsidiaries which has had, or would have, individually or in the aggregate, a Material Adverse Effect. The Company has no knowledge of any federal, state or other governmental tax deficiency, penalty or assessment which has been or might be asserted or threatened against it which would have a Material Adverse Effect.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57" w:name="page58"/>
    <w:bookmarkEnd w:id="57"/>
    <w:p>
      <w:pPr>
        <w:jc w:val="both"/>
        <w:ind w:firstLine="1763"/>
        <w:spacing w:after="0" w:line="273" w:lineRule="auto"/>
        <w:tabs>
          <w:tab w:leader="none" w:pos="2733"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labor dispute with the employees of the Company or any of its Subsidiaries exists or, to the Company’s knowledge, is threatened or imminent, and the Company is not aware of any existing, threatened or imminent labor disturbance by the employees of any of its or any of its Subsidiaries’ principal suppliers, manufacturers, contractors or customers, in each case that would have a Material Adverse Effect. None of the employees of the Company or any of its Subsidiaries is represented by a union and, to the knowledge of the Company, no union organizing activities are taking place. Neither the Company nor any of its Subsidiaries has violated (or received notice of any violation of) any material federal, state or local law or foreign law relating to the discrimination in hiring, promotion or pay of employees, nor any applicable wage or hour laws, or the rules and regulations thereunder, or analogous foreign laws and regulations, which would, individually or in the aggregate, reasonably be expected to result in a Material Adverse Effect.</w:t>
      </w:r>
    </w:p>
    <w:p>
      <w:pPr>
        <w:spacing w:after="0" w:line="169" w:lineRule="exact"/>
        <w:rPr>
          <w:rFonts w:ascii="Arial" w:cs="Arial" w:eastAsia="Arial" w:hAnsi="Arial"/>
          <w:sz w:val="18"/>
          <w:szCs w:val="18"/>
          <w:color w:val="auto"/>
        </w:rPr>
      </w:pPr>
    </w:p>
    <w:p>
      <w:pPr>
        <w:jc w:val="both"/>
        <w:ind w:firstLine="1763"/>
        <w:spacing w:after="0" w:line="273" w:lineRule="auto"/>
        <w:tabs>
          <w:tab w:leader="none" w:pos="2711"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of the Company and its Subsidiaries are insured by recognized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could not reasonably be expected to have a Material Adverse Effect. Neither the Company nor any of its Subsidiaries has been denied any material insurance coverage which it has sought or for which it has applied.</w:t>
      </w:r>
    </w:p>
    <w:p>
      <w:pPr>
        <w:spacing w:after="0" w:line="169" w:lineRule="exact"/>
        <w:rPr>
          <w:rFonts w:ascii="Arial" w:cs="Arial" w:eastAsia="Arial" w:hAnsi="Arial"/>
          <w:sz w:val="18"/>
          <w:szCs w:val="18"/>
          <w:color w:val="auto"/>
        </w:rPr>
      </w:pPr>
    </w:p>
    <w:p>
      <w:pPr>
        <w:jc w:val="both"/>
        <w:ind w:firstLine="1763"/>
        <w:spacing w:after="0" w:line="276" w:lineRule="auto"/>
        <w:tabs>
          <w:tab w:leader="none" w:pos="273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and each of its Subsidiaries has good and marketable title in fee simple to all real property owned by them and good and marketable title to all personal property owned by them that is material to their business, in each case free and clear of all liens, encumbrances and defects except such as do not materially affect the value of such property and do not interfere with the use made and proposed to be made of such property by the Company or any Subsidiary; and any real property and buildings held under lease by the Company or any of its Subsidiaries are held by them under valid, subsisting and enforceable leases with such exceptions as are not material and do not interfere with the use made and proposed to be made of such property and buildings by the Company or such Subsidiary.</w:t>
      </w:r>
    </w:p>
    <w:p>
      <w:pPr>
        <w:spacing w:after="0" w:line="165" w:lineRule="exact"/>
        <w:rPr>
          <w:rFonts w:ascii="Arial" w:cs="Arial" w:eastAsia="Arial" w:hAnsi="Arial"/>
          <w:sz w:val="18"/>
          <w:szCs w:val="18"/>
          <w:color w:val="auto"/>
        </w:rPr>
      </w:pPr>
    </w:p>
    <w:p>
      <w:pPr>
        <w:jc w:val="both"/>
        <w:ind w:firstLine="1763"/>
        <w:spacing w:after="0" w:line="243" w:lineRule="auto"/>
        <w:tabs>
          <w:tab w:leader="none" w:pos="2711"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Company and its Subsidiaries possess and are operating in all material respects in compliance with such valid and current material certificates, authorizations or permits required by United States federal, state or foreign regulatory agencies or bodies to conduct their respective businesses as currently conducted and as described in the Registration Statement and the Prospectus (collectively, “</w:t>
      </w:r>
      <w:r>
        <w:rPr>
          <w:rFonts w:ascii="Arial" w:cs="Arial" w:eastAsia="Arial" w:hAnsi="Arial"/>
          <w:sz w:val="20"/>
          <w:szCs w:val="20"/>
          <w:b w:val="1"/>
          <w:bCs w:val="1"/>
          <w:u w:val="single" w:color="auto"/>
          <w:color w:val="auto"/>
        </w:rPr>
        <w:t>Permits</w:t>
      </w:r>
      <w:r>
        <w:rPr>
          <w:rFonts w:ascii="Arial" w:cs="Arial" w:eastAsia="Arial" w:hAnsi="Arial"/>
          <w:sz w:val="20"/>
          <w:szCs w:val="20"/>
          <w:color w:val="auto"/>
        </w:rPr>
        <w:t>”). Neither the Company nor any of its Subsidiaries is in violation of, or in default under, any of the Permits or has received any written notice of proceedings relating to the revocation or modification of, or non-compliance with, any such certificate, authorization or permit, which, individually or in the aggregate, if the subject of an unfavorable decision, ruling or finding, could reasonably be expected to result in a Material Adverse Effect.</w:t>
      </w:r>
    </w:p>
    <w:p>
      <w:pPr>
        <w:spacing w:after="0" w:line="193" w:lineRule="exact"/>
        <w:rPr>
          <w:rFonts w:ascii="Arial" w:cs="Arial" w:eastAsia="Arial" w:hAnsi="Arial"/>
          <w:sz w:val="20"/>
          <w:szCs w:val="20"/>
          <w:color w:val="auto"/>
        </w:rPr>
      </w:pPr>
    </w:p>
    <w:p>
      <w:pPr>
        <w:jc w:val="both"/>
        <w:ind w:firstLine="1763"/>
        <w:spacing w:after="0" w:line="273" w:lineRule="auto"/>
        <w:tabs>
          <w:tab w:leader="none" w:pos="266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and each of its Subsidiaries make and keep accurate books and records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58" w:name="page59"/>
    <w:bookmarkEnd w:id="58"/>
    <w:p>
      <w:pPr>
        <w:jc w:val="both"/>
        <w:ind w:firstLine="1763"/>
        <w:spacing w:after="0" w:line="256" w:lineRule="auto"/>
        <w:tabs>
          <w:tab w:leader="none" w:pos="2733" w:val="left"/>
        </w:tabs>
        <w:numPr>
          <w:ilvl w:val="1"/>
          <w:numId w:val="61"/>
        </w:numPr>
        <w:rPr>
          <w:rFonts w:ascii="Arial" w:cs="Arial" w:eastAsia="Arial" w:hAnsi="Arial"/>
          <w:sz w:val="19"/>
          <w:szCs w:val="19"/>
          <w:color w:val="auto"/>
        </w:rPr>
      </w:pPr>
      <w:r>
        <w:rPr>
          <w:rFonts w:ascii="Arial" w:cs="Arial" w:eastAsia="Arial" w:hAnsi="Arial"/>
          <w:sz w:val="19"/>
          <w:szCs w:val="19"/>
          <w:color w:val="auto"/>
        </w:rPr>
        <w:t>The Company and each of its Subsidiaries have established and maintain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and (ii) are effective in all material respects to perform the functions for which they were established. Since the end of the Company’s most recent audited fiscal year, there has been no material weakness in the Company’s internal control over financial reporting (whether or not remediated) and no change in the Company’s internal control over financial reporting, including any corrective actions with regard to significant deficiencies or material weaknesses.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81" w:lineRule="exact"/>
        <w:rPr>
          <w:rFonts w:ascii="Arial" w:cs="Arial" w:eastAsia="Arial" w:hAnsi="Arial"/>
          <w:sz w:val="19"/>
          <w:szCs w:val="19"/>
          <w:color w:val="auto"/>
        </w:rPr>
      </w:pPr>
    </w:p>
    <w:p>
      <w:pPr>
        <w:jc w:val="both"/>
        <w:ind w:firstLine="1763"/>
        <w:spacing w:after="0" w:line="278" w:lineRule="auto"/>
        <w:tabs>
          <w:tab w:leader="none" w:pos="2733" w:val="left"/>
        </w:tabs>
        <w:numPr>
          <w:ilvl w:val="1"/>
          <w:numId w:val="61"/>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to the knowledge of the Company, any of its or their respective directors, officers or controlling persons has taken, directly or indirectly, without giving effect to any actions taken by the Agent, (i) any action designed to or that might constitute or reasonably be expected to cause or result in, under the Exchange Act or otherwise, stabilization or manipulation of the price of any security of the Company to facilitate the sale or resale of the Placement Shares or (ii) any action designed to or that might constitute or reasonably be expected to cause or result in a violation of Regulation M under the Exchange Act.</w:t>
      </w:r>
    </w:p>
    <w:p>
      <w:pPr>
        <w:spacing w:after="0" w:line="165" w:lineRule="exact"/>
        <w:rPr>
          <w:rFonts w:ascii="Arial" w:cs="Arial" w:eastAsia="Arial" w:hAnsi="Arial"/>
          <w:sz w:val="18"/>
          <w:szCs w:val="18"/>
          <w:color w:val="auto"/>
        </w:rPr>
      </w:pPr>
    </w:p>
    <w:p>
      <w:pPr>
        <w:jc w:val="both"/>
        <w:ind w:firstLine="1763"/>
        <w:spacing w:after="0" w:line="303" w:lineRule="auto"/>
        <w:tabs>
          <w:tab w:leader="none" w:pos="2645" w:val="left"/>
        </w:tabs>
        <w:numPr>
          <w:ilvl w:val="1"/>
          <w:numId w:val="61"/>
        </w:numPr>
        <w:rPr>
          <w:rFonts w:ascii="Arial" w:cs="Arial" w:eastAsia="Arial" w:hAnsi="Arial"/>
          <w:sz w:val="16"/>
          <w:szCs w:val="16"/>
          <w:color w:val="auto"/>
        </w:rPr>
      </w:pPr>
      <w:r>
        <w:rPr>
          <w:rFonts w:ascii="Arial" w:cs="Arial" w:eastAsia="Arial" w:hAnsi="Arial"/>
          <w:sz w:val="16"/>
          <w:szCs w:val="16"/>
          <w:color w:val="auto"/>
        </w:rPr>
        <w:t>Except as set forth in the Registration Statement or the Prospectus, the Company and its Subsidiaries (i) are in compliance in all material respects with any and all applicable federal, state, local and foreign laws, rules, regulations, decisions and orders relating to the protection of human health and safety, the environment or hazardous or toxic substances or wastes, pollutants or contaminants (collectively, “Environmental Laws”); (ii) have received and are in compliance with all permits, licenses or other approvals required of them under applicable Environmental Laws to conduct their respective businesses as described in the Registration Statement and the Prospectus; and</w:t>
      </w:r>
    </w:p>
    <w:p>
      <w:pPr>
        <w:spacing w:after="0" w:line="2" w:lineRule="exact"/>
        <w:rPr>
          <w:rFonts w:ascii="Arial" w:cs="Arial" w:eastAsia="Arial" w:hAnsi="Arial"/>
          <w:sz w:val="16"/>
          <w:szCs w:val="16"/>
          <w:color w:val="auto"/>
        </w:rPr>
      </w:pPr>
    </w:p>
    <w:p>
      <w:pPr>
        <w:jc w:val="both"/>
        <w:ind w:firstLine="8"/>
        <w:spacing w:after="0" w:line="241" w:lineRule="auto"/>
        <w:tabs>
          <w:tab w:leader="none" w:pos="357" w:val="left"/>
        </w:tabs>
        <w:numPr>
          <w:ilvl w:val="0"/>
          <w:numId w:val="62"/>
        </w:numPr>
        <w:rPr>
          <w:rFonts w:ascii="Arial" w:cs="Arial" w:eastAsia="Arial" w:hAnsi="Arial"/>
          <w:sz w:val="20"/>
          <w:szCs w:val="20"/>
          <w:color w:val="auto"/>
        </w:rPr>
      </w:pPr>
      <w:r>
        <w:rPr>
          <w:rFonts w:ascii="Arial" w:cs="Arial" w:eastAsia="Arial" w:hAnsi="Arial"/>
          <w:sz w:val="20"/>
          <w:szCs w:val="20"/>
          <w:color w:val="auto"/>
        </w:rPr>
        <w:t>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have a Material Adverse Effect.</w:t>
      </w:r>
    </w:p>
    <w:p>
      <w:pPr>
        <w:spacing w:after="0" w:line="194" w:lineRule="exact"/>
        <w:rPr>
          <w:rFonts w:ascii="Arial" w:cs="Arial" w:eastAsia="Arial" w:hAnsi="Arial"/>
          <w:sz w:val="20"/>
          <w:szCs w:val="20"/>
          <w:color w:val="auto"/>
        </w:rPr>
      </w:pPr>
    </w:p>
    <w:p>
      <w:pPr>
        <w:jc w:val="both"/>
        <w:ind w:firstLine="1763"/>
        <w:spacing w:after="0" w:line="244" w:lineRule="auto"/>
        <w:tabs>
          <w:tab w:leader="none" w:pos="2645" w:val="left"/>
        </w:tabs>
        <w:numPr>
          <w:ilvl w:val="1"/>
          <w:numId w:val="62"/>
        </w:numPr>
        <w:rPr>
          <w:rFonts w:ascii="Arial" w:cs="Arial" w:eastAsia="Arial" w:hAnsi="Arial"/>
          <w:sz w:val="20"/>
          <w:szCs w:val="20"/>
          <w:color w:val="auto"/>
        </w:rPr>
      </w:pPr>
      <w:r>
        <w:rPr>
          <w:rFonts w:ascii="Arial" w:cs="Arial" w:eastAsia="Arial" w:hAnsi="Arial"/>
          <w:sz w:val="20"/>
          <w:szCs w:val="20"/>
          <w:color w:val="auto"/>
        </w:rPr>
        <w:t>To the knowledge of the Company, each material employee benefit plan that is maintained, administered or contributed to by the Company or any of its affiliates for employees or former employees of the Company and any of its Subsidiaries has been maintained in material compliance with its terms and the requirements of any applicable statutes, orders, rules and regulations. The Company does not have any material benefit plans within the meaning of Section 3(3) of the Employee Retirement Income Security Act of 1974, as amended.</w:t>
      </w:r>
    </w:p>
    <w:p>
      <w:pPr>
        <w:spacing w:after="0" w:line="194" w:lineRule="exact"/>
        <w:rPr>
          <w:rFonts w:ascii="Arial" w:cs="Arial" w:eastAsia="Arial" w:hAnsi="Arial"/>
          <w:sz w:val="20"/>
          <w:szCs w:val="20"/>
          <w:color w:val="auto"/>
        </w:rPr>
      </w:pPr>
    </w:p>
    <w:p>
      <w:pPr>
        <w:jc w:val="both"/>
        <w:ind w:firstLine="1763"/>
        <w:spacing w:after="0" w:line="246" w:lineRule="auto"/>
        <w:tabs>
          <w:tab w:leader="none" w:pos="2733" w:val="left"/>
        </w:tabs>
        <w:numPr>
          <w:ilvl w:val="1"/>
          <w:numId w:val="62"/>
        </w:numPr>
        <w:rPr>
          <w:rFonts w:ascii="Arial" w:cs="Arial" w:eastAsia="Arial" w:hAnsi="Arial"/>
          <w:sz w:val="20"/>
          <w:szCs w:val="20"/>
          <w:color w:val="auto"/>
        </w:rPr>
      </w:pPr>
      <w:r>
        <w:rPr>
          <w:rFonts w:ascii="Arial" w:cs="Arial" w:eastAsia="Arial" w:hAnsi="Arial"/>
          <w:sz w:val="20"/>
          <w:szCs w:val="20"/>
          <w:color w:val="auto"/>
        </w:rPr>
        <w:t>The Company is in compliance with, and there is and has been no failure on the part of the Company and, to the Company’s knowledge, any of the Company’s directors or officers, in their capacities as such, to comply with, any applicable provision of the Sarbanes-Oxley Act of 2002 and all rules and regulations promulgated thereunder or implementing the provisions thereof (the “</w:t>
      </w:r>
      <w:r>
        <w:rPr>
          <w:rFonts w:ascii="Arial" w:cs="Arial" w:eastAsia="Arial" w:hAnsi="Arial"/>
          <w:sz w:val="20"/>
          <w:szCs w:val="20"/>
          <w:b w:val="1"/>
          <w:bCs w:val="1"/>
          <w:u w:val="single" w:color="auto"/>
          <w:color w:val="auto"/>
        </w:rPr>
        <w:t>Sarbanes-Oxley Act</w:t>
      </w:r>
      <w:r>
        <w:rPr>
          <w:rFonts w:ascii="Arial" w:cs="Arial" w:eastAsia="Arial" w:hAnsi="Arial"/>
          <w:sz w:val="20"/>
          <w:szCs w:val="20"/>
          <w:color w:val="auto"/>
        </w:rPr>
        <w:t>”), including Section 402 relating to loans.</w:t>
      </w:r>
    </w:p>
    <w:p>
      <w:pPr>
        <w:spacing w:after="0" w:line="191" w:lineRule="exact"/>
        <w:rPr>
          <w:rFonts w:ascii="Arial" w:cs="Arial" w:eastAsia="Arial" w:hAnsi="Arial"/>
          <w:sz w:val="20"/>
          <w:szCs w:val="20"/>
          <w:color w:val="auto"/>
        </w:rPr>
      </w:pPr>
    </w:p>
    <w:p>
      <w:pPr>
        <w:jc w:val="both"/>
        <w:ind w:firstLine="1763"/>
        <w:spacing w:after="0" w:line="250" w:lineRule="auto"/>
        <w:tabs>
          <w:tab w:leader="none" w:pos="2645" w:val="left"/>
        </w:tabs>
        <w:numPr>
          <w:ilvl w:val="1"/>
          <w:numId w:val="62"/>
        </w:numPr>
        <w:rPr>
          <w:rFonts w:ascii="Arial" w:cs="Arial" w:eastAsia="Arial" w:hAnsi="Arial"/>
          <w:sz w:val="20"/>
          <w:szCs w:val="20"/>
          <w:color w:val="auto"/>
        </w:rPr>
      </w:pPr>
      <w:r>
        <w:rPr>
          <w:rFonts w:ascii="Arial" w:cs="Arial" w:eastAsia="Arial" w:hAnsi="Arial"/>
          <w:sz w:val="20"/>
          <w:szCs w:val="20"/>
          <w:color w:val="auto"/>
        </w:rPr>
        <w:t>The Company is in material compliance with the provisions of the Israel Companies Law 5759-1999 (the “</w:t>
      </w:r>
      <w:r>
        <w:rPr>
          <w:rFonts w:ascii="Arial" w:cs="Arial" w:eastAsia="Arial" w:hAnsi="Arial"/>
          <w:sz w:val="20"/>
          <w:szCs w:val="20"/>
          <w:b w:val="1"/>
          <w:bCs w:val="1"/>
          <w:u w:val="single" w:color="auto"/>
          <w:color w:val="auto"/>
        </w:rPr>
        <w:t>Israel Companies Law</w:t>
      </w:r>
      <w:r>
        <w:rPr>
          <w:rFonts w:ascii="Arial" w:cs="Arial" w:eastAsia="Arial" w:hAnsi="Arial"/>
          <w:sz w:val="20"/>
          <w:szCs w:val="20"/>
          <w:color w:val="auto"/>
        </w:rPr>
        <w:t>”) and the Rules and Regulations promulgated thereunder, except for such violations which, singly or in the aggregate, would not have a Material Adverse Effect.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59" w:name="page60"/>
    <w:bookmarkEnd w:id="59"/>
    <w:p>
      <w:pPr>
        <w:jc w:val="both"/>
        <w:ind w:firstLine="1763"/>
        <w:spacing w:after="0" w:line="271" w:lineRule="auto"/>
        <w:tabs>
          <w:tab w:leader="none" w:pos="2843"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None of the Company, any Subsidiary, affiliate, director, officer or employee thereof or, to the best of the Company’s knowledge, any agent, representative or other person acting on behalf of the Company or any of its Subsidiaries or affiliates, is aware of or has taken any action, directly or indirectly, that would result in a violation by such persons of any applicable anti-corruption laws, including the Foreign Corrupt Practices Act of 1977, as amended, Section 290 or 291A of the Israel Penal Law, 1977 and the rules and regulations thereunder (the “</w:t>
      </w:r>
      <w:r>
        <w:rPr>
          <w:rFonts w:ascii="Arial" w:cs="Arial" w:eastAsia="Arial" w:hAnsi="Arial"/>
          <w:sz w:val="18"/>
          <w:szCs w:val="18"/>
          <w:b w:val="1"/>
          <w:bCs w:val="1"/>
          <w:u w:val="single" w:color="auto"/>
          <w:color w:val="auto"/>
        </w:rPr>
        <w:t>FCPA</w:t>
      </w:r>
      <w:r>
        <w:rPr>
          <w:rFonts w:ascii="Arial" w:cs="Arial" w:eastAsia="Arial" w:hAnsi="Arial"/>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or otherwise took any action (or failed to fully disclose any action) in contravention of the FCPA; and the Company, its Subsidiaries and each of their respective affiliates have conducted their businesses in compliance with the FCPA and have instituted and maintain, and will continue to maintain, policies and procedures designed to ensure, and which are reasonably expected to continue to ensure, continued compliance therewith.</w:t>
      </w:r>
    </w:p>
    <w:p>
      <w:pPr>
        <w:spacing w:after="0" w:line="170" w:lineRule="exact"/>
        <w:rPr>
          <w:rFonts w:ascii="Arial" w:cs="Arial" w:eastAsia="Arial" w:hAnsi="Arial"/>
          <w:sz w:val="18"/>
          <w:szCs w:val="18"/>
          <w:color w:val="auto"/>
        </w:rPr>
      </w:pPr>
    </w:p>
    <w:p>
      <w:pPr>
        <w:jc w:val="both"/>
        <w:ind w:firstLine="1763"/>
        <w:spacing w:after="0" w:line="243" w:lineRule="auto"/>
        <w:tabs>
          <w:tab w:leader="none" w:pos="2733"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operations of the Company and its Subsidiaries are and have been conducted at all times in compliance in all material respects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Arial" w:cs="Arial" w:eastAsia="Arial" w:hAnsi="Arial"/>
          <w:sz w:val="20"/>
          <w:szCs w:val="20"/>
          <w:b w:val="1"/>
          <w:bCs w:val="1"/>
          <w:u w:val="single" w:color="auto"/>
          <w:color w:val="auto"/>
        </w:rPr>
        <w:t>Money Laundering Laws</w:t>
      </w:r>
      <w:r>
        <w:rPr>
          <w:rFonts w:ascii="Arial" w:cs="Arial" w:eastAsia="Arial" w:hAnsi="Arial"/>
          <w:sz w:val="20"/>
          <w:szCs w:val="20"/>
          <w:color w:val="auto"/>
        </w:rPr>
        <w:t>”) and no action, suit, investigation or proceeding by or before any court or governmental agency, authority or body or any arbitrator involving the Company or any of its Subsidiaries with respect to the Money Laundering Laws is pending or, to the best of the Company’s knowledge, threatened.</w:t>
      </w:r>
    </w:p>
    <w:p>
      <w:pPr>
        <w:spacing w:after="0" w:line="196" w:lineRule="exact"/>
        <w:rPr>
          <w:rFonts w:ascii="Arial" w:cs="Arial" w:eastAsia="Arial" w:hAnsi="Arial"/>
          <w:sz w:val="20"/>
          <w:szCs w:val="20"/>
          <w:color w:val="auto"/>
        </w:rPr>
      </w:pPr>
    </w:p>
    <w:p>
      <w:pPr>
        <w:jc w:val="both"/>
        <w:ind w:firstLine="1763"/>
        <w:spacing w:after="0" w:line="270" w:lineRule="auto"/>
        <w:tabs>
          <w:tab w:leader="none" w:pos="2733" w:val="left"/>
        </w:tabs>
        <w:numPr>
          <w:ilvl w:val="0"/>
          <w:numId w:val="63"/>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to the Company’s knowledge any director or officer, employee, agent, affiliate or representative of the Company or any of its Subsidiaries, is currently or is owned or controlled by an individual or entity that is subject to any sanctions administered or enforced by the United States government (including, without limitation, the Office of Foreign Assets Control of the United States Department of the Treasury), the United Nations Security Council, the European Union, Her Majesty’s Treasury or other relevant sanctions authority (collectively, “</w:t>
      </w:r>
      <w:r>
        <w:rPr>
          <w:rFonts w:ascii="Arial" w:cs="Arial" w:eastAsia="Arial" w:hAnsi="Arial"/>
          <w:sz w:val="18"/>
          <w:szCs w:val="18"/>
          <w:b w:val="1"/>
          <w:bCs w:val="1"/>
          <w:u w:val="single" w:color="auto"/>
          <w:color w:val="auto"/>
        </w:rPr>
        <w:t>Sanctions</w:t>
      </w:r>
      <w:r>
        <w:rPr>
          <w:rFonts w:ascii="Arial" w:cs="Arial" w:eastAsia="Arial" w:hAnsi="Arial"/>
          <w:sz w:val="18"/>
          <w:szCs w:val="18"/>
          <w:color w:val="auto"/>
        </w:rPr>
        <w:t>”) or is located, organized or resident in a country or territory that is the subject or target of Sanctions; and the Company will not directly or indirectly use the proceeds of the sale of the Shares, or lend, contribute or otherwise make available such proceeds to any Subsidiary, or any joint venture partner or other person or entity, for the purpose of financing or facilitating the activities of or business of any person or entity, or in any country or territory, that currently or at the time of such financing or facilitation is the subject of any Sanctions or in any other manner that will result in a violation by any person or entity (including any person participating in the transactions contemplated by this Agreement) of any Sanctions. For the past five years, the Company and its Subsidiaries have not knowingly engaged in and are not now knowingly engaged in any dealings or transactions with any person or entity, or in any country or territory, that at the time of the dealing or transaction is or was the subject of Sanctions.</w:t>
      </w:r>
    </w:p>
    <w:p>
      <w:pPr>
        <w:spacing w:after="0" w:line="176" w:lineRule="exact"/>
        <w:rPr>
          <w:rFonts w:ascii="Arial" w:cs="Arial" w:eastAsia="Arial" w:hAnsi="Arial"/>
          <w:sz w:val="18"/>
          <w:szCs w:val="18"/>
          <w:color w:val="auto"/>
        </w:rPr>
      </w:pPr>
    </w:p>
    <w:p>
      <w:pPr>
        <w:jc w:val="both"/>
        <w:ind w:firstLine="1763"/>
        <w:spacing w:after="0" w:line="276" w:lineRule="auto"/>
        <w:tabs>
          <w:tab w:leader="none" w:pos="2733"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Except as described in the Registration Statement or the Prospectus, the Company and its Subsidiaries own, possess, license or have other rights to use, on reasonable terms, all patents, patent applications, trade and service marks, trade and service mark registrations, trade names, copyrights, licenses, inventions, trade secrets, technology, know-how and other intellectual property (collectively, the “</w:t>
      </w:r>
      <w:r>
        <w:rPr>
          <w:rFonts w:ascii="Arial" w:cs="Arial" w:eastAsia="Arial" w:hAnsi="Arial"/>
          <w:sz w:val="18"/>
          <w:szCs w:val="18"/>
          <w:b w:val="1"/>
          <w:bCs w:val="1"/>
          <w:u w:val="single" w:color="auto"/>
          <w:color w:val="auto"/>
        </w:rPr>
        <w:t>Intellectual Property</w:t>
      </w:r>
      <w:r>
        <w:rPr>
          <w:rFonts w:ascii="Arial" w:cs="Arial" w:eastAsia="Arial" w:hAnsi="Arial"/>
          <w:sz w:val="18"/>
          <w:szCs w:val="18"/>
          <w:color w:val="auto"/>
        </w:rPr>
        <w:t>”) necessary for the conduct of their respective businesses in all material respects. Except as set forth in the Registration Statement and the Prospectus, (i) there are no rights of third parties to any such Intellectual Property, including no liens, security interests, or other encumbrances; (ii) to the knowledge of the Company, no third party has any ownership right in or to any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60" w:name="page61"/>
    <w:bookmarkEnd w:id="60"/>
    <w:p>
      <w:pPr>
        <w:jc w:val="both"/>
        <w:spacing w:after="0" w:line="303" w:lineRule="auto"/>
        <w:rPr>
          <w:sz w:val="20"/>
          <w:szCs w:val="20"/>
          <w:color w:val="auto"/>
        </w:rPr>
      </w:pPr>
      <w:r>
        <w:rPr>
          <w:rFonts w:ascii="Arial" w:cs="Arial" w:eastAsia="Arial" w:hAnsi="Arial"/>
          <w:sz w:val="16"/>
          <w:szCs w:val="16"/>
          <w:color w:val="auto"/>
        </w:rPr>
        <w:t>Intellectual Property that is owned or purported to be owned by the Company or any of its Subsidiaries, other than any co-owner of any patent constituting Intellectual Property who is listed on the records of the U.S. Patent and Trademark Office and any co-owner of any patent application constituting Intellectual Property who is named in such patent application; (iii) to the Company’s knowledge, there is no material infringement or misappropriation by third parties of any such Intellectual Property; (vi) there is no pending or, to the Company’s knowledge, threatened action, suit, proceeding or claim by others challenging the Company’s rights in or to any such Intellectual Property, and the Company is aware of no factual basis for any such claim; (v) such Intellectual Property has not been adjudged by a court of competent jurisdiction invalid or unenforceable, in whole or in part, there is no pending or, to the Company’s knowledge, threatened action, suit, proceeding or claim by others challenging the validity or scope of any such Intellectual Property, including interferences, oppositions, reexaminations, or government proceedings, and the Company is aware of no factual basis for any such claim; (vi) there is no pending or, to the Company’s knowledge, threatened action, suit, proceeding or claim by others that the Company infringes, misappropriates, or otherwise violates any patent, trademark, copyright, trade secret or other proprietary rights of others, and the Company is aware of no factual basis for any such claim; (vii) neither the Company nor any of its Subsidiaries has received notice of any claim of infringement, misappropriation or conflict with any asserted rights of others with respect to any of the Company’s products, proposed products, processes or Intellectual Property; (viii) to the knowledge of the Company, neither the development nor sale nor any currently proposed use of any of the Company’s product candidates or processes referred to in the Prospectus, in the current conduct of the business of the Company in the manner and to the extent described in the Prospectus, do currently, or will upon commercialization, to the knowledge of the Company, infringe any proprietary right or valid patent claim of any third party; (ix) the Company is not obligated to pay a material royalty, grant a license, or provide other material consideration to any third party in connection with the Intellectual Property; (x) to the Company’s knowledge,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(xi) to the Company’s knowledge, there is no patent or published patent application in the United States or other jurisdiction which contains claims that dominate or may dominate any Intellectual Property described in the Prospectus as being owned by or licensed to the Company or that interferes with the issued or pending claims of any such Intellectual Property;</w:t>
      </w:r>
    </w:p>
    <w:p>
      <w:pPr>
        <w:spacing w:after="0" w:line="200" w:lineRule="exact"/>
        <w:rPr>
          <w:sz w:val="20"/>
          <w:szCs w:val="20"/>
          <w:color w:val="auto"/>
        </w:rPr>
      </w:pPr>
    </w:p>
    <w:p>
      <w:pPr>
        <w:spacing w:after="0" w:line="219" w:lineRule="exact"/>
        <w:rPr>
          <w:sz w:val="20"/>
          <w:szCs w:val="20"/>
          <w:color w:val="auto"/>
        </w:rPr>
      </w:pPr>
    </w:p>
    <w:p>
      <w:pPr>
        <w:jc w:val="both"/>
        <w:ind w:firstLine="8"/>
        <w:spacing w:after="0" w:line="271" w:lineRule="auto"/>
        <w:tabs>
          <w:tab w:leader="none" w:pos="39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the Company’s knowledge, there is no prior art that may render any patent held by the Company invalid or any patent application held by the Company unpatentable; and (xiii) all prior art of which the Company is aware that may be material to the validity of a U.S. patent or to the patentability of a U.S. patent application has been disclosed to the U.S. Patent and Trademark Office, and all such prior art has been disclosed to the patent office of other jurisdictions where required; and (xiv) the Company has taken all reasonable measures to protect its confidential information and trade secrets and to maintain and safeguard the Intellectual Property, including the execution of appropriate nondisclosure and confidentiality agreements. All licenses and material agreements to which the Company is a party relating to the Intellectual Property are in full force and effect and the Company is not in violation of any term of such license.</w:t>
      </w:r>
    </w:p>
    <w:p>
      <w:pPr>
        <w:spacing w:after="0" w:line="171" w:lineRule="exact"/>
        <w:rPr>
          <w:rFonts w:ascii="Arial" w:cs="Arial" w:eastAsia="Arial" w:hAnsi="Arial"/>
          <w:sz w:val="18"/>
          <w:szCs w:val="18"/>
          <w:color w:val="auto"/>
        </w:rPr>
      </w:pPr>
    </w:p>
    <w:p>
      <w:pPr>
        <w:jc w:val="both"/>
        <w:ind w:firstLine="1763"/>
        <w:spacing w:after="0" w:line="258" w:lineRule="auto"/>
        <w:tabs>
          <w:tab w:leader="none" w:pos="2733" w:val="left"/>
        </w:tabs>
        <w:numPr>
          <w:ilvl w:val="1"/>
          <w:numId w:val="64"/>
        </w:numPr>
        <w:rPr>
          <w:rFonts w:ascii="Arial" w:cs="Arial" w:eastAsia="Arial" w:hAnsi="Arial"/>
          <w:sz w:val="19"/>
          <w:szCs w:val="19"/>
          <w:color w:val="auto"/>
        </w:rPr>
      </w:pPr>
      <w:r>
        <w:rPr>
          <w:rFonts w:ascii="Arial" w:cs="Arial" w:eastAsia="Arial" w:hAnsi="Arial"/>
          <w:sz w:val="19"/>
          <w:szCs w:val="19"/>
          <w:color w:val="auto"/>
        </w:rPr>
        <w:t>The Company and each of its Subsidiaries (i) are and have at all times been in material compliance with all laws, statutes, rules, regulations or guidance applicable to the Company and its Subsidiaries and the ownership, testing, development, manufacture, packaging, processing, use, distribution, marketing, advertising, labeling, promotion, sale, offer for sale, storage, import, export or disposal of any pharmaceuticals or biohazardous substances, materials or any other products developed, manufactured or distributed by the Company (including, without limitation, from the United States Food and Drug Administration (“</w:t>
      </w:r>
      <w:r>
        <w:rPr>
          <w:rFonts w:ascii="Arial" w:cs="Arial" w:eastAsia="Arial" w:hAnsi="Arial"/>
          <w:sz w:val="19"/>
          <w:szCs w:val="19"/>
          <w:b w:val="1"/>
          <w:bCs w:val="1"/>
          <w:u w:val="single" w:color="auto"/>
          <w:color w:val="auto"/>
        </w:rPr>
        <w:t>FDA</w:t>
      </w:r>
      <w:r>
        <w:rPr>
          <w:rFonts w:ascii="Arial" w:cs="Arial" w:eastAsia="Arial" w:hAnsi="Arial"/>
          <w:sz w:val="19"/>
          <w:szCs w:val="19"/>
          <w:color w:val="auto"/>
        </w:rPr>
        <w:t>”), European Medicines Agency (“</w:t>
      </w:r>
      <w:r>
        <w:rPr>
          <w:rFonts w:ascii="Arial" w:cs="Arial" w:eastAsia="Arial" w:hAnsi="Arial"/>
          <w:sz w:val="19"/>
          <w:szCs w:val="19"/>
          <w:b w:val="1"/>
          <w:bCs w:val="1"/>
          <w:u w:val="single" w:color="auto"/>
          <w:color w:val="auto"/>
        </w:rPr>
        <w:t>EMA</w:t>
      </w:r>
      <w:r>
        <w:rPr>
          <w:rFonts w:ascii="Arial" w:cs="Arial" w:eastAsia="Arial" w:hAnsi="Arial"/>
          <w:sz w:val="19"/>
          <w:szCs w:val="19"/>
          <w:color w:val="auto"/>
        </w:rPr>
        <w:t>”) and any local or other governmental or regulatory authority performing functions similar to those performed by the FDA or EMA) (collectively, “</w:t>
      </w:r>
      <w:r>
        <w:rPr>
          <w:rFonts w:ascii="Arial" w:cs="Arial" w:eastAsia="Arial" w:hAnsi="Arial"/>
          <w:sz w:val="19"/>
          <w:szCs w:val="19"/>
          <w:b w:val="1"/>
          <w:bCs w:val="1"/>
          <w:u w:val="single" w:color="auto"/>
          <w:color w:val="auto"/>
        </w:rPr>
        <w:t>Applicable Laws</w:t>
      </w:r>
      <w:r>
        <w:rPr>
          <w:rFonts w:ascii="Arial" w:cs="Arial" w:eastAsia="Arial" w:hAnsi="Arial"/>
          <w:sz w:val="19"/>
          <w:szCs w:val="19"/>
          <w:color w:val="auto"/>
        </w:rPr>
        <w:t>”), except as could not, individually or in the aggregate,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61" w:name="page62"/>
    <w:bookmarkEnd w:id="61"/>
    <w:p>
      <w:pPr>
        <w:jc w:val="both"/>
        <w:spacing w:after="0" w:line="269" w:lineRule="auto"/>
        <w:rPr>
          <w:sz w:val="20"/>
          <w:szCs w:val="20"/>
          <w:color w:val="auto"/>
        </w:rPr>
      </w:pPr>
      <w:r>
        <w:rPr>
          <w:rFonts w:ascii="Arial" w:cs="Arial" w:eastAsia="Arial" w:hAnsi="Arial"/>
          <w:sz w:val="18"/>
          <w:szCs w:val="18"/>
          <w:color w:val="auto"/>
        </w:rPr>
        <w:t>reasonably be expected to result in a Material Adverse Effect, (ii) have not received any notice of adverse finding, warning letter, untitled letter or other correspondence or notice from the FDA or any other federal, state or foreign governmental authority having authority over the Company, any of its Subsidiaries or their activities alleging or asserting noncompliance with any Applicable Laws or any licenses, certificates, approvals, clearances, authorizations, permits and supplements or amendments thereto required by any such Applicable Laws (collectively, the “</w:t>
      </w:r>
      <w:r>
        <w:rPr>
          <w:rFonts w:ascii="Arial" w:cs="Arial" w:eastAsia="Arial" w:hAnsi="Arial"/>
          <w:sz w:val="18"/>
          <w:szCs w:val="18"/>
          <w:b w:val="1"/>
          <w:bCs w:val="1"/>
          <w:u w:val="single" w:color="auto"/>
          <w:color w:val="auto"/>
        </w:rPr>
        <w:t>Governmental Permits</w:t>
      </w:r>
      <w:r>
        <w:rPr>
          <w:rFonts w:ascii="Arial" w:cs="Arial" w:eastAsia="Arial" w:hAnsi="Arial"/>
          <w:sz w:val="18"/>
          <w:szCs w:val="18"/>
          <w:color w:val="auto"/>
        </w:rPr>
        <w:t>”), (iii) have made all filings with, the appropriate local, or other governmental or regulatory agencies or bodies that are necessary for the ownership or lease of their respective properties or the conduct of their respective businesses as described in the Registration Statement and the Prospectus, except where any failures to possess or make the same would not, singularly or in the aggregate, have a Material Adverse Effect, (iv) possess all material Governmental Permits necessary to conduct their respective businesses as described in the Registration Statement and the Prospectus, and such Governmental Permits are valid and in full force and effect and are not in violation of any term of any such Governmental Permits, (v) have filed, obtained, maintained or submitted all material reports, documents, forms, notices, applications, records, claims, submissions and supplements or amendments as required by any Applicable Laws or Governmental Permits and that all such reports, documents, forms, notices, applications, records, claims, submissions and supplements or amendments were complete and correct in all material respects on the date filed (or were corrected or supplemented by a subsequent submission), and (vi) are not a party to any corporate integrity agreements, monitoring agreements, consent decrees, settlement orders or similar agreements with or imposed by any governmental authority. All Governmental Permits are valid and in full force and effect, except where the validity or failure to be in full force and effect would not, singularly or in the aggregate, have a Material Adverse Effect.</w:t>
      </w:r>
    </w:p>
    <w:p>
      <w:pPr>
        <w:spacing w:after="0" w:line="178" w:lineRule="exact"/>
        <w:rPr>
          <w:sz w:val="20"/>
          <w:szCs w:val="20"/>
          <w:color w:val="auto"/>
        </w:rPr>
      </w:pPr>
    </w:p>
    <w:p>
      <w:pPr>
        <w:jc w:val="both"/>
        <w:ind w:firstLine="1763"/>
        <w:spacing w:after="0" w:line="255" w:lineRule="auto"/>
        <w:tabs>
          <w:tab w:leader="none" w:pos="2667"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There is no legal or governmental proceeding to which the Company or any of its Subsidiaries is a party or of which any property or assets of the Company or any of its Subsidiaries is the subject, including any proceeding before the FDA, the EMA or any foreign, local, national or other governmental agency with jurisdiction over the types of products being developed by the Company that is required to be described in the Registration Statement or the Prospectus and is not described therein, or which, singularly or in the aggregate, if determined adversely to the Company or any of its Subsidiaries, could reasonably be expected to have a Material Adverse Effect; and no such proceedings are threatened or contemplated by governmental or regulatory authorities or threatened by others. The Company and its Subsidiaries (i) have not received notice of any claim, action, suit, proceeding, hearing, enforcement, investigation, arbitration or other action from any governmental authority or third party alleging that any product operation or activity is in violation of any Applicable Laws or Governmental Permits and have no knowledge that any such governmental authority or third party is considering any such claim, litigation, arbitration, action, suit, investigation or proceeding and (ii) have not received notice that any governmental authority has taken, is taking or intends to take action to limit, suspend, modify or revoke any Governmental Permits and the Company has no knowledge that any such governmental authority is considering such action.</w:t>
      </w:r>
    </w:p>
    <w:p>
      <w:pPr>
        <w:spacing w:after="0" w:line="185" w:lineRule="exact"/>
        <w:rPr>
          <w:rFonts w:ascii="Arial" w:cs="Arial" w:eastAsia="Arial" w:hAnsi="Arial"/>
          <w:sz w:val="19"/>
          <w:szCs w:val="19"/>
          <w:color w:val="auto"/>
        </w:rPr>
      </w:pPr>
    </w:p>
    <w:p>
      <w:pPr>
        <w:jc w:val="both"/>
        <w:ind w:firstLine="1763"/>
        <w:spacing w:after="0" w:line="242" w:lineRule="auto"/>
        <w:tabs>
          <w:tab w:leader="none" w:pos="2689"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research, non-clinical pre-clinical studies and clinical studies and tests conducted or being conducted by or on behalf of the Company or any of its Subsidiaries or in which any of their respective product candidates have participated and, to the Company’s knowledge, the preclinical studies and clinical trials directed or sponsored by the Company’s collaborators (collectively, the “</w:t>
      </w:r>
      <w:r>
        <w:rPr>
          <w:rFonts w:ascii="Arial" w:cs="Arial" w:eastAsia="Arial" w:hAnsi="Arial"/>
          <w:sz w:val="20"/>
          <w:szCs w:val="20"/>
          <w:b w:val="1"/>
          <w:bCs w:val="1"/>
          <w:u w:val="single" w:color="auto"/>
          <w:color w:val="auto"/>
        </w:rPr>
        <w:t>Studies</w:t>
      </w:r>
      <w:r>
        <w:rPr>
          <w:rFonts w:ascii="Arial" w:cs="Arial" w:eastAsia="Arial" w:hAnsi="Arial"/>
          <w:sz w:val="20"/>
          <w:szCs w:val="20"/>
          <w:color w:val="auto"/>
        </w:rPr>
        <w:t>”) that are described in, or the results of which are referred to in, the Registration Statement and the Prospectus were and, if still pending, are being conducted with reasonable care and in all material respects in accordance with the protocols, procedures and controls pursuant to all Applicable Laws and Governmental Permits and with standard medical and scientific research procedures; each description of the results of such Studies is accurate and complete in all material respects and fairly presents the data derived from such Studies, and the Company and its Subsidiaries have no knowledge of any other research, non-clinical studies or tests the results of which are inconsistent with, or otherwise call into</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62" w:name="page63"/>
    <w:bookmarkEnd w:id="62"/>
    <w:p>
      <w:pPr>
        <w:jc w:val="both"/>
        <w:spacing w:after="0" w:line="274" w:lineRule="auto"/>
        <w:rPr>
          <w:sz w:val="20"/>
          <w:szCs w:val="20"/>
          <w:color w:val="auto"/>
        </w:rPr>
      </w:pPr>
      <w:r>
        <w:rPr>
          <w:rFonts w:ascii="Arial" w:cs="Arial" w:eastAsia="Arial" w:hAnsi="Arial"/>
          <w:sz w:val="18"/>
          <w:szCs w:val="18"/>
          <w:color w:val="auto"/>
        </w:rPr>
        <w:t>question, the results described or referred to in the Registration Statement and the Prospectus; the Company and its Subsidiaries have made all such filings and obtained all such approvals as may be required by the EMA, the FDA or any committee thereof or from any other United States or foreign government agency with jurisdiction over the types of products being developed by the Company; neither the Company nor any of its Subsidiaries has received any notice of, or correspondence from, any governmental authority requiring the termination, suspension or modification of any Study; and the Company and its Subsidiaries have each operated and currently are in compliance in all material respects with all applicable rules, regulations and policies of all governmental authorities. To the Company’s knowledge, the manufacturing facilities and operations of its suppliers are operated in compliance in all material respects with all Applicable Laws and Governmental Permits.</w:t>
      </w:r>
    </w:p>
    <w:p>
      <w:pPr>
        <w:spacing w:after="0" w:line="169" w:lineRule="exact"/>
        <w:rPr>
          <w:sz w:val="20"/>
          <w:szCs w:val="20"/>
          <w:color w:val="auto"/>
        </w:rPr>
      </w:pPr>
    </w:p>
    <w:p>
      <w:pPr>
        <w:jc w:val="both"/>
        <w:ind w:firstLine="1763"/>
        <w:spacing w:after="0" w:line="243" w:lineRule="auto"/>
        <w:tabs>
          <w:tab w:leader="none" w:pos="2645" w:val="left"/>
        </w:tabs>
        <w:numPr>
          <w:ilvl w:val="0"/>
          <w:numId w:val="66"/>
        </w:numPr>
        <w:rPr>
          <w:rFonts w:ascii="Arial" w:cs="Arial" w:eastAsia="Arial" w:hAnsi="Arial"/>
          <w:sz w:val="20"/>
          <w:szCs w:val="20"/>
          <w:color w:val="auto"/>
        </w:rPr>
      </w:pPr>
      <w:r>
        <w:rPr>
          <w:rFonts w:ascii="Arial" w:cs="Arial" w:eastAsia="Arial" w:hAnsi="Arial"/>
          <w:sz w:val="20"/>
          <w:szCs w:val="20"/>
          <w:color w:val="auto"/>
        </w:rPr>
        <w:t xml:space="preserve">The Company acknowledges and agrees that the Agent has informed the Company that the Agent may, to the extent permitted under the Securities Act and the Exchange Act, purchase and sell Shares for its own account while this Agreement is in effect; </w:t>
      </w:r>
      <w:r>
        <w:rPr>
          <w:rFonts w:ascii="Arial" w:cs="Arial" w:eastAsia="Arial" w:hAnsi="Arial"/>
          <w:sz w:val="20"/>
          <w:szCs w:val="20"/>
          <w:i w:val="1"/>
          <w:iCs w:val="1"/>
          <w:color w:val="auto"/>
        </w:rPr>
        <w:t>provided</w:t>
      </w:r>
      <w:r>
        <w:rPr>
          <w:rFonts w:ascii="Arial" w:cs="Arial" w:eastAsia="Arial" w:hAnsi="Arial"/>
          <w:sz w:val="20"/>
          <w:szCs w:val="20"/>
          <w:color w:val="auto"/>
        </w:rPr>
        <w:t>, that (i) no such purchase or sales shall take place while a Placement Notice is in effect (except to the extent the Agent may engage in</w:t>
      </w:r>
      <w:r>
        <w:rPr>
          <w:rFonts w:ascii="Arial" w:cs="Arial" w:eastAsia="Arial" w:hAnsi="Arial"/>
          <w:sz w:val="20"/>
          <w:szCs w:val="20"/>
          <w:i w:val="1"/>
          <w:iCs w:val="1"/>
          <w:color w:val="auto"/>
        </w:rPr>
        <w:t xml:space="preserve"> </w:t>
      </w:r>
      <w:r>
        <w:rPr>
          <w:rFonts w:ascii="Arial" w:cs="Arial" w:eastAsia="Arial" w:hAnsi="Arial"/>
          <w:sz w:val="20"/>
          <w:szCs w:val="20"/>
          <w:color w:val="auto"/>
        </w:rPr>
        <w:t>sales of Placement Shares purchased or deemed purchased from the Company as a “riskless principal” or in a similar capacity) and (ii) the Company shall not be deemed to have authorized or consented to any such purchases or sales by the Agent, except as may be otherwise agreed by the Company and the Agent.</w:t>
      </w:r>
    </w:p>
    <w:p>
      <w:pPr>
        <w:spacing w:after="0" w:line="196" w:lineRule="exact"/>
        <w:rPr>
          <w:rFonts w:ascii="Arial" w:cs="Arial" w:eastAsia="Arial" w:hAnsi="Arial"/>
          <w:sz w:val="20"/>
          <w:szCs w:val="20"/>
          <w:color w:val="auto"/>
        </w:rPr>
      </w:pPr>
    </w:p>
    <w:p>
      <w:pPr>
        <w:ind w:left="2740" w:hanging="977"/>
        <w:spacing w:after="0"/>
        <w:tabs>
          <w:tab w:leader="none" w:pos="2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is not a party to any agreement with an agent or underwriter for any other “at the market” or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continuous equity transaction.</w:t>
      </w:r>
    </w:p>
    <w:p>
      <w:pPr>
        <w:spacing w:after="0" w:line="199" w:lineRule="exact"/>
        <w:rPr>
          <w:rFonts w:ascii="Arial" w:cs="Arial" w:eastAsia="Arial" w:hAnsi="Arial"/>
          <w:sz w:val="18"/>
          <w:szCs w:val="18"/>
          <w:color w:val="auto"/>
        </w:rPr>
      </w:pPr>
    </w:p>
    <w:p>
      <w:pPr>
        <w:jc w:val="both"/>
        <w:ind w:firstLine="1763"/>
        <w:spacing w:after="0" w:line="258" w:lineRule="auto"/>
        <w:tabs>
          <w:tab w:leader="none" w:pos="2733" w:val="left"/>
        </w:tabs>
        <w:numPr>
          <w:ilvl w:val="0"/>
          <w:numId w:val="66"/>
        </w:numPr>
        <w:rPr>
          <w:rFonts w:ascii="Arial" w:cs="Arial" w:eastAsia="Arial" w:hAnsi="Arial"/>
          <w:sz w:val="19"/>
          <w:szCs w:val="19"/>
          <w:color w:val="auto"/>
        </w:rPr>
      </w:pPr>
      <w:r>
        <w:rPr>
          <w:rFonts w:ascii="Arial" w:cs="Arial" w:eastAsia="Arial" w:hAnsi="Arial"/>
          <w:sz w:val="19"/>
          <w:szCs w:val="19"/>
          <w:color w:val="auto"/>
        </w:rPr>
        <w:t>Neither the Company nor any of the Subsidiaries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 All of the information (including, but not limited to, information regarding affiliations, security ownership and trading activity) provided to the Agent or its counsel by the Company, its officers and directors and the holders of any securities (debt or equity) or warrants, options or rights to acquire any securities of the Company in connection with the filing to be made and other supplemental information to be provided to FINRA pursuant to FINRA Rule 5110 in connection with the transactions contemplated by this Agreement is true, complete and correct.</w:t>
      </w:r>
    </w:p>
    <w:p>
      <w:pPr>
        <w:spacing w:after="0" w:line="179" w:lineRule="exact"/>
        <w:rPr>
          <w:rFonts w:ascii="Arial" w:cs="Arial" w:eastAsia="Arial" w:hAnsi="Arial"/>
          <w:sz w:val="19"/>
          <w:szCs w:val="19"/>
          <w:color w:val="auto"/>
        </w:rPr>
      </w:pPr>
    </w:p>
    <w:p>
      <w:pPr>
        <w:ind w:left="2820" w:hanging="1057"/>
        <w:spacing w:after="0"/>
        <w:tabs>
          <w:tab w:leader="none" w:pos="28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Company is not a shell company (as defined in Rule 405) and has not been a shell company for at least</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12 calendar months previously.</w:t>
      </w:r>
    </w:p>
    <w:p>
      <w:pPr>
        <w:spacing w:after="0" w:line="199" w:lineRule="exact"/>
        <w:rPr>
          <w:rFonts w:ascii="Arial" w:cs="Arial" w:eastAsia="Arial" w:hAnsi="Arial"/>
          <w:sz w:val="16"/>
          <w:szCs w:val="16"/>
          <w:color w:val="auto"/>
        </w:rPr>
      </w:pPr>
    </w:p>
    <w:p>
      <w:pPr>
        <w:jc w:val="both"/>
        <w:ind w:firstLine="1763"/>
        <w:spacing w:after="0" w:line="282" w:lineRule="auto"/>
        <w:tabs>
          <w:tab w:leader="none" w:pos="2733"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of the independent directors (or independent director nominees, once appointed, if applicable) named in the Registration Statement and Prospectus satisfies the independence standards established by Nasdaq and, with respect to members of the Company’s audit committee, other than with respect to any non-independent director identified in the Registration Statement or Prospectus, the enhanced independence standards contained in Rule 10A-3(b)(1) promulgated by the Commission under the Exchange Act.</w:t>
      </w:r>
    </w:p>
    <w:p>
      <w:pPr>
        <w:spacing w:after="0" w:line="161" w:lineRule="exact"/>
        <w:rPr>
          <w:rFonts w:ascii="Arial" w:cs="Arial" w:eastAsia="Arial" w:hAnsi="Arial"/>
          <w:sz w:val="18"/>
          <w:szCs w:val="18"/>
          <w:color w:val="auto"/>
        </w:rPr>
      </w:pPr>
    </w:p>
    <w:p>
      <w:pPr>
        <w:jc w:val="both"/>
        <w:ind w:firstLine="1763"/>
        <w:spacing w:after="0" w:line="259" w:lineRule="auto"/>
        <w:tabs>
          <w:tab w:leader="none" w:pos="2733" w:val="left"/>
        </w:tabs>
        <w:numPr>
          <w:ilvl w:val="0"/>
          <w:numId w:val="66"/>
        </w:numPr>
        <w:rPr>
          <w:rFonts w:ascii="Arial" w:cs="Arial" w:eastAsia="Arial" w:hAnsi="Arial"/>
          <w:sz w:val="19"/>
          <w:szCs w:val="19"/>
          <w:color w:val="auto"/>
        </w:rPr>
      </w:pPr>
      <w:r>
        <w:rPr>
          <w:rFonts w:ascii="Arial" w:cs="Arial" w:eastAsia="Arial" w:hAnsi="Arial"/>
          <w:sz w:val="19"/>
          <w:szCs w:val="19"/>
          <w:color w:val="auto"/>
        </w:rPr>
        <w:t>Each financial or operational projection or other “forward-looking statement” (as defined by Section 27A of the Securities Act or 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 (ii) as required, is accompanied by meaningful cautionary statements identifying those factors that could cause actual results to differ materially from those in such forward-looking statement. No such statement was made with the knowledge of a director or senior manager of the Company that was false or misleading.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63" w:name="page64"/>
    <w:bookmarkEnd w:id="63"/>
    <w:p>
      <w:pPr>
        <w:ind w:left="2720" w:hanging="957"/>
        <w:spacing w:after="0"/>
        <w:tabs>
          <w:tab w:leader="none" w:pos="27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Company is not in or subject to a bankruptcy or insolvency proceeding in any jurisdiction.</w:t>
      </w:r>
    </w:p>
    <w:p>
      <w:pPr>
        <w:spacing w:after="0" w:line="216" w:lineRule="exact"/>
        <w:rPr>
          <w:sz w:val="20"/>
          <w:szCs w:val="20"/>
          <w:color w:val="auto"/>
        </w:rPr>
      </w:pPr>
    </w:p>
    <w:p>
      <w:pPr>
        <w:jc w:val="both"/>
        <w:ind w:firstLine="1763"/>
        <w:spacing w:after="0" w:line="255" w:lineRule="auto"/>
        <w:tabs>
          <w:tab w:leader="none" w:pos="2799" w:val="left"/>
        </w:tabs>
        <w:numPr>
          <w:ilvl w:val="0"/>
          <w:numId w:val="68"/>
        </w:numPr>
        <w:rPr>
          <w:rFonts w:ascii="Arial" w:cs="Arial" w:eastAsia="Arial" w:hAnsi="Arial"/>
          <w:sz w:val="19"/>
          <w:szCs w:val="19"/>
          <w:color w:val="auto"/>
        </w:rPr>
      </w:pPr>
      <w:r>
        <w:rPr>
          <w:rFonts w:ascii="Arial" w:cs="Arial" w:eastAsia="Arial" w:hAnsi="Arial"/>
          <w:sz w:val="19"/>
          <w:szCs w:val="19"/>
          <w:color w:val="auto"/>
        </w:rPr>
        <w:t>Except as would not have a Material Adverse Effect, neither the Company nor any of its Subsidiaries has breached and is currently in breach of any provision of any license, contract or other agreement governing the use by the Company or its Subsidiaries of Intellectual Property owned by third parties (collectively, the “</w:t>
      </w:r>
      <w:r>
        <w:rPr>
          <w:rFonts w:ascii="Arial" w:cs="Arial" w:eastAsia="Arial" w:hAnsi="Arial"/>
          <w:sz w:val="19"/>
          <w:szCs w:val="19"/>
          <w:b w:val="1"/>
          <w:bCs w:val="1"/>
          <w:u w:val="single" w:color="auto"/>
          <w:color w:val="auto"/>
        </w:rPr>
        <w:t>Licenses</w:t>
      </w:r>
      <w:r>
        <w:rPr>
          <w:rFonts w:ascii="Arial" w:cs="Arial" w:eastAsia="Arial" w:hAnsi="Arial"/>
          <w:sz w:val="19"/>
          <w:szCs w:val="19"/>
          <w:color w:val="auto"/>
        </w:rPr>
        <w:t>”) and no third party has alleged any such breach and the Company is unaware of any facts that would form a reasonable basis for such a claim. To the Company’s knowledge, no other party to the Licenses has breached or is currently in breach of any provision of the Licenses. Each of the Licenses is in full force and effect and constitutes a valid and binding agreement between the parties thereto, enforceable in accordance with its terms, and there has not occurred any breach or default under any such Licenses or any event that, with the giving of notice or lapse of time, would constitute a breach or default thereunder. Except as would not have a Material Adverse Effect, neither the Company nor any of its Subsidiaries has been and is currently involved in any disputes regarding the Licenses. To the Company’s knowledge, all patents licensed to the Company pursuant to the Licenses are valid, enforceable and being duly maintained. To the Company’s knowledge, any patent applications licensed to the Company pursuant to the Licenses are being duly prosecuted.</w:t>
      </w:r>
    </w:p>
    <w:p>
      <w:pPr>
        <w:spacing w:after="0" w:line="187" w:lineRule="exact"/>
        <w:rPr>
          <w:rFonts w:ascii="Arial" w:cs="Arial" w:eastAsia="Arial" w:hAnsi="Arial"/>
          <w:sz w:val="19"/>
          <w:szCs w:val="19"/>
          <w:color w:val="auto"/>
        </w:rPr>
      </w:pPr>
    </w:p>
    <w:p>
      <w:pPr>
        <w:ind w:firstLine="1763"/>
        <w:spacing w:after="0" w:line="260" w:lineRule="auto"/>
        <w:tabs>
          <w:tab w:leader="none" w:pos="2832"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Company and its Subsidiaries are in compliance in all material respects with the labor and employment laws and collective bargaining agreements and extension orders applicable to their employees in the State of Israel.</w:t>
      </w:r>
    </w:p>
    <w:p>
      <w:pPr>
        <w:spacing w:after="0" w:line="176" w:lineRule="exact"/>
        <w:rPr>
          <w:rFonts w:ascii="Arial" w:cs="Arial" w:eastAsia="Arial" w:hAnsi="Arial"/>
          <w:sz w:val="20"/>
          <w:szCs w:val="20"/>
          <w:color w:val="auto"/>
        </w:rPr>
      </w:pPr>
    </w:p>
    <w:p>
      <w:pPr>
        <w:jc w:val="both"/>
        <w:ind w:firstLine="1763"/>
        <w:spacing w:after="0" w:line="246" w:lineRule="auto"/>
        <w:tabs>
          <w:tab w:leader="none" w:pos="2799"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Company has not engaged in any form of solicitation, advertising or any other action constituting an offer under the Israeli Securities Law 5728-1968 as amended and the regulations promulgated thereunder (“</w:t>
      </w:r>
      <w:r>
        <w:rPr>
          <w:rFonts w:ascii="Arial" w:cs="Arial" w:eastAsia="Arial" w:hAnsi="Arial"/>
          <w:sz w:val="20"/>
          <w:szCs w:val="20"/>
          <w:b w:val="1"/>
          <w:bCs w:val="1"/>
          <w:u w:val="single" w:color="auto"/>
          <w:color w:val="auto"/>
        </w:rPr>
        <w:t>Israeli Securities Law</w:t>
      </w:r>
      <w:r>
        <w:rPr>
          <w:rFonts w:ascii="Arial" w:cs="Arial" w:eastAsia="Arial" w:hAnsi="Arial"/>
          <w:sz w:val="20"/>
          <w:szCs w:val="20"/>
          <w:color w:val="auto"/>
        </w:rPr>
        <w:t>”) in connection with the transactions contemplated hereby which would require the Company to publish a prospectus in the State of Israel under the laws of the State of Israel.</w:t>
      </w:r>
    </w:p>
    <w:p>
      <w:pPr>
        <w:spacing w:after="0" w:line="191" w:lineRule="exact"/>
        <w:rPr>
          <w:rFonts w:ascii="Arial" w:cs="Arial" w:eastAsia="Arial" w:hAnsi="Arial"/>
          <w:sz w:val="20"/>
          <w:szCs w:val="20"/>
          <w:color w:val="auto"/>
        </w:rPr>
      </w:pPr>
    </w:p>
    <w:p>
      <w:pPr>
        <w:jc w:val="both"/>
        <w:ind w:firstLine="1763"/>
        <w:spacing w:after="0" w:line="250" w:lineRule="auto"/>
        <w:tabs>
          <w:tab w:leader="none" w:pos="2832" w:val="left"/>
        </w:tabs>
        <w:numPr>
          <w:ilvl w:val="0"/>
          <w:numId w:val="68"/>
        </w:numPr>
        <w:rPr>
          <w:rFonts w:ascii="Arial" w:cs="Arial" w:eastAsia="Arial" w:hAnsi="Arial"/>
          <w:sz w:val="20"/>
          <w:szCs w:val="20"/>
          <w:color w:val="auto"/>
        </w:rPr>
      </w:pPr>
      <w:r>
        <w:rPr>
          <w:rFonts w:ascii="Arial" w:cs="Arial" w:eastAsia="Arial" w:hAnsi="Arial"/>
          <w:sz w:val="20"/>
          <w:szCs w:val="20"/>
          <w:color w:val="auto"/>
        </w:rPr>
        <w:t>Neither the Company nor any of its properties or assets has any immunity from the jurisdiction of any court or from any legal process (whether through service or notice, attachment prior to judgment, attachment in aid of execution or otherwise) under the laws of the State of Israel.</w:t>
      </w:r>
    </w:p>
    <w:p>
      <w:pPr>
        <w:spacing w:after="0" w:line="186" w:lineRule="exact"/>
        <w:rPr>
          <w:rFonts w:ascii="Arial" w:cs="Arial" w:eastAsia="Arial" w:hAnsi="Arial"/>
          <w:sz w:val="20"/>
          <w:szCs w:val="20"/>
          <w:color w:val="auto"/>
        </w:rPr>
      </w:pPr>
    </w:p>
    <w:p>
      <w:pPr>
        <w:ind w:left="2800" w:hanging="1037"/>
        <w:spacing w:after="0"/>
        <w:tabs>
          <w:tab w:leader="none" w:pos="2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has duly designated Arcturus Therapeutics Inc., as its authorized agent to receive service of</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 xml:space="preserve">process as set forth in </w:t>
      </w:r>
      <w:r>
        <w:rPr>
          <w:rFonts w:ascii="Arial" w:cs="Arial" w:eastAsia="Arial" w:hAnsi="Arial"/>
          <w:sz w:val="20"/>
          <w:szCs w:val="20"/>
          <w:u w:val="single" w:color="auto"/>
          <w:color w:val="auto"/>
        </w:rPr>
        <w:t>Section 18</w:t>
      </w:r>
      <w:r>
        <w:rPr>
          <w:rFonts w:ascii="Arial" w:cs="Arial" w:eastAsia="Arial" w:hAnsi="Arial"/>
          <w:sz w:val="20"/>
          <w:szCs w:val="20"/>
          <w:color w:val="auto"/>
        </w:rPr>
        <w:t>.</w:t>
      </w:r>
    </w:p>
    <w:p>
      <w:pPr>
        <w:spacing w:after="0" w:line="199" w:lineRule="exact"/>
        <w:rPr>
          <w:rFonts w:ascii="Arial" w:cs="Arial" w:eastAsia="Arial" w:hAnsi="Arial"/>
          <w:sz w:val="18"/>
          <w:szCs w:val="18"/>
          <w:color w:val="auto"/>
        </w:rPr>
      </w:pPr>
    </w:p>
    <w:p>
      <w:pPr>
        <w:jc w:val="both"/>
        <w:ind w:firstLine="1763"/>
        <w:spacing w:after="0" w:line="250" w:lineRule="auto"/>
        <w:tabs>
          <w:tab w:leader="none" w:pos="2726" w:val="left"/>
        </w:tabs>
        <w:numPr>
          <w:ilvl w:val="0"/>
          <w:numId w:val="68"/>
        </w:numPr>
        <w:rPr>
          <w:rFonts w:ascii="Arial" w:cs="Arial" w:eastAsia="Arial" w:hAnsi="Arial"/>
          <w:sz w:val="20"/>
          <w:szCs w:val="20"/>
          <w:color w:val="auto"/>
        </w:rPr>
      </w:pPr>
      <w:r>
        <w:rPr>
          <w:rFonts w:ascii="Arial" w:cs="Arial" w:eastAsia="Arial" w:hAnsi="Arial"/>
          <w:sz w:val="20"/>
          <w:szCs w:val="20"/>
          <w:color w:val="auto"/>
        </w:rPr>
        <w:t>Subject to the conditions and qualifications set forth in the Registration Statement and the Prospectus, a final and conclusive judgment against the Company for a definitive sum of money entered by any court in the United States may be enforced by an Israeli court.</w:t>
      </w:r>
    </w:p>
    <w:p>
      <w:pPr>
        <w:spacing w:after="0" w:line="186" w:lineRule="exact"/>
        <w:rPr>
          <w:rFonts w:ascii="Arial" w:cs="Arial" w:eastAsia="Arial" w:hAnsi="Arial"/>
          <w:sz w:val="20"/>
          <w:szCs w:val="20"/>
          <w:color w:val="auto"/>
        </w:rPr>
      </w:pPr>
    </w:p>
    <w:p>
      <w:pPr>
        <w:jc w:val="both"/>
        <w:ind w:firstLine="1763"/>
        <w:spacing w:after="0" w:line="263" w:lineRule="auto"/>
        <w:tabs>
          <w:tab w:leader="none" w:pos="2832" w:val="left"/>
        </w:tabs>
        <w:numPr>
          <w:ilvl w:val="0"/>
          <w:numId w:val="68"/>
        </w:numPr>
        <w:rPr>
          <w:rFonts w:ascii="Arial" w:cs="Arial" w:eastAsia="Arial" w:hAnsi="Arial"/>
          <w:sz w:val="19"/>
          <w:szCs w:val="19"/>
          <w:color w:val="auto"/>
        </w:rPr>
      </w:pPr>
      <w:r>
        <w:rPr>
          <w:rFonts w:ascii="Arial" w:cs="Arial" w:eastAsia="Arial" w:hAnsi="Arial"/>
          <w:sz w:val="19"/>
          <w:szCs w:val="19"/>
          <w:color w:val="auto"/>
        </w:rPr>
        <w:t>Aside from investors who are specified in Section 15A(b) of the Israeli Securities Law and offers made to employees of the Company or any subsidiary pursuant to an exemption issued by the Israeli Securities Authority pursuant to Section 15D of the Israeli Securities Law, there were no more than 35 offerees, in the aggregate, to whom the Company and any of its respective representatives made an offering in the State of Israel of any securities of the Company in the past twelve (12) months.</w:t>
      </w:r>
    </w:p>
    <w:p>
      <w:pPr>
        <w:spacing w:after="0" w:line="176" w:lineRule="exact"/>
        <w:rPr>
          <w:rFonts w:ascii="Arial" w:cs="Arial" w:eastAsia="Arial" w:hAnsi="Arial"/>
          <w:sz w:val="19"/>
          <w:szCs w:val="19"/>
          <w:color w:val="auto"/>
        </w:rPr>
      </w:pPr>
    </w:p>
    <w:p>
      <w:pPr>
        <w:ind w:right="20" w:firstLine="1763"/>
        <w:spacing w:after="0" w:line="260" w:lineRule="auto"/>
        <w:tabs>
          <w:tab w:leader="none" w:pos="2832"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Company acknowledges, understands and agrees that the Placement Shares may only be offered in the State of Israel to such investors listed in the Addendum.</w:t>
      </w:r>
    </w:p>
    <w:p>
      <w:pPr>
        <w:spacing w:after="0" w:line="177" w:lineRule="exact"/>
        <w:rPr>
          <w:sz w:val="20"/>
          <w:szCs w:val="20"/>
          <w:color w:val="auto"/>
        </w:rPr>
      </w:pPr>
    </w:p>
    <w:p>
      <w:pPr>
        <w:ind w:firstLine="877"/>
        <w:spacing w:after="0" w:line="287" w:lineRule="auto"/>
        <w:rPr>
          <w:sz w:val="20"/>
          <w:szCs w:val="20"/>
          <w:color w:val="auto"/>
        </w:rPr>
      </w:pPr>
      <w:r>
        <w:rPr>
          <w:rFonts w:ascii="Arial" w:cs="Arial" w:eastAsia="Arial" w:hAnsi="Arial"/>
          <w:sz w:val="19"/>
          <w:szCs w:val="19"/>
          <w:color w:val="auto"/>
        </w:rPr>
        <w:t>Any certificate signed by any officer of the Company and delivered to the Agent or its counsel in connection with the offering of the Placement Shares shall be deemed a representation and warranty by the Company, as to matters covered thereby, to the Agent.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64" w:name="page65"/>
    <w:bookmarkEnd w:id="64"/>
    <w:p>
      <w:pPr>
        <w:ind w:left="1680" w:hanging="795"/>
        <w:spacing w:after="0"/>
        <w:tabs>
          <w:tab w:leader="none" w:pos="1680"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Covenants of the Company</w:t>
      </w:r>
      <w:r>
        <w:rPr>
          <w:rFonts w:ascii="Arial" w:cs="Arial" w:eastAsia="Arial" w:hAnsi="Arial"/>
          <w:sz w:val="20"/>
          <w:szCs w:val="20"/>
          <w:color w:val="auto"/>
        </w:rPr>
        <w:t>. The Company covenants and agrees with the Agent that:</w:t>
      </w:r>
    </w:p>
    <w:p>
      <w:pPr>
        <w:spacing w:after="0" w:line="215" w:lineRule="exact"/>
        <w:rPr>
          <w:rFonts w:ascii="Arial" w:cs="Arial" w:eastAsia="Arial" w:hAnsi="Arial"/>
          <w:sz w:val="20"/>
          <w:szCs w:val="20"/>
          <w:color w:val="auto"/>
        </w:rPr>
      </w:pPr>
    </w:p>
    <w:p>
      <w:pPr>
        <w:jc w:val="both"/>
        <w:ind w:firstLine="1763"/>
        <w:spacing w:after="0" w:line="268" w:lineRule="auto"/>
        <w:tabs>
          <w:tab w:leader="none" w:pos="2623"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Registration Statement Amendments</w:t>
      </w:r>
      <w:r>
        <w:rPr>
          <w:rFonts w:ascii="Arial" w:cs="Arial" w:eastAsia="Arial" w:hAnsi="Arial"/>
          <w:sz w:val="18"/>
          <w:szCs w:val="18"/>
          <w:color w:val="auto"/>
        </w:rPr>
        <w:t xml:space="preserve">. After the date of this Agreement and during any period in which the Prospectus relating to any Placement Shares is required to be delivered by the Agent under the Securities Act (including in circumstances where such requirement may be satisfied pursuant to Rule 172 under the Securities Act or a similar rule); (i) the Company will notify the Agent promptly of the time when any subsequent amendment to the Registration Statement, other than Incorporated Documents, has been filed with the Commission and/or has become effective or any subsequent supplement to the Prospectus, other than Incorporated Documents, has been filed and of any request by the Commission for any amendment or supplement to the Registration Statement or Prospectus or for additional information; (ii) the Company will prepare and file with the Commission, promptly upon the Agent’s request, any amendments or supplements to the Registration Statement or Prospectus that, in the Agent’s reasonable opinion, may be necessary or advisable in connection with the distribution of the Placement Shares by the Agent (provided, however, that the failure of the Agent to make such request shall not relieve the Company of any obligation or liability hereunder, or affect the Agent’s right to rely on the representations and warranties made by the Company in this Agreement and provided, further, that the only remedy the Agent shall have with respect to the failure by the Company to make such filing (but without limiting the Agent’s rights under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hereof) will be to cease making sales under this Agreement until such amendment or supplement is filed); (iii) the Company will not file any amendment or supplement to the Registration Statement or Prospectus, other than Incorporated Documents, relating to the Placement Shares or a security convertible into or exchangeable or exercisable for the Placement Shares unless a copy thereof has been submitted to the Agent within a reasonable period of time before the filing and the Agent has not reasonably objected thereto (provided, however, that the failure of the Agent to make such objection shall not relieve the Company of any obligation or liability hereunder, or affect the Agent’s right to rely on the representations and warranties made by the Company in this Agreement and provided, further, that the only remedy the Agent shall have with respect to the Company’s making such filing notwithstanding the Agent’s objection (but without limiting the Agent’s rights under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hereof) will be to cease making sales under this Agreement) and the Company will furnish to the Agent at the time of filing thereof a copy of any Incorporated Document, except for those documents available via EDGAR; and (iv) the Company will cause each amendment or supplement to the Prospectus, other than Incorporated Documents, to be filed with the Commission as required pursuant to the applicable paragraph of Rule 424(b) of the Securities Act and, in the case of any Incorporated Document, to be filed with the Commission as required pursuant to the Exchange Act, within the time period prescribed.</w:t>
      </w:r>
    </w:p>
    <w:p>
      <w:pPr>
        <w:spacing w:after="0" w:line="180" w:lineRule="exact"/>
        <w:rPr>
          <w:rFonts w:ascii="Arial" w:cs="Arial" w:eastAsia="Arial" w:hAnsi="Arial"/>
          <w:sz w:val="18"/>
          <w:szCs w:val="18"/>
          <w:color w:val="auto"/>
        </w:rPr>
      </w:pPr>
    </w:p>
    <w:p>
      <w:pPr>
        <w:jc w:val="both"/>
        <w:ind w:firstLine="1763"/>
        <w:spacing w:after="0" w:line="242" w:lineRule="auto"/>
        <w:tabs>
          <w:tab w:leader="none" w:pos="2634" w:val="left"/>
        </w:tabs>
        <w:numPr>
          <w:ilvl w:val="1"/>
          <w:numId w:val="69"/>
        </w:numPr>
        <w:rPr>
          <w:rFonts w:ascii="Arial" w:cs="Arial" w:eastAsia="Arial" w:hAnsi="Arial"/>
          <w:sz w:val="20"/>
          <w:szCs w:val="20"/>
          <w:color w:val="auto"/>
        </w:rPr>
      </w:pPr>
      <w:r>
        <w:rPr>
          <w:rFonts w:ascii="Arial" w:cs="Arial" w:eastAsia="Arial" w:hAnsi="Arial"/>
          <w:sz w:val="20"/>
          <w:szCs w:val="20"/>
          <w:u w:val="single" w:color="auto"/>
          <w:color w:val="auto"/>
        </w:rPr>
        <w:t>Notice of Commission Stop Orders</w:t>
      </w:r>
      <w:r>
        <w:rPr>
          <w:rFonts w:ascii="Arial" w:cs="Arial" w:eastAsia="Arial" w:hAnsi="Arial"/>
          <w:sz w:val="20"/>
          <w:szCs w:val="20"/>
          <w:color w:val="auto"/>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for additional information related to the offering of the Placement Shares or for additional information related to the Registration Statement or the Prospectus.</w:t>
      </w:r>
    </w:p>
    <w:p>
      <w:pPr>
        <w:spacing w:after="0" w:line="197" w:lineRule="exact"/>
        <w:rPr>
          <w:rFonts w:ascii="Arial" w:cs="Arial" w:eastAsia="Arial" w:hAnsi="Arial"/>
          <w:sz w:val="20"/>
          <w:szCs w:val="20"/>
          <w:color w:val="auto"/>
        </w:rPr>
      </w:pPr>
    </w:p>
    <w:p>
      <w:pPr>
        <w:jc w:val="both"/>
        <w:ind w:firstLine="1763"/>
        <w:spacing w:after="0" w:line="243" w:lineRule="auto"/>
        <w:tabs>
          <w:tab w:leader="none" w:pos="2623" w:val="left"/>
        </w:tabs>
        <w:numPr>
          <w:ilvl w:val="1"/>
          <w:numId w:val="69"/>
        </w:numPr>
        <w:rPr>
          <w:rFonts w:ascii="Arial" w:cs="Arial" w:eastAsia="Arial" w:hAnsi="Arial"/>
          <w:sz w:val="20"/>
          <w:szCs w:val="20"/>
          <w:color w:val="auto"/>
        </w:rPr>
      </w:pPr>
      <w:r>
        <w:rPr>
          <w:rFonts w:ascii="Arial" w:cs="Arial" w:eastAsia="Arial" w:hAnsi="Arial"/>
          <w:sz w:val="20"/>
          <w:szCs w:val="20"/>
          <w:u w:val="single" w:color="auto"/>
          <w:color w:val="auto"/>
        </w:rPr>
        <w:t>Delivery of Prospectus; Subsequent Changes</w:t>
      </w:r>
      <w:r>
        <w:rPr>
          <w:rFonts w:ascii="Arial" w:cs="Arial" w:eastAsia="Arial" w:hAnsi="Arial"/>
          <w:sz w:val="20"/>
          <w:szCs w:val="20"/>
          <w:color w:val="auto"/>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of the Securities Act Rules or a similar rule), the Company will comply in all material respects with all requirements imposed upon it by the Securities Act, as from time to time in force, and will file on or before their respective due dates (taking into account any extensions available under the Exchange Act) all reports and any definitive proxy or information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65" w:name="page66"/>
    <w:bookmarkEnd w:id="65"/>
    <w:p>
      <w:pPr>
        <w:jc w:val="both"/>
        <w:spacing w:after="0" w:line="241" w:lineRule="auto"/>
        <w:rPr>
          <w:sz w:val="20"/>
          <w:szCs w:val="20"/>
          <w:color w:val="auto"/>
        </w:rPr>
      </w:pPr>
      <w:r>
        <w:rPr>
          <w:rFonts w:ascii="Arial" w:cs="Arial" w:eastAsia="Arial" w:hAnsi="Arial"/>
          <w:sz w:val="20"/>
          <w:szCs w:val="20"/>
          <w:color w:val="auto"/>
        </w:rPr>
        <w:t>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If the Company has omitted any information from the Registration Statement pursuant to Rule 430B under the Securities Act, it will use its best efforts to comply with the provisions thereof and make all requisite filings with the Commission pursuant to said Rule 430B and to notify the Agent promptly of all such filings if not available on EDGAR.</w:t>
      </w:r>
    </w:p>
    <w:p>
      <w:pPr>
        <w:spacing w:after="0" w:line="203" w:lineRule="exact"/>
        <w:rPr>
          <w:sz w:val="20"/>
          <w:szCs w:val="20"/>
          <w:color w:val="auto"/>
        </w:rPr>
      </w:pPr>
    </w:p>
    <w:p>
      <w:pPr>
        <w:jc w:val="both"/>
        <w:ind w:firstLine="1763"/>
        <w:spacing w:after="0" w:line="278" w:lineRule="auto"/>
        <w:tabs>
          <w:tab w:leader="none" w:pos="2634"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Listing of Placement Shares</w:t>
      </w:r>
      <w:r>
        <w:rPr>
          <w:rFonts w:ascii="Arial" w:cs="Arial" w:eastAsia="Arial" w:hAnsi="Arial"/>
          <w:sz w:val="18"/>
          <w:szCs w:val="18"/>
          <w:color w:val="auto"/>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use its commercially reasonable efforts to cause the Placement Shares to be listed on Nasdaq. The Company will timely file with Nasdaq all material documents and notices required by Nasdaq of companies that have or will issue securities that are traded on Nasdaq.</w:t>
      </w:r>
    </w:p>
    <w:p>
      <w:pPr>
        <w:spacing w:after="0" w:line="165" w:lineRule="exact"/>
        <w:rPr>
          <w:rFonts w:ascii="Arial" w:cs="Arial" w:eastAsia="Arial" w:hAnsi="Arial"/>
          <w:sz w:val="18"/>
          <w:szCs w:val="18"/>
          <w:color w:val="auto"/>
        </w:rPr>
      </w:pPr>
    </w:p>
    <w:p>
      <w:pPr>
        <w:jc w:val="both"/>
        <w:ind w:firstLine="1763"/>
        <w:spacing w:after="0" w:line="257" w:lineRule="auto"/>
        <w:tabs>
          <w:tab w:leader="none" w:pos="2623"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Delivery of Registration Statement and Prospectus</w:t>
      </w:r>
      <w:r>
        <w:rPr>
          <w:rFonts w:ascii="Arial" w:cs="Arial" w:eastAsia="Arial" w:hAnsi="Arial"/>
          <w:sz w:val="19"/>
          <w:szCs w:val="19"/>
          <w:color w:val="auto"/>
        </w:rPr>
        <w:t xml:space="preserve">. The Company will furnish to the Agent and its counsel (at the expense of the Company) copies of the Registration Statement, the Prospectus (including all Incorporated Documents) and all amendments and supplements to the Registration Statement or Prospectus that are filed with the Commission during any period in which the Prospectus relating to the Placement Shares is required to be delivered under the Securities Act (including all Incorporated Documents filed with the Commission during such period),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shall not be required to furnish any document (other than the Prospectus) to the Agent to the extent such document is available on EDGAR.</w:t>
      </w:r>
    </w:p>
    <w:p>
      <w:pPr>
        <w:spacing w:after="0" w:line="181" w:lineRule="exact"/>
        <w:rPr>
          <w:rFonts w:ascii="Arial" w:cs="Arial" w:eastAsia="Arial" w:hAnsi="Arial"/>
          <w:sz w:val="19"/>
          <w:szCs w:val="19"/>
          <w:color w:val="auto"/>
        </w:rPr>
      </w:pPr>
    </w:p>
    <w:p>
      <w:pPr>
        <w:jc w:val="both"/>
        <w:ind w:firstLine="1763"/>
        <w:spacing w:after="0" w:line="269" w:lineRule="auto"/>
        <w:tabs>
          <w:tab w:leader="none" w:pos="2601"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Earnings Statement</w:t>
      </w:r>
      <w:r>
        <w:rPr>
          <w:rFonts w:ascii="Arial" w:cs="Arial" w:eastAsia="Arial" w:hAnsi="Arial"/>
          <w:sz w:val="19"/>
          <w:szCs w:val="19"/>
          <w:color w:val="auto"/>
        </w:rPr>
        <w:t>. The Company will make generally available to its security holders and to the Agent as soon as practicable, but in any event not later than 15 months after the end of the Company’s current fiscal quarter, an earnings statement covering a 12-month period that satisfies the provisions of Section 11(a) of and Rule 158 under the Securities Act.</w:t>
      </w:r>
    </w:p>
    <w:p>
      <w:pPr>
        <w:spacing w:after="0" w:line="170" w:lineRule="exact"/>
        <w:rPr>
          <w:rFonts w:ascii="Arial" w:cs="Arial" w:eastAsia="Arial" w:hAnsi="Arial"/>
          <w:sz w:val="19"/>
          <w:szCs w:val="19"/>
          <w:color w:val="auto"/>
        </w:rPr>
      </w:pPr>
    </w:p>
    <w:p>
      <w:pPr>
        <w:jc w:val="both"/>
        <w:ind w:firstLine="1763"/>
        <w:spacing w:after="0" w:line="302" w:lineRule="auto"/>
        <w:tabs>
          <w:tab w:leader="none" w:pos="2634"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The Company will pay all expenses incident to the performance of its obligations hereunder, including, but not limited to, expenses relating to (i) the preparation, printing and filing of the Registration Statement and each amendment and supplement thereto, of the Prospectus and of each amendment and supplement thereto and of this Agreement and such other documents as may be required in connection with the offering, purchase, sale, issuance or delivery of the Placement Shares, (ii) the preparation, issuance, sale and delivery of the Placement Shares and any taxes due or payable in connection therewith, (iii) the qualification of the Placement Shares under securities laws in accordance with the provisions of </w:t>
      </w:r>
      <w:r>
        <w:rPr>
          <w:rFonts w:ascii="Arial" w:cs="Arial" w:eastAsia="Arial" w:hAnsi="Arial"/>
          <w:sz w:val="16"/>
          <w:szCs w:val="16"/>
          <w:u w:val="single" w:color="auto"/>
          <w:color w:val="auto"/>
        </w:rPr>
        <w:t>Section 7(w)</w:t>
      </w:r>
      <w:r>
        <w:rPr>
          <w:rFonts w:ascii="Arial" w:cs="Arial" w:eastAsia="Arial" w:hAnsi="Arial"/>
          <w:sz w:val="16"/>
          <w:szCs w:val="16"/>
          <w:color w:val="auto"/>
        </w:rPr>
        <w:t xml:space="preserve"> of this Agreement, including filing fees (provided, however, that any fees or disbursements of counsel for the Agent in connection therewith shall be paid by the Agent except as set forth in clauses (vii) and (viii) below),</w:t>
      </w:r>
    </w:p>
    <w:p>
      <w:pPr>
        <w:spacing w:after="0" w:line="2" w:lineRule="exact"/>
        <w:rPr>
          <w:rFonts w:ascii="Arial" w:cs="Arial" w:eastAsia="Arial" w:hAnsi="Arial"/>
          <w:sz w:val="16"/>
          <w:szCs w:val="16"/>
          <w:color w:val="auto"/>
        </w:rPr>
      </w:pPr>
    </w:p>
    <w:p>
      <w:pPr>
        <w:ind w:firstLine="8"/>
        <w:spacing w:after="0" w:line="269" w:lineRule="auto"/>
        <w:tabs>
          <w:tab w:leader="none" w:pos="343"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printing and delivery to the Agent and its counsel of copies of the Prospectus and any amendments or supplements thereto, and of this Agreement, (v) the fees and expenses incurred in connection with the listing or qualification of the Placement Shares for trading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66" w:name="page67"/>
    <w:bookmarkEnd w:id="66"/>
    <w:p>
      <w:pPr>
        <w:jc w:val="both"/>
        <w:spacing w:after="0" w:line="278" w:lineRule="auto"/>
        <w:rPr>
          <w:sz w:val="20"/>
          <w:szCs w:val="20"/>
          <w:color w:val="auto"/>
        </w:rPr>
      </w:pPr>
      <w:r>
        <w:rPr>
          <w:rFonts w:ascii="Arial" w:cs="Arial" w:eastAsia="Arial" w:hAnsi="Arial"/>
          <w:sz w:val="18"/>
          <w:szCs w:val="18"/>
          <w:color w:val="auto"/>
        </w:rPr>
        <w:t>on Nasdaq, (vi) the filing fees and expenses, if any, owed to the Commission or FINRA and the fees and expenses of any transfer agent or registrar for the Shares, (vii) the fees and associated expenses of the Agent’s outside legal counsel for filings with the FINRA Corporate Financing Department in an amount not to exceed $15,000 (excluding FINRA filing fees referred to in clause (vi) above and in addition to the fees and disbursements referred to in clause (viii) below), and (viii) the reasonable fees and disbursements of the Agent’s outside legal counsel in an amount not to exceed $50,000 (in addition to the fees and associated expenses referred to in clause (vii) above).</w:t>
      </w:r>
    </w:p>
    <w:p>
      <w:pPr>
        <w:spacing w:after="0" w:line="165" w:lineRule="exact"/>
        <w:rPr>
          <w:sz w:val="20"/>
          <w:szCs w:val="20"/>
          <w:color w:val="auto"/>
        </w:rPr>
      </w:pPr>
    </w:p>
    <w:p>
      <w:pPr>
        <w:ind w:left="2640" w:hanging="877"/>
        <w:spacing w:after="0"/>
        <w:tabs>
          <w:tab w:leader="none" w:pos="2640"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Use of Proceeds</w:t>
      </w:r>
      <w:r>
        <w:rPr>
          <w:rFonts w:ascii="Arial" w:cs="Arial" w:eastAsia="Arial" w:hAnsi="Arial"/>
          <w:sz w:val="19"/>
          <w:szCs w:val="19"/>
          <w:color w:val="auto"/>
        </w:rPr>
        <w:t>.  The Company will use the Net Proceeds as described in the Prospectus in the section</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entitled “Use of Proceeds.”</w:t>
      </w:r>
    </w:p>
    <w:p>
      <w:pPr>
        <w:spacing w:after="0" w:line="199" w:lineRule="exact"/>
        <w:rPr>
          <w:rFonts w:ascii="Arial" w:cs="Arial" w:eastAsia="Arial" w:hAnsi="Arial"/>
          <w:sz w:val="19"/>
          <w:szCs w:val="19"/>
          <w:color w:val="auto"/>
        </w:rPr>
      </w:pPr>
    </w:p>
    <w:p>
      <w:pPr>
        <w:jc w:val="both"/>
        <w:ind w:firstLine="1763"/>
        <w:spacing w:after="0" w:line="269" w:lineRule="auto"/>
        <w:tabs>
          <w:tab w:leader="none" w:pos="259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Notice of Other Sales</w:t>
      </w:r>
      <w:r>
        <w:rPr>
          <w:rFonts w:ascii="Arial" w:cs="Arial" w:eastAsia="Arial" w:hAnsi="Arial"/>
          <w:sz w:val="18"/>
          <w:szCs w:val="18"/>
          <w:color w:val="auto"/>
        </w:rPr>
        <w:t xml:space="preserve">. Without the prior written consent of the Agent, the Company will not, directly or indirectly, offer to sell, sell, contract to sell, grant any option to sell or otherwise dispose of any Shares (other than the Placement Shares offered pursuant to this Agreement) or securities convertible into or exchangeable or exercisable for Shares, warrants or any rights to purchase or acquire Shares during the period beginning on the fifth Trading Day immediately prior to the date on which any Placement Notice is delivered to Agent hereunder and ending on the second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offering” or continuous equity transaction offer to sell, sell, contract to sell, grant any option to sell or otherwise dispose of any Shares (other than the Placement Shares offered pursuant to this Agreement) or securities convertible into or exchangeable or exercisable for Shares, warrants or any rights to purchase or acquire, Shares prior to the later of the termination of this Agreement and the sixtieth day immediately following the final Settlement Date with respect to Placement Shares sold pursuant to such Placement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restrictions will not be required in connection with the Company’s issuance or sale of (i) Shares, options to purchase Shares, other securities under the Company’s existing equity incentive plans, or Shares issuable upon the exercise of options or vesting of other securities, pursuant to any employee or director share option or benefits plan, share ownership plan or dividend reinvestment plan (but not Shares subject to a waiver to exceed plan limits in its dividend reinvestment plan) of the Company whether now in effect or hereafter implemented, (ii) Shares issuable upon conversion of securities or the exercise of warrants, options or other rights in effect or outstanding, and disclosed in filings by the Company available on EDGAR or otherwise in writing to the Agent and (iii) Shares or securities convertible into or exchangeable for Shares as consideration for mergers, acquisitions, other business combinations or strategic alliances occurring after the date of this Agreement which are not issued for capital raising purposes.</w:t>
      </w:r>
    </w:p>
    <w:p>
      <w:pPr>
        <w:spacing w:after="0" w:line="170" w:lineRule="exact"/>
        <w:rPr>
          <w:rFonts w:ascii="Arial" w:cs="Arial" w:eastAsia="Arial" w:hAnsi="Arial"/>
          <w:sz w:val="18"/>
          <w:szCs w:val="18"/>
          <w:color w:val="auto"/>
        </w:rPr>
      </w:pPr>
    </w:p>
    <w:p>
      <w:pPr>
        <w:jc w:val="both"/>
        <w:ind w:firstLine="1763"/>
        <w:spacing w:after="0" w:line="291" w:lineRule="auto"/>
        <w:tabs>
          <w:tab w:leader="none" w:pos="259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Change of Circumstances</w:t>
      </w:r>
      <w:r>
        <w:rPr>
          <w:rFonts w:ascii="Arial" w:cs="Arial" w:eastAsia="Arial" w:hAnsi="Arial"/>
          <w:sz w:val="18"/>
          <w:szCs w:val="18"/>
          <w:color w:val="auto"/>
        </w:rPr>
        <w:t>. The Company will, at any time during the pendency of a Placement Notice, advise the Agent promptly after it shall have received notice or obtained knowledge of any information or fact that would alter or affect in any material respect any opinion, certificate, letter or other document provided or required to be provided to the Agent pursuant to this Agreement.</w:t>
      </w:r>
    </w:p>
    <w:p>
      <w:pPr>
        <w:spacing w:after="0" w:line="151" w:lineRule="exact"/>
        <w:rPr>
          <w:rFonts w:ascii="Arial" w:cs="Arial" w:eastAsia="Arial" w:hAnsi="Arial"/>
          <w:sz w:val="18"/>
          <w:szCs w:val="18"/>
          <w:color w:val="auto"/>
        </w:rPr>
      </w:pPr>
    </w:p>
    <w:p>
      <w:pPr>
        <w:jc w:val="both"/>
        <w:ind w:firstLine="1763"/>
        <w:spacing w:after="0" w:line="263" w:lineRule="auto"/>
        <w:tabs>
          <w:tab w:leader="none" w:pos="2634"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Due Diligence Cooperation</w:t>
      </w:r>
      <w:r>
        <w:rPr>
          <w:rFonts w:ascii="Arial" w:cs="Arial" w:eastAsia="Arial" w:hAnsi="Arial"/>
          <w:sz w:val="19"/>
          <w:szCs w:val="19"/>
          <w:color w:val="auto"/>
        </w:rPr>
        <w:t>. During the term of this Agreement, the Company will cooperate with any reasonable due diligence review conducted by the Agent, its affiliates agents and counsel from time to time in connection with the transactions contemplated hereby, including, without limitation, providing information and making available documents and senior corporate officers, during regular business hours and at the Company’s principal offices, as the Agent may reasonably request.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67" w:name="page68"/>
    <w:bookmarkEnd w:id="67"/>
    <w:p>
      <w:pPr>
        <w:jc w:val="both"/>
        <w:ind w:firstLine="1763"/>
        <w:spacing w:after="0" w:line="256" w:lineRule="auto"/>
        <w:tabs>
          <w:tab w:leader="none" w:pos="2590"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Required Filings Relating to Placement of Placement Shares</w:t>
      </w:r>
      <w:r>
        <w:rPr>
          <w:rFonts w:ascii="Arial" w:cs="Arial" w:eastAsia="Arial" w:hAnsi="Arial"/>
          <w:sz w:val="19"/>
          <w:szCs w:val="19"/>
          <w:color w:val="auto"/>
        </w:rPr>
        <w:t xml:space="preserve">. The Company agrees that on or prior to such dates as the Securities Act shall require, the Company will (i) file a prospectus supplement with the Commission under the applicable paragraph of Rule 424(b) under the Securities Act, which prospectus supplement will set forth, within the relevant period, the number or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unless a prospectus supplement containing such information is required to be filed under the Securities Act, the requirement of this </w:t>
      </w:r>
      <w:r>
        <w:rPr>
          <w:rFonts w:ascii="Arial" w:cs="Arial" w:eastAsia="Arial" w:hAnsi="Arial"/>
          <w:sz w:val="19"/>
          <w:szCs w:val="19"/>
          <w:u w:val="single" w:color="auto"/>
          <w:color w:val="auto"/>
        </w:rPr>
        <w:t>Section 7(l)</w:t>
      </w:r>
      <w:r>
        <w:rPr>
          <w:rFonts w:ascii="Arial" w:cs="Arial" w:eastAsia="Arial" w:hAnsi="Arial"/>
          <w:sz w:val="19"/>
          <w:szCs w:val="19"/>
          <w:color w:val="auto"/>
        </w:rPr>
        <w:t xml:space="preserve"> may be satisfied by Company’s inclusion in the Company’s Form 20-F or Form 6-K, as applicable, of the number or amount of Placement Shares sold through the Agent, the Net Proceeds to the Company and the compensation payable by the Company to the Agent with respect to such Placement Shares during the relevant period.</w:t>
      </w:r>
    </w:p>
    <w:p>
      <w:pPr>
        <w:spacing w:after="0" w:line="181" w:lineRule="exact"/>
        <w:rPr>
          <w:rFonts w:ascii="Arial" w:cs="Arial" w:eastAsia="Arial" w:hAnsi="Arial"/>
          <w:sz w:val="19"/>
          <w:szCs w:val="19"/>
          <w:color w:val="auto"/>
        </w:rPr>
      </w:pPr>
    </w:p>
    <w:p>
      <w:pPr>
        <w:ind w:firstLine="1763"/>
        <w:spacing w:after="0" w:line="260" w:lineRule="auto"/>
        <w:tabs>
          <w:tab w:leader="none" w:pos="2689"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Representation Dates; Certificate</w:t>
      </w:r>
      <w:r>
        <w:rPr>
          <w:rFonts w:ascii="Arial" w:cs="Arial" w:eastAsia="Arial" w:hAnsi="Arial"/>
          <w:sz w:val="20"/>
          <w:szCs w:val="20"/>
          <w:color w:val="auto"/>
        </w:rPr>
        <w:t>. On or prior to the date on which the Company first delivers a Placement Notice pursuant to this agreement (the “</w:t>
      </w:r>
      <w:r>
        <w:rPr>
          <w:rFonts w:ascii="Arial" w:cs="Arial" w:eastAsia="Arial" w:hAnsi="Arial"/>
          <w:sz w:val="20"/>
          <w:szCs w:val="20"/>
          <w:b w:val="1"/>
          <w:bCs w:val="1"/>
          <w:u w:val="single" w:color="auto"/>
          <w:color w:val="auto"/>
        </w:rPr>
        <w:t>First Placement Notice Date</w:t>
      </w:r>
      <w:r>
        <w:rPr>
          <w:rFonts w:ascii="Arial" w:cs="Arial" w:eastAsia="Arial" w:hAnsi="Arial"/>
          <w:sz w:val="20"/>
          <w:szCs w:val="20"/>
          <w:color w:val="auto"/>
        </w:rPr>
        <w:t>”) and each time the Company:</w:t>
      </w:r>
    </w:p>
    <w:p>
      <w:pPr>
        <w:spacing w:after="0" w:line="176" w:lineRule="exact"/>
        <w:rPr>
          <w:rFonts w:ascii="Arial" w:cs="Arial" w:eastAsia="Arial" w:hAnsi="Arial"/>
          <w:sz w:val="20"/>
          <w:szCs w:val="20"/>
          <w:color w:val="auto"/>
        </w:rPr>
      </w:pPr>
    </w:p>
    <w:p>
      <w:pPr>
        <w:jc w:val="both"/>
        <w:ind w:firstLine="2642"/>
        <w:spacing w:after="0" w:line="246" w:lineRule="auto"/>
        <w:tabs>
          <w:tab w:leader="none" w:pos="3469" w:val="left"/>
        </w:tabs>
        <w:numPr>
          <w:ilvl w:val="1"/>
          <w:numId w:val="73"/>
        </w:numPr>
        <w:rPr>
          <w:rFonts w:ascii="Arial" w:cs="Arial" w:eastAsia="Arial" w:hAnsi="Arial"/>
          <w:sz w:val="20"/>
          <w:szCs w:val="20"/>
          <w:color w:val="auto"/>
        </w:rPr>
      </w:pPr>
      <w:r>
        <w:rPr>
          <w:rFonts w:ascii="Arial" w:cs="Arial" w:eastAsia="Arial" w:hAnsi="Arial"/>
          <w:sz w:val="20"/>
          <w:szCs w:val="20"/>
          <w:color w:val="auto"/>
        </w:rPr>
        <w:t xml:space="preserve">amends or supplements the Registration Statement or the Prospectus relating to the Placement Shares (other than a prospectus supplement filed in accordance with </w:t>
      </w:r>
      <w:r>
        <w:rPr>
          <w:rFonts w:ascii="Arial" w:cs="Arial" w:eastAsia="Arial" w:hAnsi="Arial"/>
          <w:sz w:val="20"/>
          <w:szCs w:val="20"/>
          <w:u w:val="single" w:color="auto"/>
          <w:color w:val="auto"/>
        </w:rPr>
        <w:t>Section 7(l)</w:t>
      </w:r>
      <w:r>
        <w:rPr>
          <w:rFonts w:ascii="Arial" w:cs="Arial" w:eastAsia="Arial" w:hAnsi="Arial"/>
          <w:sz w:val="20"/>
          <w:szCs w:val="20"/>
          <w:color w:val="auto"/>
        </w:rPr>
        <w:t xml:space="preserve"> of this Agreement) by means of a post-effective amendment, sticker or supplement but not by means of incorporation of document(s) by reference into the Registration Statement or the Prospectus relating to the Placement Shares;</w:t>
      </w:r>
    </w:p>
    <w:p>
      <w:pPr>
        <w:spacing w:after="0" w:line="191" w:lineRule="exact"/>
        <w:rPr>
          <w:rFonts w:ascii="Arial" w:cs="Arial" w:eastAsia="Arial" w:hAnsi="Arial"/>
          <w:sz w:val="20"/>
          <w:szCs w:val="20"/>
          <w:color w:val="auto"/>
        </w:rPr>
      </w:pPr>
    </w:p>
    <w:p>
      <w:pPr>
        <w:ind w:left="3540" w:hanging="898"/>
        <w:spacing w:after="0"/>
        <w:tabs>
          <w:tab w:leader="none" w:pos="3540" w:val="left"/>
        </w:tabs>
        <w:numPr>
          <w:ilvl w:val="1"/>
          <w:numId w:val="73"/>
        </w:numPr>
        <w:rPr>
          <w:rFonts w:ascii="Arial" w:cs="Arial" w:eastAsia="Arial" w:hAnsi="Arial"/>
          <w:sz w:val="20"/>
          <w:szCs w:val="20"/>
          <w:color w:val="auto"/>
        </w:rPr>
      </w:pPr>
      <w:r>
        <w:rPr>
          <w:rFonts w:ascii="Arial" w:cs="Arial" w:eastAsia="Arial" w:hAnsi="Arial"/>
          <w:sz w:val="20"/>
          <w:szCs w:val="20"/>
          <w:color w:val="auto"/>
        </w:rPr>
        <w:t>files an annual report on Form 20-F under the Exchange Act (including any Form 20-F/A</w:t>
      </w:r>
    </w:p>
    <w:p>
      <w:pPr>
        <w:spacing w:after="0" w:line="1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containing amended financial information or a material amendment to the previously filed Form 20-F);</w:t>
      </w:r>
    </w:p>
    <w:p>
      <w:pPr>
        <w:spacing w:after="0" w:line="199" w:lineRule="exact"/>
        <w:rPr>
          <w:rFonts w:ascii="Arial" w:cs="Arial" w:eastAsia="Arial" w:hAnsi="Arial"/>
          <w:sz w:val="20"/>
          <w:szCs w:val="20"/>
          <w:color w:val="auto"/>
        </w:rPr>
      </w:pPr>
    </w:p>
    <w:p>
      <w:pPr>
        <w:ind w:left="3580" w:hanging="938"/>
        <w:spacing w:after="0"/>
        <w:tabs>
          <w:tab w:leader="none" w:pos="35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files a quarterly or six-month reports on Form 6-K under the Exchange Act containing financial</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statements, supporting schedules or other financial data incorporated by reference into the Registration Statement; or</w:t>
      </w:r>
    </w:p>
    <w:p>
      <w:pPr>
        <w:spacing w:after="0" w:line="199" w:lineRule="exact"/>
        <w:rPr>
          <w:rFonts w:ascii="Arial" w:cs="Arial" w:eastAsia="Arial" w:hAnsi="Arial"/>
          <w:sz w:val="18"/>
          <w:szCs w:val="18"/>
          <w:color w:val="auto"/>
        </w:rPr>
      </w:pPr>
    </w:p>
    <w:p>
      <w:pPr>
        <w:jc w:val="both"/>
        <w:ind w:firstLine="2642"/>
        <w:spacing w:after="0" w:line="269" w:lineRule="auto"/>
        <w:tabs>
          <w:tab w:leader="none" w:pos="3568" w:val="left"/>
        </w:tabs>
        <w:numPr>
          <w:ilvl w:val="1"/>
          <w:numId w:val="73"/>
        </w:numPr>
        <w:rPr>
          <w:rFonts w:ascii="Arial" w:cs="Arial" w:eastAsia="Arial" w:hAnsi="Arial"/>
          <w:sz w:val="18"/>
          <w:szCs w:val="18"/>
          <w:color w:val="auto"/>
        </w:rPr>
      </w:pPr>
      <w:r>
        <w:rPr>
          <w:rFonts w:ascii="Arial" w:cs="Arial" w:eastAsia="Arial" w:hAnsi="Arial"/>
          <w:sz w:val="18"/>
          <w:szCs w:val="18"/>
          <w:color w:val="auto"/>
        </w:rPr>
        <w:t>files a current report on Form 6-K containing amended financial information under the Exchange Act incorporated by reference into the Registration Statement (each date of filing of one or more of the documents referred to in clauses (i) through (iv) shall be a “</w:t>
      </w:r>
      <w:r>
        <w:rPr>
          <w:rFonts w:ascii="Arial" w:cs="Arial" w:eastAsia="Arial" w:hAnsi="Arial"/>
          <w:sz w:val="18"/>
          <w:szCs w:val="18"/>
          <w:b w:val="1"/>
          <w:bCs w:val="1"/>
          <w:u w:val="single" w:color="auto"/>
          <w:color w:val="auto"/>
        </w:rPr>
        <w:t>Representation Date</w:t>
      </w:r>
      <w:r>
        <w:rPr>
          <w:rFonts w:ascii="Arial" w:cs="Arial" w:eastAsia="Arial" w:hAnsi="Arial"/>
          <w:sz w:val="18"/>
          <w:szCs w:val="18"/>
          <w:color w:val="auto"/>
        </w:rPr>
        <w:t xml:space="preserve">”), the Company shall furnish the Agent (but in the case of clause (iv) above only if (1) a Placement Notice is pending or in effect and (2) the Agent requests such certificate within three Business Days after the filing of such Form 6-K with the Commission) with a certificate, in the form attached hereto as </w:t>
      </w:r>
      <w:r>
        <w:rPr>
          <w:rFonts w:ascii="Arial" w:cs="Arial" w:eastAsia="Arial" w:hAnsi="Arial"/>
          <w:sz w:val="18"/>
          <w:szCs w:val="18"/>
          <w:b w:val="1"/>
          <w:bCs w:val="1"/>
          <w:u w:val="single" w:color="auto"/>
          <w:color w:val="auto"/>
        </w:rPr>
        <w:t>Exhibit 7(m)</w:t>
      </w:r>
      <w:r>
        <w:rPr>
          <w:rFonts w:ascii="Arial" w:cs="Arial" w:eastAsia="Arial" w:hAnsi="Arial"/>
          <w:sz w:val="18"/>
          <w:szCs w:val="18"/>
          <w:color w:val="auto"/>
        </w:rPr>
        <w:t xml:space="preserve"> (modified, as necessary, to relate to the Registration Statement and the Prospectus as then amended or supplemented), within two Trading Days of any Representation Date. The requirement to provide a certificate under this </w:t>
      </w:r>
      <w:r>
        <w:rPr>
          <w:rFonts w:ascii="Arial" w:cs="Arial" w:eastAsia="Arial" w:hAnsi="Arial"/>
          <w:sz w:val="18"/>
          <w:szCs w:val="18"/>
          <w:u w:val="single" w:color="auto"/>
          <w:color w:val="auto"/>
        </w:rPr>
        <w:t>Section 7(m)</w:t>
      </w:r>
      <w:r>
        <w:rPr>
          <w:rFonts w:ascii="Arial" w:cs="Arial" w:eastAsia="Arial" w:hAnsi="Arial"/>
          <w:sz w:val="18"/>
          <w:szCs w:val="18"/>
          <w:color w:val="auto"/>
        </w:rPr>
        <w:t xml:space="preserve"> shall be waived for any Representation Date occurring at a time at which no Placement Notice is pending or in effect, which waiver shall continue until the earlier to occur of (1) the date the Company delivers a Placement Notice hereunder (which for such calendar quarter shall be considered a Representation Date) and (2) the next occurring Representation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such waiver shall not apply for any Representation Date on which the Company files its annual report on Form 20-F (including any Form 20-F containing amended financial information or a material amendment to the previously filed Form 20-F). Notwithstanding the foregoing, if the Company subsequently decides to sell Placement Shares following a Representation Date on which the Company relied on the waiver referred to in the previous sentence and did not provide the Agent with a certificate under this </w:t>
      </w:r>
      <w:r>
        <w:rPr>
          <w:rFonts w:ascii="Arial" w:cs="Arial" w:eastAsia="Arial" w:hAnsi="Arial"/>
          <w:sz w:val="18"/>
          <w:szCs w:val="18"/>
          <w:u w:val="single" w:color="auto"/>
          <w:color w:val="auto"/>
        </w:rPr>
        <w:t>Section 7(m)</w:t>
      </w:r>
      <w:r>
        <w:rPr>
          <w:rFonts w:ascii="Arial" w:cs="Arial" w:eastAsia="Arial" w:hAnsi="Arial"/>
          <w:sz w:val="18"/>
          <w:szCs w:val="18"/>
          <w:color w:val="auto"/>
        </w:rPr>
        <w:t xml:space="preserve">, then before the Company delivers a Placement Notice or the Agent sells any Placement Shares pursuant thereto, the Company shall provide the Agent with a certificate, in the form attached hereto as </w:t>
      </w:r>
      <w:r>
        <w:rPr>
          <w:rFonts w:ascii="Arial" w:cs="Arial" w:eastAsia="Arial" w:hAnsi="Arial"/>
          <w:sz w:val="18"/>
          <w:szCs w:val="18"/>
          <w:b w:val="1"/>
          <w:bCs w:val="1"/>
          <w:u w:val="single" w:color="auto"/>
          <w:color w:val="auto"/>
        </w:rPr>
        <w:t>Exhibit 7(m)</w:t>
      </w:r>
      <w:r>
        <w:rPr>
          <w:rFonts w:ascii="Arial" w:cs="Arial" w:eastAsia="Arial" w:hAnsi="Arial"/>
          <w:sz w:val="18"/>
          <w:szCs w:val="18"/>
          <w:color w:val="auto"/>
        </w:rPr>
        <w:t>, dated the date of such Placement Notice. Within two Trading Days of each Representation Date, the Company shall have furnished to the Agent such further information, certificates and documents as the Agent may reasonably request.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68" w:name="page69"/>
    <w:bookmarkEnd w:id="68"/>
    <w:p>
      <w:pPr>
        <w:jc w:val="both"/>
        <w:ind w:firstLine="1763"/>
        <w:spacing w:after="0" w:line="255" w:lineRule="auto"/>
        <w:tabs>
          <w:tab w:leader="none" w:pos="2634"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Legal Opinions</w:t>
      </w:r>
      <w:r>
        <w:rPr>
          <w:rFonts w:ascii="Arial" w:cs="Arial" w:eastAsia="Arial" w:hAnsi="Arial"/>
          <w:sz w:val="19"/>
          <w:szCs w:val="19"/>
          <w:color w:val="auto"/>
        </w:rPr>
        <w:t xml:space="preserve">. On or prior to the First Placement Notice Date and on any date which the Company is obligated to deliver a certificate pursuant to </w:t>
      </w:r>
      <w:r>
        <w:rPr>
          <w:rFonts w:ascii="Arial" w:cs="Arial" w:eastAsia="Arial" w:hAnsi="Arial"/>
          <w:sz w:val="19"/>
          <w:szCs w:val="19"/>
          <w:u w:val="single" w:color="auto"/>
          <w:color w:val="auto"/>
        </w:rPr>
        <w:t>Section 7(m)</w:t>
      </w:r>
      <w:r>
        <w:rPr>
          <w:rFonts w:ascii="Arial" w:cs="Arial" w:eastAsia="Arial" w:hAnsi="Arial"/>
          <w:sz w:val="19"/>
          <w:szCs w:val="19"/>
          <w:color w:val="auto"/>
        </w:rPr>
        <w:t xml:space="preserve"> for which no waiver is applicable, the Company shall cause to be furnished to the Agent the written opinion and negative assurance letter of Dentons US LLP, U.S. counsel to the Company and the written opinion of Barnea Jaffa Lande &amp; Co Law Offices, or such other counsel reasonably satisfactory to the Agent (each, a “</w:t>
      </w:r>
      <w:r>
        <w:rPr>
          <w:rFonts w:ascii="Arial" w:cs="Arial" w:eastAsia="Arial" w:hAnsi="Arial"/>
          <w:sz w:val="19"/>
          <w:szCs w:val="19"/>
          <w:b w:val="1"/>
          <w:bCs w:val="1"/>
          <w:u w:val="single" w:color="auto"/>
          <w:color w:val="auto"/>
        </w:rPr>
        <w:t>Company Counsel</w:t>
      </w:r>
      <w:r>
        <w:rPr>
          <w:rFonts w:ascii="Arial" w:cs="Arial" w:eastAsia="Arial" w:hAnsi="Arial"/>
          <w:sz w:val="19"/>
          <w:szCs w:val="19"/>
          <w:color w:val="auto"/>
        </w:rPr>
        <w:t xml:space="preserve">”), in form and substance reasonably satisfactory to the Agent and its counsel, dated the date that the opinion and negative assurance letter, as applicable, are required to be delivered, modified, as necessary, to relate to the Registration Statement and the Prospectus as then amended or supplemented; provided, however, the Company shall be required to furnish to Agent no more than one negative assurance letter and one opinion hereunder per calendar quarter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in lieu of such opinion and negative assurance letter for subsequent Representation Dates, each Company Counsel may furnish the Agent with a letter to the effect that the Agent may rely on a prior opinion or negative assurance letter, as applicable, delivered by such counsel under this </w:t>
      </w:r>
      <w:r>
        <w:rPr>
          <w:rFonts w:ascii="Arial" w:cs="Arial" w:eastAsia="Arial" w:hAnsi="Arial"/>
          <w:sz w:val="19"/>
          <w:szCs w:val="19"/>
          <w:u w:val="single" w:color="auto"/>
          <w:color w:val="auto"/>
        </w:rPr>
        <w:t>Section 7(n)</w:t>
      </w:r>
      <w:r>
        <w:rPr>
          <w:rFonts w:ascii="Arial" w:cs="Arial" w:eastAsia="Arial" w:hAnsi="Arial"/>
          <w:sz w:val="19"/>
          <w:szCs w:val="19"/>
          <w:color w:val="auto"/>
        </w:rPr>
        <w:t xml:space="preserve"> to the same extent as if it were dated the date of such letter (except that statements in such prior opinion or negative assurance letter shall be deemed to relate to the Registration Statement and the Prospectus as amended or supplemented at such Representation Date).</w:t>
      </w:r>
    </w:p>
    <w:p>
      <w:pPr>
        <w:spacing w:after="0" w:line="185" w:lineRule="exact"/>
        <w:rPr>
          <w:rFonts w:ascii="Arial" w:cs="Arial" w:eastAsia="Arial" w:hAnsi="Arial"/>
          <w:sz w:val="19"/>
          <w:szCs w:val="19"/>
          <w:color w:val="auto"/>
        </w:rPr>
      </w:pPr>
    </w:p>
    <w:p>
      <w:pPr>
        <w:jc w:val="both"/>
        <w:ind w:firstLine="1763"/>
        <w:spacing w:after="0" w:line="256" w:lineRule="auto"/>
        <w:tabs>
          <w:tab w:leader="none" w:pos="2634"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Intellectual Property Opinion</w:t>
      </w:r>
      <w:r>
        <w:rPr>
          <w:rFonts w:ascii="Arial" w:cs="Arial" w:eastAsia="Arial" w:hAnsi="Arial"/>
          <w:sz w:val="19"/>
          <w:szCs w:val="19"/>
          <w:color w:val="auto"/>
        </w:rPr>
        <w:t xml:space="preserve">. On or prior to the First Placement Notice Date and on any date which the Company is obligated to deliver a certificate pursuant to </w:t>
      </w:r>
      <w:r>
        <w:rPr>
          <w:rFonts w:ascii="Arial" w:cs="Arial" w:eastAsia="Arial" w:hAnsi="Arial"/>
          <w:sz w:val="19"/>
          <w:szCs w:val="19"/>
          <w:u w:val="single" w:color="auto"/>
          <w:color w:val="auto"/>
        </w:rPr>
        <w:t>Section 7(m)</w:t>
      </w:r>
      <w:r>
        <w:rPr>
          <w:rFonts w:ascii="Arial" w:cs="Arial" w:eastAsia="Arial" w:hAnsi="Arial"/>
          <w:sz w:val="19"/>
          <w:szCs w:val="19"/>
          <w:color w:val="auto"/>
        </w:rPr>
        <w:t xml:space="preserve"> for which no waiver is applicable, the Company shall cause to be furnished to the Agent the written opinion of Baker &amp; Hostetler LLP, intellectual property counsel to the Company, with respect to intellectual property matters, or such other intellectual property counsel reasonably satisfactory to the Agent (“</w:t>
      </w:r>
      <w:r>
        <w:rPr>
          <w:rFonts w:ascii="Arial" w:cs="Arial" w:eastAsia="Arial" w:hAnsi="Arial"/>
          <w:sz w:val="19"/>
          <w:szCs w:val="19"/>
          <w:b w:val="1"/>
          <w:bCs w:val="1"/>
          <w:u w:val="single" w:color="auto"/>
          <w:color w:val="auto"/>
        </w:rPr>
        <w:t>Intellectual Property Counsel</w:t>
      </w:r>
      <w:r>
        <w:rPr>
          <w:rFonts w:ascii="Arial" w:cs="Arial" w:eastAsia="Arial" w:hAnsi="Arial"/>
          <w:sz w:val="19"/>
          <w:szCs w:val="19"/>
          <w:color w:val="auto"/>
        </w:rPr>
        <w:t xml:space="preserve">”), in form and substance reasonably satisfactory to the Agent and its counsel, dated the date that the opinion letter is required to be delivered, modified, as necessary, to relate to the Registration Statement and the Prospectus as then amended or supplemented;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in lieu of such written opinion for subsequent Representation Dates, Intellectual Property Counsel may furnish the Agent with a letter to the effect that the Agent may rely on a prior opinion letter delivered by such counsel under this </w:t>
      </w:r>
      <w:r>
        <w:rPr>
          <w:rFonts w:ascii="Arial" w:cs="Arial" w:eastAsia="Arial" w:hAnsi="Arial"/>
          <w:sz w:val="19"/>
          <w:szCs w:val="19"/>
          <w:u w:val="single" w:color="auto"/>
          <w:color w:val="auto"/>
        </w:rPr>
        <w:t>Section 7(o)</w:t>
      </w:r>
      <w:r>
        <w:rPr>
          <w:rFonts w:ascii="Arial" w:cs="Arial" w:eastAsia="Arial" w:hAnsi="Arial"/>
          <w:sz w:val="19"/>
          <w:szCs w:val="19"/>
          <w:color w:val="auto"/>
        </w:rPr>
        <w:t xml:space="preserve"> to the same extent as if it were dated the date of such opinion letter (except that statements in such prior opinion letter shall be deemed to relate to the Registration Statement and the Prospectus as amended or supplemented at such Representation Date).</w:t>
      </w:r>
    </w:p>
    <w:p>
      <w:pPr>
        <w:spacing w:after="0" w:line="181" w:lineRule="exact"/>
        <w:rPr>
          <w:rFonts w:ascii="Arial" w:cs="Arial" w:eastAsia="Arial" w:hAnsi="Arial"/>
          <w:sz w:val="19"/>
          <w:szCs w:val="19"/>
          <w:color w:val="auto"/>
        </w:rPr>
      </w:pPr>
    </w:p>
    <w:p>
      <w:pPr>
        <w:jc w:val="both"/>
        <w:ind w:firstLine="1763"/>
        <w:spacing w:after="0" w:line="254" w:lineRule="auto"/>
        <w:tabs>
          <w:tab w:leader="none" w:pos="2634"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Comfort Letter</w:t>
      </w:r>
      <w:r>
        <w:rPr>
          <w:rFonts w:ascii="Arial" w:cs="Arial" w:eastAsia="Arial" w:hAnsi="Arial"/>
          <w:sz w:val="19"/>
          <w:szCs w:val="19"/>
          <w:color w:val="auto"/>
        </w:rPr>
        <w:t xml:space="preserve">. On or prior to the First Placement Notice Date and on any date which the Company is obligated to deliver a certificate pursuant to </w:t>
      </w:r>
      <w:r>
        <w:rPr>
          <w:rFonts w:ascii="Arial" w:cs="Arial" w:eastAsia="Arial" w:hAnsi="Arial"/>
          <w:sz w:val="19"/>
          <w:szCs w:val="19"/>
          <w:u w:val="single" w:color="auto"/>
          <w:color w:val="auto"/>
        </w:rPr>
        <w:t>Section 7(m)</w:t>
      </w:r>
      <w:r>
        <w:rPr>
          <w:rFonts w:ascii="Arial" w:cs="Arial" w:eastAsia="Arial" w:hAnsi="Arial"/>
          <w:sz w:val="19"/>
          <w:szCs w:val="19"/>
          <w:color w:val="auto"/>
        </w:rPr>
        <w:t xml:space="preserve"> for which no waiver is applicable, the Company shall cause its independent registered public accounting firm (and any other independent accountants whose report is included in the Registration Statement or the Prospectus) to furnish the Agent letters (the “</w:t>
      </w:r>
      <w:r>
        <w:rPr>
          <w:rFonts w:ascii="Arial" w:cs="Arial" w:eastAsia="Arial" w:hAnsi="Arial"/>
          <w:sz w:val="19"/>
          <w:szCs w:val="19"/>
          <w:b w:val="1"/>
          <w:bCs w:val="1"/>
          <w:u w:val="single" w:color="auto"/>
          <w:color w:val="auto"/>
        </w:rPr>
        <w:t>Comfort Letters</w:t>
      </w:r>
      <w:r>
        <w:rPr>
          <w:rFonts w:ascii="Arial" w:cs="Arial" w:eastAsia="Arial" w:hAnsi="Arial"/>
          <w:sz w:val="19"/>
          <w:szCs w:val="19"/>
          <w:color w:val="auto"/>
        </w:rPr>
        <w:t xml:space="preserve">”), dated the date the Comfort Letter is delivered, which shall meet the requirements set forth in this </w:t>
      </w:r>
      <w:r>
        <w:rPr>
          <w:rFonts w:ascii="Arial" w:cs="Arial" w:eastAsia="Arial" w:hAnsi="Arial"/>
          <w:sz w:val="19"/>
          <w:szCs w:val="19"/>
          <w:u w:val="single" w:color="auto"/>
          <w:color w:val="auto"/>
        </w:rPr>
        <w:t>Section 7(p)</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 if reasonably requested by the Agent, the Company shall cause a Comfort Letter to be furnished to the Agent within 10 Trading Days of the occurrence of any material transaction or event that necessitates the filing of additional, pro forma, amended or revised financial statements (including any restatement of previously issued financial statements). Each Comfort Letter shall be in form and substance reasonably satisfactory to the Agent and each Comfort Letter from the Company’s independent registered public accounting firm shall (i) confirm that they are an independent registered public accounting firm within the meaning of the Securities Act and the PCAOB, (ii) state,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19"/>
          <w:szCs w:val="19"/>
          <w:b w:val="1"/>
          <w:bCs w:val="1"/>
          <w:u w:val="single" w:color="auto"/>
          <w:color w:val="auto"/>
        </w:rPr>
        <w:t>Initial Comfort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Letter</w:t>
      </w:r>
      <w:r>
        <w:rPr>
          <w:rFonts w:ascii="Arial" w:cs="Arial" w:eastAsia="Arial" w:hAnsi="Arial"/>
          <w:sz w:val="19"/>
          <w:szCs w:val="19"/>
          <w:color w:val="auto"/>
        </w:rPr>
        <w:t>”) and (iii) update the Initial Comfort Letter with any information that would have been included in the Initial Comfort Letter had it been</w:t>
      </w:r>
      <w:r>
        <w:rPr>
          <w:rFonts w:ascii="Arial" w:cs="Arial" w:eastAsia="Arial" w:hAnsi="Arial"/>
          <w:sz w:val="19"/>
          <w:szCs w:val="19"/>
          <w:b w:val="1"/>
          <w:bCs w:val="1"/>
          <w:color w:val="auto"/>
        </w:rPr>
        <w:t xml:space="preserve"> </w:t>
      </w:r>
      <w:r>
        <w:rPr>
          <w:rFonts w:ascii="Arial" w:cs="Arial" w:eastAsia="Arial" w:hAnsi="Arial"/>
          <w:sz w:val="19"/>
          <w:szCs w:val="19"/>
          <w:color w:val="auto"/>
        </w:rPr>
        <w:t>given on such date and modified as necessary to relate to the Registration Statement and the Prospectus, as amended and supplemented to the date of such letter.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69" w:name="page70"/>
    <w:bookmarkEnd w:id="69"/>
    <w:p>
      <w:pPr>
        <w:jc w:val="both"/>
        <w:ind w:firstLine="1763"/>
        <w:spacing w:after="0" w:line="278" w:lineRule="auto"/>
        <w:tabs>
          <w:tab w:leader="none" w:pos="2634"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Market Activities</w:t>
      </w:r>
      <w:r>
        <w:rPr>
          <w:rFonts w:ascii="Arial" w:cs="Arial" w:eastAsia="Arial" w:hAnsi="Arial"/>
          <w:sz w:val="18"/>
          <w:szCs w:val="18"/>
          <w:color w:val="auto"/>
        </w:rPr>
        <w:t xml:space="preserve">. The Company will not, directly or indirectly, and will cause its officers, directors and Subsidiaries not to (i) take any action designed to cause or result in, or that constitutes or might reasonably be expected to constitute, the stabilization or manipulation of the price of any security of the Company to facilitate the sale or resale of Shares or (ii) sell, bid for, or purchase Shares in violation of Regulation M, or pay anyone any compensation for soliciting purchases of the Placement Shares other than the Agent;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Company may bid for and purchase Shares in accordance with Rule 10b-18 under the Exchange Act.</w:t>
      </w:r>
    </w:p>
    <w:p>
      <w:pPr>
        <w:spacing w:after="0" w:line="165" w:lineRule="exact"/>
        <w:rPr>
          <w:rFonts w:ascii="Arial" w:cs="Arial" w:eastAsia="Arial" w:hAnsi="Arial"/>
          <w:sz w:val="18"/>
          <w:szCs w:val="18"/>
          <w:color w:val="auto"/>
        </w:rPr>
      </w:pPr>
    </w:p>
    <w:p>
      <w:pPr>
        <w:jc w:val="both"/>
        <w:ind w:firstLine="1763"/>
        <w:spacing w:after="0" w:line="250" w:lineRule="auto"/>
        <w:tabs>
          <w:tab w:leader="none" w:pos="2601"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Investment Company Act</w:t>
      </w:r>
      <w:r>
        <w:rPr>
          <w:rFonts w:ascii="Arial" w:cs="Arial" w:eastAsia="Arial" w:hAnsi="Arial"/>
          <w:sz w:val="20"/>
          <w:szCs w:val="20"/>
          <w:color w:val="auto"/>
        </w:rPr>
        <w:t>. The Company will conduct its affairs in such a manner so as to reasonably ensure that neither it nor any of its Subsidiaries will be or become, at any time prior to the termination of this Agreement, an “investment company,” as such term is defined in the Investment Company Act.</w:t>
      </w:r>
    </w:p>
    <w:p>
      <w:pPr>
        <w:spacing w:after="0" w:line="186" w:lineRule="exact"/>
        <w:rPr>
          <w:rFonts w:ascii="Arial" w:cs="Arial" w:eastAsia="Arial" w:hAnsi="Arial"/>
          <w:sz w:val="20"/>
          <w:szCs w:val="20"/>
          <w:color w:val="auto"/>
        </w:rPr>
      </w:pPr>
    </w:p>
    <w:p>
      <w:pPr>
        <w:jc w:val="both"/>
        <w:ind w:firstLine="1763"/>
        <w:spacing w:after="0" w:line="269" w:lineRule="auto"/>
        <w:tabs>
          <w:tab w:leader="none" w:pos="2612"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Securities Act and Exchange Act</w:t>
      </w:r>
      <w:r>
        <w:rPr>
          <w:rFonts w:ascii="Arial" w:cs="Arial" w:eastAsia="Arial" w:hAnsi="Arial"/>
          <w:sz w:val="19"/>
          <w:szCs w:val="19"/>
          <w:color w:val="auto"/>
        </w:rPr>
        <w:t>. The Company will use its best efforts to comply with all applicable requirements imposed upon it by the Securities Act and the Exchange Act as from time to time in force, so far as necessary to permit the sales of, or dealings in, the Placement Shares as contemplated by the provisions hereof and the Prospectus.</w:t>
      </w:r>
    </w:p>
    <w:p>
      <w:pPr>
        <w:spacing w:after="0" w:line="170" w:lineRule="exact"/>
        <w:rPr>
          <w:rFonts w:ascii="Arial" w:cs="Arial" w:eastAsia="Arial" w:hAnsi="Arial"/>
          <w:sz w:val="19"/>
          <w:szCs w:val="19"/>
          <w:color w:val="auto"/>
        </w:rPr>
      </w:pPr>
    </w:p>
    <w:p>
      <w:pPr>
        <w:jc w:val="both"/>
        <w:ind w:firstLine="1763"/>
        <w:spacing w:after="0" w:line="263" w:lineRule="auto"/>
        <w:tabs>
          <w:tab w:leader="none" w:pos="2590"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No Offer to Sell</w:t>
      </w:r>
      <w:r>
        <w:rPr>
          <w:rFonts w:ascii="Arial" w:cs="Arial" w:eastAsia="Arial" w:hAnsi="Arial"/>
          <w:sz w:val="19"/>
          <w:szCs w:val="19"/>
          <w:color w:val="auto"/>
        </w:rPr>
        <w:t>. Other than a free writing prospectus (as defined in Rule 405) approved in advance by the Company and the Agent, neither the Agent nor the Company (including its agents and representatives, other than the Agent in its capacity as agent) will make, use, prepare, authorize, approve or refer to any written communication (as defined in Rule 405), required to be filed with the Commission, that constitutes an offer to sell or solicitation of an offer to buy Shares hereunder.</w:t>
      </w:r>
    </w:p>
    <w:p>
      <w:pPr>
        <w:spacing w:after="0" w:line="176" w:lineRule="exact"/>
        <w:rPr>
          <w:rFonts w:ascii="Arial" w:cs="Arial" w:eastAsia="Arial" w:hAnsi="Arial"/>
          <w:sz w:val="19"/>
          <w:szCs w:val="19"/>
          <w:color w:val="auto"/>
        </w:rPr>
      </w:pPr>
    </w:p>
    <w:p>
      <w:pPr>
        <w:jc w:val="both"/>
        <w:ind w:firstLine="1763"/>
        <w:spacing w:after="0" w:line="271" w:lineRule="auto"/>
        <w:tabs>
          <w:tab w:leader="none" w:pos="2634"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Blue Sky and Other Qualifications</w:t>
      </w:r>
      <w:r>
        <w:rPr>
          <w:rFonts w:ascii="Arial" w:cs="Arial" w:eastAsia="Arial" w:hAnsi="Arial"/>
          <w:sz w:val="18"/>
          <w:szCs w:val="18"/>
          <w:color w:val="auto"/>
        </w:rPr>
        <w:t xml:space="preserve">. 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designate and to maintain such qualifications and exemptions in effect for so long as required for the distribution of the Placement Shares (but in no event for less than one year from the date of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spacing w:after="0" w:line="174" w:lineRule="exact"/>
        <w:rPr>
          <w:rFonts w:ascii="Arial" w:cs="Arial" w:eastAsia="Arial" w:hAnsi="Arial"/>
          <w:sz w:val="18"/>
          <w:szCs w:val="18"/>
          <w:color w:val="auto"/>
        </w:rPr>
      </w:pPr>
    </w:p>
    <w:p>
      <w:pPr>
        <w:jc w:val="both"/>
        <w:ind w:firstLine="1763"/>
        <w:spacing w:after="0" w:line="272" w:lineRule="auto"/>
        <w:tabs>
          <w:tab w:leader="none" w:pos="2634"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Sarbanes-Oxley Act</w:t>
      </w:r>
      <w:r>
        <w:rPr>
          <w:rFonts w:ascii="Arial" w:cs="Arial" w:eastAsia="Arial" w:hAnsi="Arial"/>
          <w:sz w:val="18"/>
          <w:szCs w:val="18"/>
          <w:color w:val="auto"/>
        </w:rPr>
        <w:t>. 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will maintain such controls and other procedures, including, without limitation, to the extent applicable to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70" w:name="page71"/>
    <w:bookmarkEnd w:id="70"/>
    <w:p>
      <w:pPr>
        <w:jc w:val="both"/>
        <w:spacing w:after="0" w:line="257" w:lineRule="auto"/>
        <w:rPr>
          <w:sz w:val="20"/>
          <w:szCs w:val="20"/>
          <w:color w:val="auto"/>
        </w:rPr>
      </w:pPr>
      <w:r>
        <w:rPr>
          <w:rFonts w:ascii="Arial" w:cs="Arial" w:eastAsia="Arial" w:hAnsi="Arial"/>
          <w:sz w:val="19"/>
          <w:szCs w:val="19"/>
          <w:color w:val="auto"/>
        </w:rPr>
        <w:t>Company,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is made known to it by others within the Company, particularly during the period in which such periodic reports are being prepared.</w:t>
      </w:r>
    </w:p>
    <w:p>
      <w:pPr>
        <w:spacing w:after="0" w:line="181" w:lineRule="exact"/>
        <w:rPr>
          <w:sz w:val="20"/>
          <w:szCs w:val="20"/>
          <w:color w:val="auto"/>
        </w:rPr>
      </w:pPr>
    </w:p>
    <w:p>
      <w:pPr>
        <w:jc w:val="both"/>
        <w:ind w:firstLine="1763"/>
        <w:spacing w:after="0" w:line="316" w:lineRule="auto"/>
        <w:tabs>
          <w:tab w:leader="none" w:pos="2678"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Emerging Growth Company</w:t>
      </w:r>
      <w:r>
        <w:rPr>
          <w:rFonts w:ascii="Arial" w:cs="Arial" w:eastAsia="Arial" w:hAnsi="Arial"/>
          <w:sz w:val="18"/>
          <w:szCs w:val="18"/>
          <w:color w:val="auto"/>
        </w:rPr>
        <w:t>. The Company will promptly notify the Agent if the company ceases to be an Emerging Growth company at any time prior to the completion of the Agent’s distribution of the Placement Shares pursuant to this Agreement.</w:t>
      </w:r>
    </w:p>
    <w:p>
      <w:pPr>
        <w:spacing w:after="0" w:line="130" w:lineRule="exact"/>
        <w:rPr>
          <w:rFonts w:ascii="Arial" w:cs="Arial" w:eastAsia="Arial" w:hAnsi="Arial"/>
          <w:sz w:val="18"/>
          <w:szCs w:val="18"/>
          <w:color w:val="auto"/>
        </w:rPr>
      </w:pPr>
    </w:p>
    <w:p>
      <w:pPr>
        <w:jc w:val="both"/>
        <w:ind w:firstLine="1763"/>
        <w:spacing w:after="0" w:line="256" w:lineRule="auto"/>
        <w:tabs>
          <w:tab w:leader="none" w:pos="2634"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Renewal of Registration Statement.</w:t>
      </w:r>
      <w:r>
        <w:rPr>
          <w:rFonts w:ascii="Arial" w:cs="Arial" w:eastAsia="Arial" w:hAnsi="Arial"/>
          <w:sz w:val="19"/>
          <w:szCs w:val="19"/>
          <w:color w:val="auto"/>
        </w:rPr>
        <w:t xml:space="preserve"> If, immediately prior to the third anniversary of the initial effective date of the Registration Statement (the “</w:t>
      </w:r>
      <w:r>
        <w:rPr>
          <w:rFonts w:ascii="Arial" w:cs="Arial" w:eastAsia="Arial" w:hAnsi="Arial"/>
          <w:sz w:val="19"/>
          <w:szCs w:val="19"/>
          <w:b w:val="1"/>
          <w:bCs w:val="1"/>
          <w:u w:val="single" w:color="auto"/>
          <w:color w:val="auto"/>
        </w:rPr>
        <w:t>Renewal Date</w:t>
      </w:r>
      <w:r>
        <w:rPr>
          <w:rFonts w:ascii="Arial" w:cs="Arial" w:eastAsia="Arial" w:hAnsi="Arial"/>
          <w:sz w:val="19"/>
          <w:szCs w:val="19"/>
          <w:color w:val="auto"/>
        </w:rPr>
        <w:t>”), any of the Placement Shares remain unsold and this Agreement has not been terminated, the Company will, prior to the Renewal Date, file a new shelf registration statement or, if applicable, an automatic shelf registration statement relating to the Shares that may be offered and sold pursuant to this Agreement (which shall include a prospectus reflecting the number or amount of Placement Shares that may be offered and sold pursuant to this Agreement), in a form satisfactory to the Agent and its counsel, and, if such registration statement is not an automatic shelf registration statement, will use its best efforts to cause such registration statement to be declared effective within 180 days after the Renewal Date. The Company will take all other reasonable actions necessary or appropriate to permit the public offer and sale of the Placement Shares to continue as contemplated in the expired registration statement and this Agreement. From and after the effective date thereof, references herein to the “Registration Statement” shall include such new shelf registration statement or such new automatic shelf registration statement, as the case may be.</w:t>
      </w:r>
    </w:p>
    <w:p>
      <w:pPr>
        <w:spacing w:after="0" w:line="181" w:lineRule="exact"/>
        <w:rPr>
          <w:rFonts w:ascii="Arial" w:cs="Arial" w:eastAsia="Arial" w:hAnsi="Arial"/>
          <w:sz w:val="19"/>
          <w:szCs w:val="19"/>
          <w:color w:val="auto"/>
        </w:rPr>
      </w:pPr>
    </w:p>
    <w:p>
      <w:pPr>
        <w:jc w:val="both"/>
        <w:ind w:firstLine="1763"/>
        <w:spacing w:after="0" w:line="272" w:lineRule="auto"/>
        <w:tabs>
          <w:tab w:leader="none" w:pos="2634"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General Instruction I.B.5. of Form F-3</w:t>
      </w:r>
      <w:r>
        <w:rPr>
          <w:rFonts w:ascii="Arial" w:cs="Arial" w:eastAsia="Arial" w:hAnsi="Arial"/>
          <w:sz w:val="18"/>
          <w:szCs w:val="18"/>
          <w:color w:val="auto"/>
        </w:rPr>
        <w:t xml:space="preserve">. If, from and after the date of this Agreement, the Company is no longer eligible to use Form F-3 (pursuant to General Instruction I.B.1.) at the time it files with the Commission an annual report on Form 20-F or any post-effective amendment to the Registration Statement, then it shall promptly notify the Agent and, within two Business Days after the date of filing of such annual report on Form 20-F or amendment to the Registration Statement, the Company shall file a new prospectus supplement with the Commission reflecting the number of Shares available to be offered and sold by the Company under this Agreement pursuant to General Instruction I.B.5. of Form F-3;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may delay the filing of any such prospectus supplement for up to 30 days if, in the reasonable judgment of the Company, it is in the best interest of the Company to do so, provided that no Placement Notice is in effect or pending during such time. Until such time as the Company shall have corrected such misstatement or omission or effected such compliance, the Company shall not notify the Agent to resume the offering of Placement Shares.</w:t>
      </w:r>
    </w:p>
    <w:p>
      <w:pPr>
        <w:spacing w:after="0" w:line="171" w:lineRule="exact"/>
        <w:rPr>
          <w:rFonts w:ascii="Arial" w:cs="Arial" w:eastAsia="Arial" w:hAnsi="Arial"/>
          <w:sz w:val="18"/>
          <w:szCs w:val="18"/>
          <w:color w:val="auto"/>
        </w:rPr>
      </w:pPr>
    </w:p>
    <w:p>
      <w:pPr>
        <w:ind w:firstLine="1763"/>
        <w:spacing w:after="0" w:line="260" w:lineRule="auto"/>
        <w:tabs>
          <w:tab w:leader="none" w:pos="2623"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Tax Indemnity</w:t>
      </w:r>
      <w:r>
        <w:rPr>
          <w:rFonts w:ascii="Arial" w:cs="Arial" w:eastAsia="Arial" w:hAnsi="Arial"/>
          <w:sz w:val="20"/>
          <w:szCs w:val="20"/>
          <w:color w:val="auto"/>
        </w:rPr>
        <w:t>. The Company will indemnify and hold harmless the Agent against any documentary, stamp or similar issue tax, including any interest and penalties, on the issue and sale of the Placement Shares.</w:t>
      </w:r>
    </w:p>
    <w:p>
      <w:pPr>
        <w:spacing w:after="0" w:line="177" w:lineRule="exact"/>
        <w:rPr>
          <w:sz w:val="20"/>
          <w:szCs w:val="20"/>
          <w:color w:val="auto"/>
        </w:rPr>
      </w:pPr>
    </w:p>
    <w:p>
      <w:pPr>
        <w:ind w:left="2720" w:hanging="957"/>
        <w:spacing w:after="0"/>
        <w:tabs>
          <w:tab w:leader="none" w:pos="2720"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Transfer Agent</w:t>
      </w:r>
      <w:r>
        <w:rPr>
          <w:rFonts w:ascii="Arial" w:cs="Arial" w:eastAsia="Arial" w:hAnsi="Arial"/>
          <w:sz w:val="19"/>
          <w:szCs w:val="19"/>
          <w:color w:val="auto"/>
        </w:rPr>
        <w:t>. The Company has engaged and will maintain, at its sole expense, a transfer agent and</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registrar for the Shares.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71" w:name="page72"/>
    <w:bookmarkEnd w:id="71"/>
    <w:p>
      <w:pPr>
        <w:jc w:val="both"/>
        <w:ind w:firstLine="885"/>
        <w:spacing w:after="0" w:line="244" w:lineRule="auto"/>
        <w:tabs>
          <w:tab w:leader="none" w:pos="1674" w:val="left"/>
        </w:tabs>
        <w:numPr>
          <w:ilvl w:val="1"/>
          <w:numId w:val="78"/>
        </w:numPr>
        <w:rPr>
          <w:rFonts w:ascii="Arial" w:cs="Arial" w:eastAsia="Arial" w:hAnsi="Arial"/>
          <w:sz w:val="20"/>
          <w:szCs w:val="20"/>
          <w:color w:val="auto"/>
        </w:rPr>
      </w:pPr>
      <w:r>
        <w:rPr>
          <w:rFonts w:ascii="Arial" w:cs="Arial" w:eastAsia="Arial" w:hAnsi="Arial"/>
          <w:sz w:val="20"/>
          <w:szCs w:val="20"/>
          <w:u w:val="single" w:color="auto"/>
          <w:color w:val="auto"/>
        </w:rPr>
        <w:t>Conditions to the Agent’s Obligations</w:t>
      </w:r>
      <w:r>
        <w:rPr>
          <w:rFonts w:ascii="Arial" w:cs="Arial" w:eastAsia="Arial" w:hAnsi="Arial"/>
          <w:sz w:val="20"/>
          <w:szCs w:val="20"/>
          <w:color w:val="auto"/>
        </w:rPr>
        <w:t>. The obligations of the Agent hereunder with respect to a Placement will be subject to the continuing accuracy and completeness of the representations and warranties made by the Company herein, to the due performance in all material respects by the Company of its obligations hereunder, to the completion by the Agent of a due diligence review satisfactory to the Agent in its reasonable judgment, and to the continuing satisfaction (or waiver by the Agent in its sole discretion) in all material respects of the following additional conditions:</w:t>
      </w:r>
    </w:p>
    <w:p>
      <w:pPr>
        <w:spacing w:after="0" w:line="194" w:lineRule="exact"/>
        <w:rPr>
          <w:rFonts w:ascii="Arial" w:cs="Arial" w:eastAsia="Arial" w:hAnsi="Arial"/>
          <w:sz w:val="20"/>
          <w:szCs w:val="20"/>
          <w:color w:val="auto"/>
        </w:rPr>
      </w:pPr>
    </w:p>
    <w:p>
      <w:pPr>
        <w:jc w:val="both"/>
        <w:ind w:firstLine="1763"/>
        <w:spacing w:after="0" w:line="250" w:lineRule="auto"/>
        <w:tabs>
          <w:tab w:leader="none" w:pos="2623" w:val="left"/>
        </w:tabs>
        <w:numPr>
          <w:ilvl w:val="2"/>
          <w:numId w:val="78"/>
        </w:numPr>
        <w:rPr>
          <w:rFonts w:ascii="Arial" w:cs="Arial" w:eastAsia="Arial" w:hAnsi="Arial"/>
          <w:sz w:val="20"/>
          <w:szCs w:val="20"/>
          <w:color w:val="auto"/>
        </w:rPr>
      </w:pPr>
      <w:r>
        <w:rPr>
          <w:rFonts w:ascii="Arial" w:cs="Arial" w:eastAsia="Arial" w:hAnsi="Arial"/>
          <w:sz w:val="20"/>
          <w:szCs w:val="20"/>
          <w:u w:val="single" w:color="auto"/>
          <w:color w:val="auto"/>
        </w:rPr>
        <w:t>Registration Statement Effective</w:t>
      </w:r>
      <w:r>
        <w:rPr>
          <w:rFonts w:ascii="Arial" w:cs="Arial" w:eastAsia="Arial" w:hAnsi="Arial"/>
          <w:sz w:val="20"/>
          <w:szCs w:val="20"/>
          <w:color w:val="auto"/>
        </w:rPr>
        <w:t>. The Registration Statement shall be effective and shall be available for all offers and sales of Placement Shares (i) that have been issued pursuant to all prior Placement Notices and (ii) that will be issued pursuant to any Placement Notice.</w:t>
      </w:r>
    </w:p>
    <w:p>
      <w:pPr>
        <w:spacing w:after="0" w:line="186" w:lineRule="exact"/>
        <w:rPr>
          <w:rFonts w:ascii="Arial" w:cs="Arial" w:eastAsia="Arial" w:hAnsi="Arial"/>
          <w:sz w:val="20"/>
          <w:szCs w:val="20"/>
          <w:color w:val="auto"/>
        </w:rPr>
      </w:pPr>
    </w:p>
    <w:p>
      <w:pPr>
        <w:jc w:val="both"/>
        <w:ind w:firstLine="1763"/>
        <w:spacing w:after="0" w:line="250" w:lineRule="auto"/>
        <w:tabs>
          <w:tab w:leader="none" w:pos="2634" w:val="left"/>
        </w:tabs>
        <w:numPr>
          <w:ilvl w:val="2"/>
          <w:numId w:val="78"/>
        </w:numPr>
        <w:rPr>
          <w:rFonts w:ascii="Arial" w:cs="Arial" w:eastAsia="Arial" w:hAnsi="Arial"/>
          <w:sz w:val="20"/>
          <w:szCs w:val="20"/>
          <w:color w:val="auto"/>
        </w:rPr>
      </w:pPr>
      <w:r>
        <w:rPr>
          <w:rFonts w:ascii="Arial" w:cs="Arial" w:eastAsia="Arial" w:hAnsi="Arial"/>
          <w:sz w:val="20"/>
          <w:szCs w:val="20"/>
          <w:u w:val="single" w:color="auto"/>
          <w:color w:val="auto"/>
        </w:rPr>
        <w:t>Prospectus Supplement</w:t>
      </w:r>
      <w:r>
        <w:rPr>
          <w:rFonts w:ascii="Arial" w:cs="Arial" w:eastAsia="Arial" w:hAnsi="Arial"/>
          <w:sz w:val="20"/>
          <w:szCs w:val="20"/>
          <w:color w:val="auto"/>
        </w:rPr>
        <w:t>. The Company shall have filed with the Commission the Prospectus Supplement pursuant to Rule 424(b) under the Securities Act not later than the Commission’s close of business on the second Business Day following the date of this Agreement.</w:t>
      </w:r>
    </w:p>
    <w:p>
      <w:pPr>
        <w:spacing w:after="0" w:line="186" w:lineRule="exact"/>
        <w:rPr>
          <w:rFonts w:ascii="Arial" w:cs="Arial" w:eastAsia="Arial" w:hAnsi="Arial"/>
          <w:sz w:val="20"/>
          <w:szCs w:val="20"/>
          <w:color w:val="auto"/>
        </w:rPr>
      </w:pPr>
    </w:p>
    <w:p>
      <w:pPr>
        <w:jc w:val="both"/>
        <w:ind w:firstLine="1763"/>
        <w:spacing w:after="0" w:line="268" w:lineRule="auto"/>
        <w:tabs>
          <w:tab w:leader="none" w:pos="2623" w:val="left"/>
        </w:tabs>
        <w:numPr>
          <w:ilvl w:val="2"/>
          <w:numId w:val="78"/>
        </w:numPr>
        <w:rPr>
          <w:rFonts w:ascii="Arial" w:cs="Arial" w:eastAsia="Arial" w:hAnsi="Arial"/>
          <w:sz w:val="18"/>
          <w:szCs w:val="18"/>
          <w:color w:val="auto"/>
        </w:rPr>
      </w:pPr>
      <w:r>
        <w:rPr>
          <w:rFonts w:ascii="Arial" w:cs="Arial" w:eastAsia="Arial" w:hAnsi="Arial"/>
          <w:sz w:val="18"/>
          <w:szCs w:val="18"/>
          <w:u w:val="single" w:color="auto"/>
          <w:color w:val="auto"/>
        </w:rPr>
        <w:t>No Material Notices</w:t>
      </w:r>
      <w:r>
        <w:rPr>
          <w:rFonts w:ascii="Arial" w:cs="Arial" w:eastAsia="Arial" w:hAnsi="Arial"/>
          <w:sz w:val="18"/>
          <w:szCs w:val="18"/>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or any of its Subsidiaries of any notification with respect to the suspension of the qualification or exemption from qualification of any of the Placement Shares for sale in any jurisdiction or the initiation or threatening of any proceeding for such purpose; or</w:t>
      </w:r>
    </w:p>
    <w:p>
      <w:pPr>
        <w:spacing w:after="0" w:line="5" w:lineRule="exact"/>
        <w:rPr>
          <w:rFonts w:ascii="Arial" w:cs="Arial" w:eastAsia="Arial" w:hAnsi="Arial"/>
          <w:sz w:val="18"/>
          <w:szCs w:val="18"/>
          <w:color w:val="auto"/>
        </w:rPr>
      </w:pPr>
    </w:p>
    <w:p>
      <w:pPr>
        <w:jc w:val="both"/>
        <w:ind w:firstLine="8"/>
        <w:spacing w:after="0" w:line="272" w:lineRule="auto"/>
        <w:tabs>
          <w:tab w:leader="none" w:pos="366"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occurrence of any event that makes any material statement made in the Registration Statement or the Prospectus or any material Incorporated Document untrue in any material respect or that requires the making of any material changes in the Registration Statement, the Prospectus or Incorporated Documents so that, in the case of the Registration Statement, it will not contain any untrue statement of a material fact or omit to state any material fact required to be stated therein or necessary to make the statements therein not misleading and, in the case of the Prospectus, so that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170" w:lineRule="exact"/>
        <w:rPr>
          <w:rFonts w:ascii="Arial" w:cs="Arial" w:eastAsia="Arial" w:hAnsi="Arial"/>
          <w:sz w:val="18"/>
          <w:szCs w:val="18"/>
          <w:color w:val="auto"/>
        </w:rPr>
      </w:pPr>
    </w:p>
    <w:p>
      <w:pPr>
        <w:jc w:val="both"/>
        <w:ind w:firstLine="1763"/>
        <w:spacing w:after="0" w:line="246" w:lineRule="auto"/>
        <w:tabs>
          <w:tab w:leader="none" w:pos="2634" w:val="left"/>
        </w:tabs>
        <w:numPr>
          <w:ilvl w:val="2"/>
          <w:numId w:val="79"/>
        </w:numPr>
        <w:rPr>
          <w:rFonts w:ascii="Arial" w:cs="Arial" w:eastAsia="Arial" w:hAnsi="Arial"/>
          <w:sz w:val="20"/>
          <w:szCs w:val="20"/>
          <w:color w:val="auto"/>
        </w:rPr>
      </w:pPr>
      <w:r>
        <w:rPr>
          <w:rFonts w:ascii="Arial" w:cs="Arial" w:eastAsia="Arial" w:hAnsi="Arial"/>
          <w:sz w:val="20"/>
          <w:szCs w:val="20"/>
          <w:u w:val="single" w:color="auto"/>
          <w:color w:val="auto"/>
        </w:rPr>
        <w:t>No Misstatement or Material Omission</w:t>
      </w:r>
      <w:r>
        <w:rPr>
          <w:rFonts w:ascii="Arial" w:cs="Arial" w:eastAsia="Arial" w:hAnsi="Arial"/>
          <w:sz w:val="20"/>
          <w:szCs w:val="20"/>
          <w:color w:val="auto"/>
        </w:rPr>
        <w:t>. The Agent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91" w:lineRule="exact"/>
        <w:rPr>
          <w:rFonts w:ascii="Arial" w:cs="Arial" w:eastAsia="Arial" w:hAnsi="Arial"/>
          <w:sz w:val="20"/>
          <w:szCs w:val="20"/>
          <w:color w:val="auto"/>
        </w:rPr>
      </w:pPr>
    </w:p>
    <w:p>
      <w:pPr>
        <w:jc w:val="both"/>
        <w:ind w:firstLine="1763"/>
        <w:spacing w:after="0" w:line="257" w:lineRule="auto"/>
        <w:tabs>
          <w:tab w:leader="none" w:pos="2623" w:val="left"/>
        </w:tabs>
        <w:numPr>
          <w:ilvl w:val="2"/>
          <w:numId w:val="79"/>
        </w:numPr>
        <w:rPr>
          <w:rFonts w:ascii="Arial" w:cs="Arial" w:eastAsia="Arial" w:hAnsi="Arial"/>
          <w:sz w:val="19"/>
          <w:szCs w:val="19"/>
          <w:color w:val="auto"/>
        </w:rPr>
      </w:pPr>
      <w:r>
        <w:rPr>
          <w:rFonts w:ascii="Arial" w:cs="Arial" w:eastAsia="Arial" w:hAnsi="Arial"/>
          <w:sz w:val="19"/>
          <w:szCs w:val="19"/>
          <w:u w:val="single" w:color="auto"/>
          <w:color w:val="auto"/>
        </w:rPr>
        <w:t>Material Changes</w:t>
      </w:r>
      <w:r>
        <w:rPr>
          <w:rFonts w:ascii="Arial" w:cs="Arial" w:eastAsia="Arial" w:hAnsi="Arial"/>
          <w:sz w:val="19"/>
          <w:szCs w:val="19"/>
          <w:color w:val="auto"/>
        </w:rPr>
        <w:t>. Except as contemplated in the Prospectus, or disclosed in the Company’s reports filed with the Commission, there shall not have been any material adverse change, on a consolidated basis, in the authorized capital of the Company or any Material Adverse Effect or any development that could reasonably be expected to result in a Material Adverse Effect, or any downgrading in or withdrawal of the rating assigned to any of the Company’s securities (other than asset backed securities), if any, by any rating organization or a public announcement by any rating organization that it has under surveillance or review its rating of any of the Company’s securities (other than asset backed securities), if any, the effect of which, in the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72" w:name="page73"/>
    <w:bookmarkEnd w:id="72"/>
    <w:p>
      <w:pPr>
        <w:jc w:val="both"/>
        <w:ind w:firstLine="1763"/>
        <w:spacing w:after="0" w:line="246" w:lineRule="auto"/>
        <w:tabs>
          <w:tab w:leader="none" w:pos="2601"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Company Counsel Legal Opinions</w:t>
      </w:r>
      <w:r>
        <w:rPr>
          <w:rFonts w:ascii="Arial" w:cs="Arial" w:eastAsia="Arial" w:hAnsi="Arial"/>
          <w:sz w:val="20"/>
          <w:szCs w:val="20"/>
          <w:color w:val="auto"/>
        </w:rPr>
        <w:t xml:space="preserve">. The Agent shall have received the opinions and negative assurance letters, as applicable, of each Company Counsel and Intellectual Property Counsel required to be delivered pursuant to </w:t>
      </w:r>
      <w:r>
        <w:rPr>
          <w:rFonts w:ascii="Arial" w:cs="Arial" w:eastAsia="Arial" w:hAnsi="Arial"/>
          <w:sz w:val="20"/>
          <w:szCs w:val="20"/>
          <w:u w:val="single" w:color="auto"/>
          <w:color w:val="auto"/>
        </w:rPr>
        <w:t>Section 7(n)</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7(o)</w:t>
      </w:r>
      <w:r>
        <w:rPr>
          <w:rFonts w:ascii="Arial" w:cs="Arial" w:eastAsia="Arial" w:hAnsi="Arial"/>
          <w:sz w:val="20"/>
          <w:szCs w:val="20"/>
          <w:color w:val="auto"/>
        </w:rPr>
        <w:t xml:space="preserve">, as applicable, on or before the date on which such delivery of such opinions and negative assurance letters are required pursuant to </w:t>
      </w:r>
      <w:r>
        <w:rPr>
          <w:rFonts w:ascii="Arial" w:cs="Arial" w:eastAsia="Arial" w:hAnsi="Arial"/>
          <w:sz w:val="20"/>
          <w:szCs w:val="20"/>
          <w:u w:val="single" w:color="auto"/>
          <w:color w:val="auto"/>
        </w:rPr>
        <w:t>Section 7(n)</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7(o)</w:t>
      </w:r>
      <w:r>
        <w:rPr>
          <w:rFonts w:ascii="Arial" w:cs="Arial" w:eastAsia="Arial" w:hAnsi="Arial"/>
          <w:sz w:val="20"/>
          <w:szCs w:val="20"/>
          <w:color w:val="auto"/>
        </w:rPr>
        <w:t>, as applicable.</w:t>
      </w:r>
    </w:p>
    <w:p>
      <w:pPr>
        <w:spacing w:after="0" w:line="191" w:lineRule="exact"/>
        <w:rPr>
          <w:rFonts w:ascii="Arial" w:cs="Arial" w:eastAsia="Arial" w:hAnsi="Arial"/>
          <w:sz w:val="20"/>
          <w:szCs w:val="20"/>
          <w:color w:val="auto"/>
        </w:rPr>
      </w:pPr>
    </w:p>
    <w:p>
      <w:pPr>
        <w:jc w:val="both"/>
        <w:ind w:firstLine="1763"/>
        <w:spacing w:after="0" w:line="246" w:lineRule="auto"/>
        <w:tabs>
          <w:tab w:leader="none" w:pos="2634"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Agent’s Counsel Legal Opinion</w:t>
      </w:r>
      <w:r>
        <w:rPr>
          <w:rFonts w:ascii="Arial" w:cs="Arial" w:eastAsia="Arial" w:hAnsi="Arial"/>
          <w:sz w:val="20"/>
          <w:szCs w:val="20"/>
          <w:color w:val="auto"/>
        </w:rPr>
        <w:t xml:space="preserve">. The Agent shall have received from Goodwin Procter LLP, counsel for the Agent, such opinion or opinions, on or before the date on which the delivery of the Company Counsel legal opinion is required pursuant to </w:t>
      </w:r>
      <w:r>
        <w:rPr>
          <w:rFonts w:ascii="Arial" w:cs="Arial" w:eastAsia="Arial" w:hAnsi="Arial"/>
          <w:sz w:val="20"/>
          <w:szCs w:val="20"/>
          <w:u w:val="single" w:color="auto"/>
          <w:color w:val="auto"/>
        </w:rPr>
        <w:t>Section 7(n)</w:t>
      </w:r>
      <w:r>
        <w:rPr>
          <w:rFonts w:ascii="Arial" w:cs="Arial" w:eastAsia="Arial" w:hAnsi="Arial"/>
          <w:sz w:val="20"/>
          <w:szCs w:val="20"/>
          <w:color w:val="auto"/>
        </w:rPr>
        <w:t>, with respect to such matters as the Agent may reasonably require, and the Company shall have furnished to such counsel such documents as they may request to enable them to pass upon such matters.</w:t>
      </w:r>
    </w:p>
    <w:p>
      <w:pPr>
        <w:spacing w:after="0" w:line="191" w:lineRule="exact"/>
        <w:rPr>
          <w:rFonts w:ascii="Arial" w:cs="Arial" w:eastAsia="Arial" w:hAnsi="Arial"/>
          <w:sz w:val="20"/>
          <w:szCs w:val="20"/>
          <w:color w:val="auto"/>
        </w:rPr>
      </w:pPr>
    </w:p>
    <w:p>
      <w:pPr>
        <w:ind w:firstLine="1763"/>
        <w:spacing w:after="0" w:line="260" w:lineRule="auto"/>
        <w:tabs>
          <w:tab w:leader="none" w:pos="2634"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Comfort Letter</w:t>
      </w:r>
      <w:r>
        <w:rPr>
          <w:rFonts w:ascii="Arial" w:cs="Arial" w:eastAsia="Arial" w:hAnsi="Arial"/>
          <w:sz w:val="20"/>
          <w:szCs w:val="20"/>
          <w:color w:val="auto"/>
        </w:rPr>
        <w:t xml:space="preserve">. The Agent shall have received the Comfort Letter required to be delivered pursuant to </w:t>
      </w:r>
      <w:r>
        <w:rPr>
          <w:rFonts w:ascii="Arial" w:cs="Arial" w:eastAsia="Arial" w:hAnsi="Arial"/>
          <w:sz w:val="20"/>
          <w:szCs w:val="20"/>
          <w:u w:val="single" w:color="auto"/>
          <w:color w:val="auto"/>
        </w:rPr>
        <w:t>Section 7(p)</w:t>
      </w:r>
      <w:r>
        <w:rPr>
          <w:rFonts w:ascii="Arial" w:cs="Arial" w:eastAsia="Arial" w:hAnsi="Arial"/>
          <w:sz w:val="20"/>
          <w:szCs w:val="20"/>
          <w:color w:val="auto"/>
        </w:rPr>
        <w:t xml:space="preserve"> on or before the date on which such delivery of such Comfort Letter is required pursuant to </w:t>
      </w:r>
      <w:r>
        <w:rPr>
          <w:rFonts w:ascii="Arial" w:cs="Arial" w:eastAsia="Arial" w:hAnsi="Arial"/>
          <w:sz w:val="20"/>
          <w:szCs w:val="20"/>
          <w:u w:val="single" w:color="auto"/>
          <w:color w:val="auto"/>
        </w:rPr>
        <w:t>Section 7(p)</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firstLine="1763"/>
        <w:spacing w:after="0" w:line="260" w:lineRule="auto"/>
        <w:tabs>
          <w:tab w:leader="none" w:pos="2590"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Representation Certificate</w:t>
      </w:r>
      <w:r>
        <w:rPr>
          <w:rFonts w:ascii="Arial" w:cs="Arial" w:eastAsia="Arial" w:hAnsi="Arial"/>
          <w:sz w:val="20"/>
          <w:szCs w:val="20"/>
          <w:color w:val="auto"/>
        </w:rPr>
        <w:t xml:space="preserve">. The Agent shall have received the certificate required to be delivered pursuant to </w:t>
      </w:r>
      <w:r>
        <w:rPr>
          <w:rFonts w:ascii="Arial" w:cs="Arial" w:eastAsia="Arial" w:hAnsi="Arial"/>
          <w:sz w:val="20"/>
          <w:szCs w:val="20"/>
          <w:u w:val="single" w:color="auto"/>
          <w:color w:val="auto"/>
        </w:rPr>
        <w:t>Section 7(m)</w:t>
      </w:r>
      <w:r>
        <w:rPr>
          <w:rFonts w:ascii="Arial" w:cs="Arial" w:eastAsia="Arial" w:hAnsi="Arial"/>
          <w:sz w:val="20"/>
          <w:szCs w:val="20"/>
          <w:color w:val="auto"/>
        </w:rPr>
        <w:t xml:space="preserve"> on or before the date on which delivery of such certificate is required pursuant to </w:t>
      </w:r>
      <w:r>
        <w:rPr>
          <w:rFonts w:ascii="Arial" w:cs="Arial" w:eastAsia="Arial" w:hAnsi="Arial"/>
          <w:sz w:val="20"/>
          <w:szCs w:val="20"/>
          <w:u w:val="single" w:color="auto"/>
          <w:color w:val="auto"/>
        </w:rPr>
        <w:t>Section 7(m)</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1763"/>
        <w:spacing w:after="0" w:line="243" w:lineRule="auto"/>
        <w:tabs>
          <w:tab w:leader="none" w:pos="2590"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Secretary’s Certificate</w:t>
      </w:r>
      <w:r>
        <w:rPr>
          <w:rFonts w:ascii="Arial" w:cs="Arial" w:eastAsia="Arial" w:hAnsi="Arial"/>
          <w:sz w:val="20"/>
          <w:szCs w:val="20"/>
          <w:color w:val="auto"/>
        </w:rPr>
        <w:t xml:space="preserve">. On or prior to the First Placement Notice Date, the Agent shall have received a certificate, signed on behalf of the Company by its Secretary of the Company and attested to by an executive officer of the Company, dated as of such date and in form and substance satisfactory to the Agent and its counsel, certifying as to (i) the amended and restated articles of association of the Company, (ii) the resolutions of the board of directors of the Company or duly authorized committee thereof authorizing the execution, delivery and performance of this Agreement and the issuance and sale of the Placement Shares and (iii) the incumbency of the officers of the Company duly authorized to execute this Agreement and the other documents contemplated by this Agreement (including each of the officers set forth on </w:t>
      </w:r>
      <w:r>
        <w:rPr>
          <w:rFonts w:ascii="Arial" w:cs="Arial" w:eastAsia="Arial" w:hAnsi="Arial"/>
          <w:sz w:val="20"/>
          <w:szCs w:val="20"/>
          <w:b w:val="1"/>
          <w:bCs w:val="1"/>
          <w:u w:val="single" w:color="auto"/>
          <w:color w:val="auto"/>
        </w:rPr>
        <w:t>Schedule 2</w:t>
      </w:r>
      <w:r>
        <w:rPr>
          <w:rFonts w:ascii="Arial" w:cs="Arial" w:eastAsia="Arial" w:hAnsi="Arial"/>
          <w:sz w:val="20"/>
          <w:szCs w:val="20"/>
          <w:color w:val="auto"/>
        </w:rPr>
        <w:t>).</w:t>
      </w:r>
    </w:p>
    <w:p>
      <w:pPr>
        <w:spacing w:after="0" w:line="193" w:lineRule="exact"/>
        <w:rPr>
          <w:rFonts w:ascii="Arial" w:cs="Arial" w:eastAsia="Arial" w:hAnsi="Arial"/>
          <w:sz w:val="20"/>
          <w:szCs w:val="20"/>
          <w:color w:val="auto"/>
        </w:rPr>
      </w:pPr>
    </w:p>
    <w:p>
      <w:pPr>
        <w:ind w:right="20" w:firstLine="1763"/>
        <w:spacing w:after="0" w:line="316" w:lineRule="auto"/>
        <w:tabs>
          <w:tab w:leader="none" w:pos="2634"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No Suspension</w:t>
      </w:r>
      <w:r>
        <w:rPr>
          <w:rFonts w:ascii="Arial" w:cs="Arial" w:eastAsia="Arial" w:hAnsi="Arial"/>
          <w:sz w:val="18"/>
          <w:szCs w:val="18"/>
          <w:color w:val="auto"/>
        </w:rPr>
        <w:t>. The Shares are duly listed, and admitted and authorized for trading, subject to official notice of issuance, on Nasdaq. Trading in the Shares shall not have been suspended on, and the Shares shall not have been delisted from, Nasdaq.</w:t>
      </w:r>
    </w:p>
    <w:p>
      <w:pPr>
        <w:spacing w:after="0" w:line="130" w:lineRule="exact"/>
        <w:rPr>
          <w:rFonts w:ascii="Arial" w:cs="Arial" w:eastAsia="Arial" w:hAnsi="Arial"/>
          <w:sz w:val="18"/>
          <w:szCs w:val="18"/>
          <w:color w:val="auto"/>
        </w:rPr>
      </w:pPr>
    </w:p>
    <w:p>
      <w:pPr>
        <w:jc w:val="both"/>
        <w:ind w:firstLine="1763"/>
        <w:spacing w:after="0" w:line="244" w:lineRule="auto"/>
        <w:tabs>
          <w:tab w:leader="none" w:pos="2590"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Other Materials</w:t>
      </w:r>
      <w:r>
        <w:rPr>
          <w:rFonts w:ascii="Arial" w:cs="Arial" w:eastAsia="Arial" w:hAnsi="Arial"/>
          <w:sz w:val="20"/>
          <w:szCs w:val="20"/>
          <w:color w:val="auto"/>
        </w:rPr>
        <w:t xml:space="preserve">. On each date on which the Company is required to deliver a certificate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7(m)</w:t>
      </w:r>
      <w:r>
        <w:rPr>
          <w:rFonts w:ascii="Arial" w:cs="Arial" w:eastAsia="Arial" w:hAnsi="Arial"/>
          <w:sz w:val="20"/>
          <w:szCs w:val="20"/>
          <w:color w:val="auto"/>
        </w:rPr>
        <w:t>, the Company shall have furnished to the Agent such appropriate further information, opinions, certificates, letters and other documents as the Agent may have reasonably requested. All such information, opinions, certificates, letters and other documents shall have been in compliance with the provisions hereof. The Company shall have furnish the Agent with complied copies of such opinions, certificates, letters and other documents as the Agent may have reasonably requested.</w:t>
      </w:r>
    </w:p>
    <w:p>
      <w:pPr>
        <w:spacing w:after="0" w:line="194" w:lineRule="exact"/>
        <w:rPr>
          <w:rFonts w:ascii="Arial" w:cs="Arial" w:eastAsia="Arial" w:hAnsi="Arial"/>
          <w:sz w:val="20"/>
          <w:szCs w:val="20"/>
          <w:color w:val="auto"/>
        </w:rPr>
      </w:pPr>
    </w:p>
    <w:p>
      <w:pPr>
        <w:jc w:val="both"/>
        <w:ind w:firstLine="1763"/>
        <w:spacing w:after="0" w:line="291" w:lineRule="auto"/>
        <w:tabs>
          <w:tab w:leader="none" w:pos="2689"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Securities Act Filings Made</w:t>
      </w:r>
      <w:r>
        <w:rPr>
          <w:rFonts w:ascii="Arial" w:cs="Arial" w:eastAsia="Arial" w:hAnsi="Arial"/>
          <w:sz w:val="18"/>
          <w:szCs w:val="18"/>
          <w:color w:val="auto"/>
        </w:rPr>
        <w:t>. All filings with the Commission required by Rule 424(b) or Rule 433 under the Securities Act to have been filed prior to the issuance of any Placement Notice hereunder shall have been made within the applicable time period prescribed for such filing by Rule 424(b) (without reliance on Rule 424(b)(8) of the Securities Act) or Rule 433, as applicable.</w:t>
      </w:r>
    </w:p>
    <w:p>
      <w:pPr>
        <w:spacing w:after="0" w:line="151" w:lineRule="exact"/>
        <w:rPr>
          <w:rFonts w:ascii="Arial" w:cs="Arial" w:eastAsia="Arial" w:hAnsi="Arial"/>
          <w:sz w:val="18"/>
          <w:szCs w:val="18"/>
          <w:color w:val="auto"/>
        </w:rPr>
      </w:pPr>
    </w:p>
    <w:p>
      <w:pPr>
        <w:jc w:val="both"/>
        <w:ind w:firstLine="1763"/>
        <w:spacing w:after="0" w:line="269" w:lineRule="auto"/>
        <w:tabs>
          <w:tab w:leader="none" w:pos="2634"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Approval for Listing</w:t>
      </w:r>
      <w:r>
        <w:rPr>
          <w:rFonts w:ascii="Arial" w:cs="Arial" w:eastAsia="Arial" w:hAnsi="Arial"/>
          <w:sz w:val="19"/>
          <w:szCs w:val="19"/>
          <w:color w:val="auto"/>
        </w:rPr>
        <w:t>. The Placement Shares shall either have been (i) approved for listing on Nasdaq, subject only to notice of issuance, or (ii) the Company shall have filed an application for listing of the Placement Shares on Nasdaq at, or prior to, the First Placement Notice Date and Nasdaq shall have reviewed such application and not provided any objections thereto.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73" w:name="page74"/>
    <w:bookmarkEnd w:id="73"/>
    <w:p>
      <w:pPr>
        <w:ind w:firstLine="1763"/>
        <w:spacing w:after="0" w:line="260" w:lineRule="auto"/>
        <w:tabs>
          <w:tab w:leader="none" w:pos="2634" w:val="left"/>
        </w:tabs>
        <w:numPr>
          <w:ilvl w:val="1"/>
          <w:numId w:val="81"/>
        </w:numPr>
        <w:rPr>
          <w:rFonts w:ascii="Arial" w:cs="Arial" w:eastAsia="Arial" w:hAnsi="Arial"/>
          <w:sz w:val="20"/>
          <w:szCs w:val="20"/>
          <w:color w:val="auto"/>
        </w:rPr>
      </w:pPr>
      <w:r>
        <w:rPr>
          <w:rFonts w:ascii="Arial" w:cs="Arial" w:eastAsia="Arial" w:hAnsi="Arial"/>
          <w:sz w:val="20"/>
          <w:szCs w:val="20"/>
          <w:u w:val="single" w:color="auto"/>
          <w:color w:val="auto"/>
        </w:rPr>
        <w:t>FINRA</w:t>
      </w:r>
      <w:r>
        <w:rPr>
          <w:rFonts w:ascii="Arial" w:cs="Arial" w:eastAsia="Arial" w:hAnsi="Arial"/>
          <w:sz w:val="20"/>
          <w:szCs w:val="20"/>
          <w:color w:val="auto"/>
        </w:rPr>
        <w:t>. FINRA shall have raised no objection to the terms of the offering contemplated hereby and the amount of compensation allowable or payable to the Agent as described in the Prospectus.</w:t>
      </w:r>
    </w:p>
    <w:p>
      <w:pPr>
        <w:spacing w:after="0" w:line="176" w:lineRule="exact"/>
        <w:rPr>
          <w:rFonts w:ascii="Arial" w:cs="Arial" w:eastAsia="Arial" w:hAnsi="Arial"/>
          <w:sz w:val="20"/>
          <w:szCs w:val="20"/>
          <w:color w:val="auto"/>
        </w:rPr>
      </w:pPr>
    </w:p>
    <w:p>
      <w:pPr>
        <w:ind w:firstLine="1763"/>
        <w:spacing w:after="0" w:line="260" w:lineRule="auto"/>
        <w:tabs>
          <w:tab w:leader="none" w:pos="2634" w:val="left"/>
        </w:tabs>
        <w:numPr>
          <w:ilvl w:val="1"/>
          <w:numId w:val="81"/>
        </w:numPr>
        <w:rPr>
          <w:rFonts w:ascii="Arial" w:cs="Arial" w:eastAsia="Arial" w:hAnsi="Arial"/>
          <w:sz w:val="20"/>
          <w:szCs w:val="20"/>
          <w:color w:val="auto"/>
        </w:rPr>
      </w:pPr>
      <w:r>
        <w:rPr>
          <w:rFonts w:ascii="Arial" w:cs="Arial" w:eastAsia="Arial" w:hAnsi="Arial"/>
          <w:sz w:val="20"/>
          <w:szCs w:val="20"/>
          <w:u w:val="single" w:color="auto"/>
          <w:color w:val="auto"/>
        </w:rPr>
        <w:t>No Termination Event</w:t>
      </w:r>
      <w:r>
        <w:rPr>
          <w:rFonts w:ascii="Arial" w:cs="Arial" w:eastAsia="Arial" w:hAnsi="Arial"/>
          <w:sz w:val="20"/>
          <w:szCs w:val="20"/>
          <w:color w:val="auto"/>
        </w:rPr>
        <w:t xml:space="preserve">. There shall not have occurred any event that would permit the Agent to terminate this Agreement pursuant to </w:t>
      </w:r>
      <w:r>
        <w:rPr>
          <w:rFonts w:ascii="Arial" w:cs="Arial" w:eastAsia="Arial" w:hAnsi="Arial"/>
          <w:sz w:val="20"/>
          <w:szCs w:val="20"/>
          <w:u w:val="single" w:color="auto"/>
          <w:color w:val="auto"/>
        </w:rPr>
        <w:t>Section 11(a)</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left="1680" w:hanging="795"/>
        <w:spacing w:after="0"/>
        <w:tabs>
          <w:tab w:leader="none" w:pos="1680"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Indemnification and Contribution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763"/>
        <w:spacing w:after="0" w:line="269" w:lineRule="auto"/>
        <w:tabs>
          <w:tab w:leader="none" w:pos="2623"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Company Indemnification</w:t>
      </w:r>
      <w:r>
        <w:rPr>
          <w:rFonts w:ascii="Arial" w:cs="Arial" w:eastAsia="Arial" w:hAnsi="Arial"/>
          <w:sz w:val="18"/>
          <w:szCs w:val="18"/>
          <w:color w:val="auto"/>
        </w:rPr>
        <w:t xml:space="preserve">. The Company agrees to indemnify and hold harmless the Agent, its affiliates and their respective partners, members, directors, officers, employees and agents, and each person, if any, who (i) controls the Agent within the meaning of Section 15 of the Securities Act or Section 20 of the Exchange Act or (ii) is controlled by or is under common control with the Agent, in each case from and against any and all losses, claims, liabilities, expenses and damages (including, but not limited to, any and all investigative, legal and other expenses reasonably incurred in connection with, and any and all amounts paid in settlement (in accordance with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any action, suit, investigation or proceeding between any of the indemnified parties and any indemnifying parties or between any indemnified party and any third party (including, without limitation, any governmental or self-regulatory authority, or otherwise, or any claim asserted or threatened), as and when incurred, to which the Agent, or any such other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Shares under the securities laws thereof or filed with the Commission, (y) the omission or alleged omission to state in any such document a material fact required to be stated therein or necessary to make the statements therein (solely with respect to the Prospectus, in light of the circumstances under which they were made) not misleading or (z) any breach by any of the indemnifying parties of any of their respective representations, warranties or agreements contained in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indemnity agreement shall not apply to the extent that such loss, claim, liability, expense or damage arises from the sale of the Placement Shares pursuant to this Agreement and is caused, directly or indirectly, by an untrue statement or omission, or alleged untrue statement or omission, made in reliance upon and in conformity with the Agent’s Information.</w:t>
      </w:r>
    </w:p>
    <w:p>
      <w:pPr>
        <w:spacing w:after="0" w:line="170" w:lineRule="exact"/>
        <w:rPr>
          <w:rFonts w:ascii="Arial" w:cs="Arial" w:eastAsia="Arial" w:hAnsi="Arial"/>
          <w:sz w:val="18"/>
          <w:szCs w:val="18"/>
          <w:color w:val="auto"/>
        </w:rPr>
      </w:pPr>
    </w:p>
    <w:p>
      <w:pPr>
        <w:jc w:val="both"/>
        <w:ind w:firstLine="1763"/>
        <w:spacing w:after="0" w:line="276" w:lineRule="auto"/>
        <w:tabs>
          <w:tab w:leader="none" w:pos="2634"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Agent Indemnification</w:t>
      </w:r>
      <w:r>
        <w:rPr>
          <w:rFonts w:ascii="Arial" w:cs="Arial" w:eastAsia="Arial" w:hAnsi="Arial"/>
          <w:sz w:val="18"/>
          <w:szCs w:val="18"/>
          <w:color w:val="auto"/>
        </w:rPr>
        <w:t>. The Agent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Section 9(a),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165" w:lineRule="exact"/>
        <w:rPr>
          <w:rFonts w:ascii="Arial" w:cs="Arial" w:eastAsia="Arial" w:hAnsi="Arial"/>
          <w:sz w:val="18"/>
          <w:szCs w:val="18"/>
          <w:color w:val="auto"/>
        </w:rPr>
      </w:pPr>
    </w:p>
    <w:p>
      <w:pPr>
        <w:jc w:val="both"/>
        <w:ind w:firstLine="1763"/>
        <w:spacing w:after="0" w:line="263" w:lineRule="auto"/>
        <w:tabs>
          <w:tab w:leader="none" w:pos="2623"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Procedure</w:t>
      </w:r>
      <w:r>
        <w:rPr>
          <w:rFonts w:ascii="Arial" w:cs="Arial" w:eastAsia="Arial" w:hAnsi="Arial"/>
          <w:sz w:val="19"/>
          <w:szCs w:val="19"/>
          <w:color w:val="auto"/>
        </w:rPr>
        <w:t xml:space="preserve">. Any party that proposes to assert the right to be indemnified under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will, promptly after receipt of notice of commencement of any action against such party in respect of which a claim is to be made against an indemnifying party or parties under this </w:t>
      </w:r>
      <w:r>
        <w:rPr>
          <w:rFonts w:ascii="Arial" w:cs="Arial" w:eastAsia="Arial" w:hAnsi="Arial"/>
          <w:sz w:val="19"/>
          <w:szCs w:val="19"/>
          <w:u w:val="single" w:color="auto"/>
          <w:color w:val="auto"/>
        </w:rPr>
        <w:t>Section 9</w:t>
      </w:r>
      <w:r>
        <w:rPr>
          <w:rFonts w:ascii="Arial" w:cs="Arial" w:eastAsia="Arial" w:hAnsi="Arial"/>
          <w:sz w:val="19"/>
          <w:szCs w:val="19"/>
          <w:color w:val="auto"/>
        </w:rPr>
        <w:t>, notify each such indemnifying party of the commencement of such action, enclosing a copy of all papers served, but the omission so to notify such indemnifying party will not relieve the indemnifying party from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74" w:name="page75"/>
    <w:bookmarkEnd w:id="74"/>
    <w:p>
      <w:pPr>
        <w:jc w:val="both"/>
        <w:ind w:firstLine="8"/>
        <w:spacing w:after="0" w:line="268" w:lineRule="auto"/>
        <w:tabs>
          <w:tab w:leader="none" w:pos="253"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any liability that it might have to any indemnified party otherwise than under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and (ii) any liability that it may have to any indemnified party under the foregoing provision of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reasonably satisfactory to the indemnified party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will be reimbursed by the indemnifying party promptly after the indemnifying party receives a written invoice relating to such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(whether or not any indemnified party is a party thereto), unless such settlement, compromise or consent (1) includes an unconditional release of each indemnified party, in form and substance reasonably satisfactory to such indemnified party, from all liability arising out of such claim, action or proceeding and (2) does not include a statement as to or an admission of fault, culpability or a failure to act by or on behalf of any indemnified party.</w:t>
      </w:r>
    </w:p>
    <w:p>
      <w:pPr>
        <w:spacing w:after="0" w:line="172" w:lineRule="exact"/>
        <w:rPr>
          <w:rFonts w:ascii="Arial" w:cs="Arial" w:eastAsia="Arial" w:hAnsi="Arial"/>
          <w:sz w:val="18"/>
          <w:szCs w:val="18"/>
          <w:color w:val="auto"/>
        </w:rPr>
      </w:pPr>
    </w:p>
    <w:p>
      <w:pPr>
        <w:jc w:val="both"/>
        <w:ind w:firstLine="1763"/>
        <w:spacing w:after="0" w:line="243" w:lineRule="auto"/>
        <w:tabs>
          <w:tab w:leader="none" w:pos="2634" w:val="left"/>
        </w:tabs>
        <w:numPr>
          <w:ilvl w:val="1"/>
          <w:numId w:val="83"/>
        </w:numPr>
        <w:rPr>
          <w:rFonts w:ascii="Arial" w:cs="Arial" w:eastAsia="Arial" w:hAnsi="Arial"/>
          <w:sz w:val="20"/>
          <w:szCs w:val="20"/>
          <w:color w:val="auto"/>
        </w:rPr>
      </w:pPr>
      <w:r>
        <w:rPr>
          <w:rFonts w:ascii="Arial" w:cs="Arial" w:eastAsia="Arial" w:hAnsi="Arial"/>
          <w:sz w:val="20"/>
          <w:szCs w:val="20"/>
          <w:u w:val="single" w:color="auto"/>
          <w:color w:val="auto"/>
        </w:rPr>
        <w:t>Settlement Without Consent if Failure to Reimburse</w:t>
      </w:r>
      <w:r>
        <w:rPr>
          <w:rFonts w:ascii="Arial" w:cs="Arial" w:eastAsia="Arial" w:hAnsi="Arial"/>
          <w:sz w:val="20"/>
          <w:szCs w:val="20"/>
          <w:i w:val="1"/>
          <w:iCs w:val="1"/>
          <w:color w:val="auto"/>
        </w:rPr>
        <w:t>.</w:t>
      </w:r>
      <w:r>
        <w:rPr>
          <w:rFonts w:ascii="Arial" w:cs="Arial" w:eastAsia="Arial" w:hAnsi="Arial"/>
          <w:sz w:val="20"/>
          <w:szCs w:val="20"/>
          <w:color w:val="auto"/>
        </w:rPr>
        <w:t xml:space="preserve"> If an indemnified party shall have requested an indemnifying party to reimburse the indemnified party for reasonable fees and expenses of counsel for which it is entitled to be reimbursed under this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such indemnifying party agrees that it shall be liable for any settlement of the nature contemplated by </w:t>
      </w:r>
      <w:r>
        <w:rPr>
          <w:rFonts w:ascii="Arial" w:cs="Arial" w:eastAsia="Arial" w:hAnsi="Arial"/>
          <w:sz w:val="20"/>
          <w:szCs w:val="20"/>
          <w:u w:val="single" w:color="auto"/>
          <w:color w:val="auto"/>
        </w:rPr>
        <w:t>Section 9(a)</w:t>
      </w:r>
      <w:r>
        <w:rPr>
          <w:rFonts w:ascii="Arial" w:cs="Arial" w:eastAsia="Arial" w:hAnsi="Arial"/>
          <w:sz w:val="20"/>
          <w:szCs w:val="20"/>
          <w:color w:val="auto"/>
        </w:rPr>
        <w:t xml:space="preserve">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75" w:name="page76"/>
    <w:bookmarkEnd w:id="75"/>
    <w:p>
      <w:pPr>
        <w:jc w:val="both"/>
        <w:ind w:firstLine="1763"/>
        <w:spacing w:after="0" w:line="267" w:lineRule="auto"/>
        <w:tabs>
          <w:tab w:leader="none" w:pos="2623"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 xml:space="preserve">. In order to provide for just and equitable contribution in circumstances in which the indemnification provided for in the foregoing paragraphs of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is applicable in accordance with its terms but for any reason is held to be unavailable or insufficient from the Company or the Agent, the Company and the Agent will contribute to the total losses, claims, liabilities, expenses and damages (including any investigative, legal and other expenses reasonably incurred in connection with, and any amount paid in settlement of, any action, suit, investigation or proceeding or any claim asserted)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suit, investigation or proceeding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w:t>
      </w:r>
      <w:r>
        <w:rPr>
          <w:rFonts w:ascii="Arial" w:cs="Arial" w:eastAsia="Arial" w:hAnsi="Arial"/>
          <w:sz w:val="18"/>
          <w:szCs w:val="18"/>
          <w:u w:val="single" w:color="auto"/>
          <w:color w:val="auto"/>
        </w:rPr>
        <w:t>Section 9(e)</w:t>
      </w:r>
      <w:r>
        <w:rPr>
          <w:rFonts w:ascii="Arial" w:cs="Arial" w:eastAsia="Arial" w:hAnsi="Arial"/>
          <w:sz w:val="18"/>
          <w:szCs w:val="18"/>
          <w:color w:val="auto"/>
        </w:rPr>
        <w:t xml:space="preserve"> were to be determined by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allocation or by any other method of allocation that does not take into account the equitable considerations referred to herein. The amount paid or payable by an indemnified party as a result of the loss, claim, liability, expense or damage, or action, suit, investigation or proceeding in respect thereof, referred to above in this </w:t>
      </w:r>
      <w:r>
        <w:rPr>
          <w:rFonts w:ascii="Arial" w:cs="Arial" w:eastAsia="Arial" w:hAnsi="Arial"/>
          <w:sz w:val="18"/>
          <w:szCs w:val="18"/>
          <w:u w:val="single" w:color="auto"/>
          <w:color w:val="auto"/>
        </w:rPr>
        <w:t>Section 9(e)</w:t>
      </w:r>
      <w:r>
        <w:rPr>
          <w:rFonts w:ascii="Arial" w:cs="Arial" w:eastAsia="Arial" w:hAnsi="Arial"/>
          <w:sz w:val="18"/>
          <w:szCs w:val="18"/>
          <w:color w:val="auto"/>
        </w:rPr>
        <w:t xml:space="preserve"> shall be deemed to include, for the purpose of this </w:t>
      </w:r>
      <w:r>
        <w:rPr>
          <w:rFonts w:ascii="Arial" w:cs="Arial" w:eastAsia="Arial" w:hAnsi="Arial"/>
          <w:sz w:val="18"/>
          <w:szCs w:val="18"/>
          <w:u w:val="single" w:color="auto"/>
          <w:color w:val="auto"/>
        </w:rPr>
        <w:t>Section 9(e)</w:t>
      </w:r>
      <w:r>
        <w:rPr>
          <w:rFonts w:ascii="Arial" w:cs="Arial" w:eastAsia="Arial" w:hAnsi="Arial"/>
          <w:sz w:val="18"/>
          <w:szCs w:val="18"/>
          <w:color w:val="auto"/>
        </w:rPr>
        <w:t xml:space="preserve">, any legal or other expenses reasonably incurred by such indemnified party in connection with investigating or defending any such action, suit, investigation, proceeding or claim to the extent consistent with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Notwithstanding the foregoing provisions of this </w:t>
      </w:r>
      <w:r>
        <w:rPr>
          <w:rFonts w:ascii="Arial" w:cs="Arial" w:eastAsia="Arial" w:hAnsi="Arial"/>
          <w:sz w:val="18"/>
          <w:szCs w:val="18"/>
          <w:u w:val="single" w:color="auto"/>
          <w:color w:val="auto"/>
        </w:rPr>
        <w:t>Section 9(e)</w:t>
      </w:r>
      <w:r>
        <w:rPr>
          <w:rFonts w:ascii="Arial" w:cs="Arial" w:eastAsia="Arial" w:hAnsi="Arial"/>
          <w:sz w:val="18"/>
          <w:szCs w:val="18"/>
          <w:color w:val="auto"/>
        </w:rPr>
        <w:t xml:space="preserv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Arial" w:cs="Arial" w:eastAsia="Arial" w:hAnsi="Arial"/>
          <w:sz w:val="18"/>
          <w:szCs w:val="18"/>
          <w:u w:val="single" w:color="auto"/>
          <w:color w:val="auto"/>
        </w:rPr>
        <w:t>Section 9(e</w:t>
      </w:r>
      <w:r>
        <w:rPr>
          <w:rFonts w:ascii="Arial" w:cs="Arial" w:eastAsia="Arial" w:hAnsi="Arial"/>
          <w:sz w:val="18"/>
          <w:szCs w:val="18"/>
          <w:color w:val="auto"/>
        </w:rPr>
        <w:t xml:space="preserve">), any person who controls a party to this Agreement within the meaning of Section 15 of the Securities Act or Section 20 of the Exchange Act, any affiliates of the Agent, any partners, members, directors, officers, employees and agents of the Agent and each person that is controlled by or under common control with the Agent will have the same rights to contribution as that party,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Arial" w:cs="Arial" w:eastAsia="Arial" w:hAnsi="Arial"/>
          <w:sz w:val="18"/>
          <w:szCs w:val="18"/>
          <w:u w:val="single" w:color="auto"/>
          <w:color w:val="auto"/>
        </w:rPr>
        <w:t>Section 9(e)</w:t>
      </w:r>
      <w:r>
        <w:rPr>
          <w:rFonts w:ascii="Arial" w:cs="Arial" w:eastAsia="Arial" w:hAnsi="Arial"/>
          <w:sz w:val="18"/>
          <w:szCs w:val="18"/>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Arial" w:cs="Arial" w:eastAsia="Arial" w:hAnsi="Arial"/>
          <w:sz w:val="18"/>
          <w:szCs w:val="18"/>
          <w:u w:val="single" w:color="auto"/>
          <w:color w:val="auto"/>
        </w:rPr>
        <w:t>Section 9(e)</w:t>
      </w:r>
      <w:r>
        <w:rPr>
          <w:rFonts w:ascii="Arial" w:cs="Arial" w:eastAsia="Arial" w:hAnsi="Arial"/>
          <w:sz w:val="18"/>
          <w:szCs w:val="18"/>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Arial" w:cs="Arial" w:eastAsia="Arial" w:hAnsi="Arial"/>
          <w:sz w:val="18"/>
          <w:szCs w:val="18"/>
          <w:u w:val="single" w:color="auto"/>
          <w:color w:val="auto"/>
        </w:rPr>
        <w:t>Section 9(c)</w:t>
      </w:r>
      <w:r>
        <w:rPr>
          <w:rFonts w:ascii="Arial" w:cs="Arial" w:eastAsia="Arial" w:hAnsi="Arial"/>
          <w:sz w:val="18"/>
          <w:szCs w:val="18"/>
          <w:color w:val="auto"/>
        </w:rPr>
        <w:t xml:space="preserve"> hereof or pursuant to </w:t>
      </w:r>
      <w:r>
        <w:rPr>
          <w:rFonts w:ascii="Arial" w:cs="Arial" w:eastAsia="Arial" w:hAnsi="Arial"/>
          <w:sz w:val="18"/>
          <w:szCs w:val="18"/>
          <w:u w:val="single" w:color="auto"/>
          <w:color w:val="auto"/>
        </w:rPr>
        <w:t>Section 9(d)</w:t>
      </w:r>
      <w:r>
        <w:rPr>
          <w:rFonts w:ascii="Arial" w:cs="Arial" w:eastAsia="Arial" w:hAnsi="Arial"/>
          <w:sz w:val="18"/>
          <w:szCs w:val="18"/>
          <w:color w:val="auto"/>
        </w:rPr>
        <w:t xml:space="preserve"> hereof, no party will be liable for contribution with respect to any action or claim settled without its written consent if such consent is required pursuant to </w:t>
      </w:r>
      <w:r>
        <w:rPr>
          <w:rFonts w:ascii="Arial" w:cs="Arial" w:eastAsia="Arial" w:hAnsi="Arial"/>
          <w:sz w:val="18"/>
          <w:szCs w:val="18"/>
          <w:u w:val="single" w:color="auto"/>
          <w:color w:val="auto"/>
        </w:rPr>
        <w:t>Section 9(c)</w:t>
      </w:r>
      <w:r>
        <w:rPr>
          <w:rFonts w:ascii="Arial" w:cs="Arial" w:eastAsia="Arial" w:hAnsi="Arial"/>
          <w:sz w:val="18"/>
          <w:szCs w:val="18"/>
          <w:color w:val="auto"/>
        </w:rPr>
        <w:t xml:space="preserve"> hereof.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76" w:name="page77"/>
    <w:bookmarkEnd w:id="76"/>
    <w:p>
      <w:pPr>
        <w:jc w:val="both"/>
        <w:ind w:firstLine="885"/>
        <w:spacing w:after="0" w:line="244" w:lineRule="auto"/>
        <w:tabs>
          <w:tab w:leader="none" w:pos="1773" w:val="left"/>
        </w:tabs>
        <w:numPr>
          <w:ilvl w:val="1"/>
          <w:numId w:val="85"/>
        </w:numPr>
        <w:rPr>
          <w:rFonts w:ascii="Arial" w:cs="Arial" w:eastAsia="Arial" w:hAnsi="Arial"/>
          <w:sz w:val="20"/>
          <w:szCs w:val="20"/>
          <w:color w:val="auto"/>
        </w:rPr>
      </w:pPr>
      <w:r>
        <w:rPr>
          <w:rFonts w:ascii="Arial" w:cs="Arial" w:eastAsia="Arial" w:hAnsi="Arial"/>
          <w:sz w:val="20"/>
          <w:szCs w:val="20"/>
          <w:u w:val="single" w:color="auto"/>
          <w:color w:val="auto"/>
        </w:rPr>
        <w:t>Representations and Agreements to Survive Delivery</w:t>
      </w:r>
      <w:r>
        <w:rPr>
          <w:rFonts w:ascii="Arial" w:cs="Arial" w:eastAsia="Arial" w:hAnsi="Arial"/>
          <w:sz w:val="20"/>
          <w:szCs w:val="20"/>
          <w:color w:val="auto"/>
        </w:rPr>
        <w:t xml:space="preserve">. The indemnity and contribution agreements contained in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employees or controlling persons), (ii) delivery and acceptance of the Placement Shares and payment therefor or (iii) any termination of this Agreement.</w:t>
      </w:r>
    </w:p>
    <w:p>
      <w:pPr>
        <w:spacing w:after="0" w:line="194" w:lineRule="exact"/>
        <w:rPr>
          <w:rFonts w:ascii="Arial" w:cs="Arial" w:eastAsia="Arial" w:hAnsi="Arial"/>
          <w:sz w:val="20"/>
          <w:szCs w:val="20"/>
          <w:color w:val="auto"/>
        </w:rPr>
      </w:pPr>
    </w:p>
    <w:p>
      <w:pPr>
        <w:ind w:left="1780" w:hanging="895"/>
        <w:spacing w:after="0"/>
        <w:tabs>
          <w:tab w:leader="none" w:pos="1780" w:val="left"/>
        </w:tabs>
        <w:numPr>
          <w:ilvl w:val="1"/>
          <w:numId w:val="85"/>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763"/>
        <w:spacing w:after="0" w:line="302" w:lineRule="auto"/>
        <w:tabs>
          <w:tab w:leader="none" w:pos="2623" w:val="left"/>
        </w:tabs>
        <w:numPr>
          <w:ilvl w:val="2"/>
          <w:numId w:val="85"/>
        </w:numPr>
        <w:rPr>
          <w:rFonts w:ascii="Arial" w:cs="Arial" w:eastAsia="Arial" w:hAnsi="Arial"/>
          <w:sz w:val="16"/>
          <w:szCs w:val="16"/>
          <w:color w:val="auto"/>
        </w:rPr>
      </w:pPr>
      <w:r>
        <w:rPr>
          <w:rFonts w:ascii="Arial" w:cs="Arial" w:eastAsia="Arial" w:hAnsi="Arial"/>
          <w:sz w:val="16"/>
          <w:szCs w:val="16"/>
          <w:color w:val="auto"/>
        </w:rPr>
        <w:t xml:space="preserve">The Agent shall have the right, by giving notice as hereinafter specified, at any time to terminate this Agreement if (i) any Material Adverse Effect has occurred that, in the judgment of the Agent, may materially impair the ability of the Agent to sell the Placement Shares hereunder, (ii) the Company shall have failed, refused or been unable to perform any agreement on its part to be performed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in the case of any failure of the Company to deliver (or cause another person to deliver) any certification, opinion or letter required under </w:t>
      </w:r>
      <w:r>
        <w:rPr>
          <w:rFonts w:ascii="Arial" w:cs="Arial" w:eastAsia="Arial" w:hAnsi="Arial"/>
          <w:sz w:val="16"/>
          <w:szCs w:val="16"/>
          <w:u w:val="single" w:color="auto"/>
          <w:color w:val="auto"/>
        </w:rPr>
        <w:t>Section 7(m)</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7(n)</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7(o)</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7(p)</w:t>
      </w:r>
      <w:r>
        <w:rPr>
          <w:rFonts w:ascii="Arial" w:cs="Arial" w:eastAsia="Arial" w:hAnsi="Arial"/>
          <w:sz w:val="16"/>
          <w:szCs w:val="16"/>
          <w:color w:val="auto"/>
        </w:rPr>
        <w:t>, the Agent’s right to terminate shall not arise unless such failure to deliver (or cause to be delivered) continues for more than 15 calendar days from the date such delivery was required,</w:t>
      </w:r>
    </w:p>
    <w:p>
      <w:pPr>
        <w:spacing w:after="0" w:line="4" w:lineRule="exact"/>
        <w:rPr>
          <w:rFonts w:ascii="Arial" w:cs="Arial" w:eastAsia="Arial" w:hAnsi="Arial"/>
          <w:sz w:val="16"/>
          <w:szCs w:val="16"/>
          <w:color w:val="auto"/>
        </w:rPr>
      </w:pPr>
    </w:p>
    <w:p>
      <w:pPr>
        <w:jc w:val="both"/>
        <w:ind w:firstLine="8"/>
        <w:spacing w:after="0" w:line="270" w:lineRule="auto"/>
        <w:tabs>
          <w:tab w:leader="none" w:pos="372"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any other condition of the Agent’s obligations hereunder is not fulfilled, (iv) any suspension or limitation of trading in the Placement Shares or in securities generally on Nasdaq shall have occurred, (v) a general banking moratorium shall have been declared by any of United States federal or New York authorities, or (vi)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that, in the judgment of the Agent, may materially impair the ability of the Agent to sell the Placement Shares hereunder or to enforce contracts for the sale of securities. Any such termination shall be without liability of any party to any other party except that the provisions of </w:t>
      </w:r>
      <w:r>
        <w:rPr>
          <w:rFonts w:ascii="Arial" w:cs="Arial" w:eastAsia="Arial" w:hAnsi="Arial"/>
          <w:sz w:val="18"/>
          <w:szCs w:val="18"/>
          <w:u w:val="single" w:color="auto"/>
          <w:color w:val="auto"/>
        </w:rPr>
        <w:t>Section 7(g)</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hereof shall remain in full force and effect notwithstanding such termination. If the Agent elects to terminate this Agreement as provided in this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the Agent shall provide the required notice as specified in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763"/>
        <w:spacing w:after="0" w:line="246" w:lineRule="auto"/>
        <w:tabs>
          <w:tab w:leader="none" w:pos="2634" w:val="left"/>
        </w:tabs>
        <w:numPr>
          <w:ilvl w:val="2"/>
          <w:numId w:val="86"/>
        </w:numPr>
        <w:rPr>
          <w:rFonts w:ascii="Arial" w:cs="Arial" w:eastAsia="Arial" w:hAnsi="Arial"/>
          <w:sz w:val="20"/>
          <w:szCs w:val="20"/>
          <w:color w:val="auto"/>
        </w:rPr>
      </w:pPr>
      <w:r>
        <w:rPr>
          <w:rFonts w:ascii="Arial" w:cs="Arial" w:eastAsia="Arial" w:hAnsi="Arial"/>
          <w:sz w:val="20"/>
          <w:szCs w:val="20"/>
          <w:color w:val="auto"/>
        </w:rPr>
        <w:t xml:space="preserve">The Company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20"/>
          <w:szCs w:val="20"/>
          <w:u w:val="single" w:color="auto"/>
          <w:color w:val="auto"/>
        </w:rPr>
        <w:t>Section 7(g)</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10</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11(f)</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16</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17</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19</w:t>
      </w:r>
      <w:r>
        <w:rPr>
          <w:rFonts w:ascii="Arial" w:cs="Arial" w:eastAsia="Arial" w:hAnsi="Arial"/>
          <w:sz w:val="20"/>
          <w:szCs w:val="20"/>
          <w:color w:val="auto"/>
        </w:rPr>
        <w:t xml:space="preserve"> hereof shall remain in full force and effect notwithstanding such termination.</w:t>
      </w:r>
    </w:p>
    <w:p>
      <w:pPr>
        <w:spacing w:after="0" w:line="191" w:lineRule="exact"/>
        <w:rPr>
          <w:rFonts w:ascii="Arial" w:cs="Arial" w:eastAsia="Arial" w:hAnsi="Arial"/>
          <w:sz w:val="20"/>
          <w:szCs w:val="20"/>
          <w:color w:val="auto"/>
        </w:rPr>
      </w:pPr>
    </w:p>
    <w:p>
      <w:pPr>
        <w:jc w:val="both"/>
        <w:ind w:firstLine="1763"/>
        <w:spacing w:after="0" w:line="246" w:lineRule="auto"/>
        <w:tabs>
          <w:tab w:leader="none" w:pos="2623" w:val="left"/>
        </w:tabs>
        <w:numPr>
          <w:ilvl w:val="2"/>
          <w:numId w:val="86"/>
        </w:numPr>
        <w:rPr>
          <w:rFonts w:ascii="Arial" w:cs="Arial" w:eastAsia="Arial" w:hAnsi="Arial"/>
          <w:sz w:val="20"/>
          <w:szCs w:val="20"/>
          <w:color w:val="auto"/>
        </w:rPr>
      </w:pPr>
      <w:r>
        <w:rPr>
          <w:rFonts w:ascii="Arial" w:cs="Arial" w:eastAsia="Arial" w:hAnsi="Arial"/>
          <w:sz w:val="20"/>
          <w:szCs w:val="20"/>
          <w:color w:val="auto"/>
        </w:rPr>
        <w:t xml:space="preserve">The Agent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20"/>
          <w:szCs w:val="20"/>
          <w:u w:val="single" w:color="auto"/>
          <w:color w:val="auto"/>
        </w:rPr>
        <w:t>Section 7(g)</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10</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11(f)</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16</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17</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19</w:t>
      </w:r>
      <w:r>
        <w:rPr>
          <w:rFonts w:ascii="Arial" w:cs="Arial" w:eastAsia="Arial" w:hAnsi="Arial"/>
          <w:sz w:val="20"/>
          <w:szCs w:val="20"/>
          <w:color w:val="auto"/>
        </w:rPr>
        <w:t xml:space="preserve"> hereof shall remain in full force and effect notwithstanding such termination.</w:t>
      </w:r>
    </w:p>
    <w:p>
      <w:pPr>
        <w:spacing w:after="0" w:line="191" w:lineRule="exact"/>
        <w:rPr>
          <w:rFonts w:ascii="Arial" w:cs="Arial" w:eastAsia="Arial" w:hAnsi="Arial"/>
          <w:sz w:val="20"/>
          <w:szCs w:val="20"/>
          <w:color w:val="auto"/>
        </w:rPr>
      </w:pPr>
    </w:p>
    <w:p>
      <w:pPr>
        <w:jc w:val="both"/>
        <w:ind w:firstLine="1763"/>
        <w:spacing w:after="0" w:line="246" w:lineRule="auto"/>
        <w:tabs>
          <w:tab w:leader="none" w:pos="2634" w:val="left"/>
        </w:tabs>
        <w:numPr>
          <w:ilvl w:val="2"/>
          <w:numId w:val="86"/>
        </w:numPr>
        <w:rPr>
          <w:rFonts w:ascii="Arial" w:cs="Arial" w:eastAsia="Arial" w:hAnsi="Arial"/>
          <w:sz w:val="20"/>
          <w:szCs w:val="20"/>
          <w:color w:val="auto"/>
        </w:rPr>
      </w:pPr>
      <w:r>
        <w:rPr>
          <w:rFonts w:ascii="Arial" w:cs="Arial" w:eastAsia="Arial" w:hAnsi="Arial"/>
          <w:sz w:val="20"/>
          <w:szCs w:val="20"/>
          <w:color w:val="auto"/>
        </w:rPr>
        <w:t xml:space="preserve">Unless earlier terminated pursuant to this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this Agreement shall automatically terminate upon the issuance and sale of all of the Placement Shares through the Agent on the terms and subject to the conditions set forth herein;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provisions of </w:t>
      </w:r>
      <w:r>
        <w:rPr>
          <w:rFonts w:ascii="Arial" w:cs="Arial" w:eastAsia="Arial" w:hAnsi="Arial"/>
          <w:sz w:val="20"/>
          <w:szCs w:val="20"/>
          <w:u w:val="single" w:color="auto"/>
          <w:color w:val="auto"/>
        </w:rPr>
        <w:t>Section 7(g)</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10</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11(f)</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16</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17</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19</w:t>
      </w:r>
      <w:r>
        <w:rPr>
          <w:rFonts w:ascii="Arial" w:cs="Arial" w:eastAsia="Arial" w:hAnsi="Arial"/>
          <w:sz w:val="20"/>
          <w:szCs w:val="20"/>
          <w:color w:val="auto"/>
        </w:rPr>
        <w:t xml:space="preserve"> hereof shall remain in full force and effect notwithstanding such termination.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77" w:name="page78"/>
    <w:bookmarkEnd w:id="77"/>
    <w:p>
      <w:pPr>
        <w:ind w:left="2640" w:hanging="877"/>
        <w:spacing w:after="0"/>
        <w:tabs>
          <w:tab w:leader="none" w:pos="26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This Agreement shall remain in full force and effect unless terminated pursuant to </w:t>
      </w:r>
      <w:r>
        <w:rPr>
          <w:rFonts w:ascii="Arial" w:cs="Arial" w:eastAsia="Arial" w:hAnsi="Arial"/>
          <w:sz w:val="18"/>
          <w:szCs w:val="18"/>
          <w:u w:val="single" w:color="auto"/>
          <w:color w:val="auto"/>
        </w:rPr>
        <w:t>Sections 11(a)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or</w:t>
      </w:r>
    </w:p>
    <w:p>
      <w:pPr>
        <w:spacing w:after="0" w:line="38" w:lineRule="exact"/>
        <w:rPr>
          <w:rFonts w:ascii="Arial" w:cs="Arial" w:eastAsia="Arial" w:hAnsi="Arial"/>
          <w:sz w:val="18"/>
          <w:szCs w:val="18"/>
          <w:color w:val="auto"/>
        </w:rPr>
      </w:pPr>
    </w:p>
    <w:p>
      <w:pPr>
        <w:jc w:val="both"/>
        <w:ind w:firstLine="8"/>
        <w:spacing w:after="0" w:line="241" w:lineRule="auto"/>
        <w:tabs>
          <w:tab w:leader="none" w:pos="283" w:val="left"/>
        </w:tabs>
        <w:numPr>
          <w:ilvl w:val="0"/>
          <w:numId w:val="88"/>
        </w:numPr>
        <w:rPr>
          <w:rFonts w:ascii="Arial" w:cs="Arial" w:eastAsia="Arial" w:hAnsi="Arial"/>
          <w:sz w:val="20"/>
          <w:szCs w:val="20"/>
          <w:u w:val="single" w:color="auto"/>
          <w:color w:val="auto"/>
        </w:rPr>
      </w:pPr>
      <w:r>
        <w:rPr>
          <w:rFonts w:ascii="Arial" w:cs="Arial" w:eastAsia="Arial" w:hAnsi="Arial"/>
          <w:sz w:val="20"/>
          <w:szCs w:val="20"/>
          <w:color w:val="auto"/>
        </w:rPr>
        <w:t xml:space="preserve">above or otherwise by mutual agreement of the parties;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xml:space="preserve">, that any such termination by mutual agreement shall in all cases be deemed to provide that </w:t>
      </w:r>
      <w:r>
        <w:rPr>
          <w:rFonts w:ascii="Arial" w:cs="Arial" w:eastAsia="Arial" w:hAnsi="Arial"/>
          <w:sz w:val="20"/>
          <w:szCs w:val="20"/>
          <w:u w:val="single" w:color="auto"/>
          <w:color w:val="auto"/>
        </w:rPr>
        <w:t>Section 7(g)</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10</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11(f)</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16</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17</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19</w:t>
      </w:r>
      <w:r>
        <w:rPr>
          <w:rFonts w:ascii="Arial" w:cs="Arial" w:eastAsia="Arial" w:hAnsi="Arial"/>
          <w:sz w:val="20"/>
          <w:szCs w:val="20"/>
          <w:color w:val="auto"/>
        </w:rPr>
        <w:t xml:space="preserve"> shall remain in full force and effect.</w:t>
      </w:r>
    </w:p>
    <w:p>
      <w:pPr>
        <w:spacing w:after="0" w:line="196" w:lineRule="exact"/>
        <w:rPr>
          <w:rFonts w:ascii="Arial" w:cs="Arial" w:eastAsia="Arial" w:hAnsi="Arial"/>
          <w:sz w:val="20"/>
          <w:szCs w:val="20"/>
          <w:u w:val="single" w:color="auto"/>
          <w:color w:val="auto"/>
        </w:rPr>
      </w:pPr>
    </w:p>
    <w:p>
      <w:pPr>
        <w:jc w:val="both"/>
        <w:ind w:firstLine="1763"/>
        <w:spacing w:after="0" w:line="276" w:lineRule="auto"/>
        <w:tabs>
          <w:tab w:leader="none" w:pos="2601"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Any termination of this Agreement shall be effective on the date specified in such notice of 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termination shall not be effective until the close of business on the date of receipt of such notice by the Agent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Company, as the case may be. If such termination shall occur prior to the Settlement Date for any sale of Placement Shares, such Placement Shares shall settle in accordance with the provisions of this Agreement. Upon termination of this Agreement, the Company shall not be required to pay to the Agent any discount or commission with respect to any Placement Shares not otherwise sold by the Agent under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Company shall remain obligated to reimburse the Agent’s expenses pursuant to </w:t>
      </w:r>
      <w:r>
        <w:rPr>
          <w:rFonts w:ascii="Arial" w:cs="Arial" w:eastAsia="Arial" w:hAnsi="Arial"/>
          <w:sz w:val="18"/>
          <w:szCs w:val="18"/>
          <w:u w:val="single" w:color="auto"/>
          <w:color w:val="auto"/>
        </w:rPr>
        <w:t>Section 7(g)</w:t>
      </w:r>
      <w:r>
        <w:rPr>
          <w:rFonts w:ascii="Arial" w:cs="Arial" w:eastAsia="Arial" w:hAnsi="Arial"/>
          <w:sz w:val="18"/>
          <w:szCs w:val="18"/>
          <w:color w:val="auto"/>
        </w:rPr>
        <w:t>.</w:t>
      </w:r>
    </w:p>
    <w:p>
      <w:pPr>
        <w:spacing w:after="0" w:line="165" w:lineRule="exact"/>
        <w:rPr>
          <w:sz w:val="20"/>
          <w:szCs w:val="20"/>
          <w:color w:val="auto"/>
        </w:rPr>
      </w:pPr>
    </w:p>
    <w:p>
      <w:pPr>
        <w:ind w:firstLine="885"/>
        <w:spacing w:after="0" w:line="316" w:lineRule="auto"/>
        <w:tabs>
          <w:tab w:leader="none" w:pos="1773"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required or permitted to be given by any party to any other party pursuant to the terms of this Agreement shall be in writing, unless otherwise specified in this Agreement, and if sent to the Agent, shall be delivered to:</w:t>
      </w:r>
    </w:p>
    <w:p>
      <w:pPr>
        <w:spacing w:after="0" w:line="130" w:lineRule="exact"/>
        <w:rPr>
          <w:sz w:val="20"/>
          <w:szCs w:val="20"/>
          <w:color w:val="auto"/>
        </w:rPr>
      </w:pPr>
    </w:p>
    <w:p>
      <w:pPr>
        <w:ind w:left="780"/>
        <w:spacing w:after="0"/>
        <w:rPr>
          <w:sz w:val="20"/>
          <w:szCs w:val="20"/>
          <w:color w:val="auto"/>
        </w:rPr>
      </w:pPr>
      <w:r>
        <w:rPr>
          <w:rFonts w:ascii="Arial" w:cs="Arial" w:eastAsia="Arial" w:hAnsi="Arial"/>
          <w:sz w:val="20"/>
          <w:szCs w:val="20"/>
          <w:color w:val="auto"/>
        </w:rPr>
        <w:t>Leerink Partners LLC</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20"/>
          <w:szCs w:val="20"/>
          <w:color w:val="auto"/>
        </w:rPr>
        <w:t>255 California Street, 12</w:t>
      </w:r>
      <w:r>
        <w:rPr>
          <w:rFonts w:ascii="Arial" w:cs="Arial" w:eastAsia="Arial" w:hAnsi="Arial"/>
          <w:sz w:val="16"/>
          <w:szCs w:val="16"/>
          <w:color w:val="auto"/>
        </w:rPr>
        <w:t>th</w:t>
      </w:r>
    </w:p>
    <w:p>
      <w:pPr>
        <w:ind w:left="780"/>
        <w:spacing w:after="0"/>
        <w:rPr>
          <w:sz w:val="20"/>
          <w:szCs w:val="20"/>
          <w:color w:val="auto"/>
        </w:rPr>
      </w:pPr>
      <w:r>
        <w:rPr>
          <w:rFonts w:ascii="Arial" w:cs="Arial" w:eastAsia="Arial" w:hAnsi="Arial"/>
          <w:sz w:val="20"/>
          <w:szCs w:val="20"/>
          <w:color w:val="auto"/>
        </w:rPr>
        <w:t>San Francisco, California</w:t>
      </w:r>
    </w:p>
    <w:p>
      <w:pPr>
        <w:ind w:left="780"/>
        <w:spacing w:after="0"/>
        <w:rPr>
          <w:sz w:val="20"/>
          <w:szCs w:val="20"/>
          <w:color w:val="auto"/>
        </w:rPr>
      </w:pPr>
      <w:r>
        <w:rPr>
          <w:rFonts w:ascii="Arial" w:cs="Arial" w:eastAsia="Arial" w:hAnsi="Arial"/>
          <w:sz w:val="20"/>
          <w:szCs w:val="20"/>
          <w:color w:val="auto"/>
        </w:rPr>
        <w:t>Attention: Murphy Gallagher</w:t>
      </w:r>
    </w:p>
    <w:p>
      <w:pPr>
        <w:ind w:left="780"/>
        <w:spacing w:after="0"/>
        <w:rPr>
          <w:sz w:val="20"/>
          <w:szCs w:val="20"/>
          <w:color w:val="auto"/>
        </w:rPr>
      </w:pPr>
      <w:r>
        <w:rPr>
          <w:rFonts w:ascii="Arial" w:cs="Arial" w:eastAsia="Arial" w:hAnsi="Arial"/>
          <w:sz w:val="20"/>
          <w:szCs w:val="20"/>
          <w:color w:val="auto"/>
        </w:rPr>
        <w:t>Facsimile: (415) 905-7230</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with copies (which shall not constitute notice) to:</w:t>
      </w:r>
    </w:p>
    <w:p>
      <w:pPr>
        <w:spacing w:after="0" w:line="216" w:lineRule="exact"/>
        <w:rPr>
          <w:sz w:val="20"/>
          <w:szCs w:val="20"/>
          <w:color w:val="auto"/>
        </w:rPr>
      </w:pPr>
    </w:p>
    <w:p>
      <w:pPr>
        <w:ind w:left="780"/>
        <w:spacing w:after="0"/>
        <w:rPr>
          <w:sz w:val="20"/>
          <w:szCs w:val="20"/>
          <w:color w:val="auto"/>
        </w:rPr>
      </w:pPr>
      <w:r>
        <w:rPr>
          <w:rFonts w:ascii="Arial" w:cs="Arial" w:eastAsia="Arial" w:hAnsi="Arial"/>
          <w:sz w:val="20"/>
          <w:szCs w:val="20"/>
          <w:color w:val="auto"/>
        </w:rPr>
        <w:t>Leerink Partners LLC</w:t>
      </w:r>
    </w:p>
    <w:p>
      <w:pPr>
        <w:ind w:left="780"/>
        <w:spacing w:after="0" w:line="182" w:lineRule="auto"/>
        <w:rPr>
          <w:sz w:val="20"/>
          <w:szCs w:val="20"/>
          <w:color w:val="auto"/>
        </w:rPr>
      </w:pPr>
      <w:r>
        <w:rPr>
          <w:rFonts w:ascii="Arial" w:cs="Arial" w:eastAsia="Arial" w:hAnsi="Arial"/>
          <w:sz w:val="19"/>
          <w:szCs w:val="19"/>
          <w:color w:val="auto"/>
        </w:rPr>
        <w:t xml:space="preserve">1301 </w:t>
      </w:r>
      <w:r>
        <w:rPr>
          <w:rFonts w:ascii="Arial" w:cs="Arial" w:eastAsia="Arial" w:hAnsi="Arial"/>
          <w:sz w:val="17"/>
          <w:szCs w:val="17"/>
          <w:color w:val="auto"/>
        </w:rPr>
        <w:t>Avenue of the Americas, 12</w:t>
      </w:r>
      <w:r>
        <w:rPr>
          <w:rFonts w:ascii="Arial" w:cs="Arial" w:eastAsia="Arial" w:hAnsi="Arial"/>
          <w:sz w:val="28"/>
          <w:szCs w:val="28"/>
          <w:color w:val="auto"/>
          <w:vertAlign w:val="superscript"/>
        </w:rPr>
        <w:t>th</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20"/>
          <w:szCs w:val="20"/>
          <w:color w:val="auto"/>
        </w:rPr>
        <w:t>New York, New York 10019</w:t>
      </w:r>
    </w:p>
    <w:p>
      <w:pPr>
        <w:ind w:left="780"/>
        <w:spacing w:after="0"/>
        <w:rPr>
          <w:sz w:val="20"/>
          <w:szCs w:val="20"/>
          <w:color w:val="auto"/>
        </w:rPr>
      </w:pPr>
      <w:r>
        <w:rPr>
          <w:rFonts w:ascii="Arial" w:cs="Arial" w:eastAsia="Arial" w:hAnsi="Arial"/>
          <w:sz w:val="20"/>
          <w:szCs w:val="20"/>
          <w:color w:val="auto"/>
        </w:rPr>
        <w:t>Attention: Stuart R. Nayman, Esq.</w:t>
      </w:r>
    </w:p>
    <w:p>
      <w:pPr>
        <w:ind w:left="780"/>
        <w:spacing w:after="0"/>
        <w:rPr>
          <w:sz w:val="20"/>
          <w:szCs w:val="20"/>
          <w:color w:val="auto"/>
        </w:rPr>
      </w:pPr>
      <w:r>
        <w:rPr>
          <w:rFonts w:ascii="Arial" w:cs="Arial" w:eastAsia="Arial" w:hAnsi="Arial"/>
          <w:sz w:val="20"/>
          <w:szCs w:val="20"/>
          <w:color w:val="auto"/>
        </w:rPr>
        <w:t>Facsimile: (646) 499-7051</w:t>
      </w:r>
    </w:p>
    <w:p>
      <w:pPr>
        <w:ind w:left="780"/>
        <w:spacing w:after="0"/>
        <w:rPr>
          <w:sz w:val="20"/>
          <w:szCs w:val="20"/>
          <w:color w:val="auto"/>
        </w:rPr>
      </w:pPr>
      <w:r>
        <w:rPr>
          <w:rFonts w:ascii="Arial" w:cs="Arial" w:eastAsia="Arial" w:hAnsi="Arial"/>
          <w:sz w:val="20"/>
          <w:szCs w:val="20"/>
          <w:color w:val="auto"/>
        </w:rPr>
        <w:t>E-mail: stuart.nayman@leerink.com</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and if to the Company, shall be delivered to:</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Arcturus Therapeutics Ltd.</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10628 Science Center Dr.</w:t>
      </w:r>
    </w:p>
    <w:p>
      <w:pPr>
        <w:ind w:left="880"/>
        <w:spacing w:after="0"/>
        <w:rPr>
          <w:sz w:val="20"/>
          <w:szCs w:val="20"/>
          <w:color w:val="auto"/>
        </w:rPr>
      </w:pPr>
      <w:r>
        <w:rPr>
          <w:rFonts w:ascii="Arial" w:cs="Arial" w:eastAsia="Arial" w:hAnsi="Arial"/>
          <w:sz w:val="20"/>
          <w:szCs w:val="20"/>
          <w:color w:val="auto"/>
        </w:rPr>
        <w:t>Suite 200</w:t>
      </w:r>
    </w:p>
    <w:p>
      <w:pPr>
        <w:ind w:left="880"/>
        <w:spacing w:after="0"/>
        <w:rPr>
          <w:sz w:val="20"/>
          <w:szCs w:val="20"/>
          <w:color w:val="auto"/>
        </w:rPr>
      </w:pPr>
      <w:r>
        <w:rPr>
          <w:rFonts w:ascii="Arial" w:cs="Arial" w:eastAsia="Arial" w:hAnsi="Arial"/>
          <w:sz w:val="20"/>
          <w:szCs w:val="20"/>
          <w:color w:val="auto"/>
        </w:rPr>
        <w:t>San Diego, California 92121</w:t>
      </w:r>
    </w:p>
    <w:p>
      <w:pPr>
        <w:ind w:left="880"/>
        <w:spacing w:after="0"/>
        <w:rPr>
          <w:sz w:val="20"/>
          <w:szCs w:val="20"/>
          <w:color w:val="auto"/>
        </w:rPr>
      </w:pPr>
      <w:r>
        <w:rPr>
          <w:rFonts w:ascii="Arial" w:cs="Arial" w:eastAsia="Arial" w:hAnsi="Arial"/>
          <w:sz w:val="20"/>
          <w:szCs w:val="20"/>
          <w:color w:val="auto"/>
        </w:rPr>
        <w:t>Attention: Chief Executive Officer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with copies (which shall not constitute notice) to:</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Dentons US LLP</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4655 Executive Drive,</w:t>
      </w:r>
    </w:p>
    <w:p>
      <w:pPr>
        <w:ind w:left="880"/>
        <w:spacing w:after="0"/>
        <w:rPr>
          <w:sz w:val="20"/>
          <w:szCs w:val="20"/>
          <w:color w:val="auto"/>
        </w:rPr>
      </w:pPr>
      <w:r>
        <w:rPr>
          <w:rFonts w:ascii="Arial" w:cs="Arial" w:eastAsia="Arial" w:hAnsi="Arial"/>
          <w:sz w:val="20"/>
          <w:szCs w:val="20"/>
          <w:color w:val="auto"/>
        </w:rPr>
        <w:t>Suite 700</w:t>
      </w:r>
    </w:p>
    <w:p>
      <w:pPr>
        <w:ind w:left="880"/>
        <w:spacing w:after="0"/>
        <w:rPr>
          <w:sz w:val="20"/>
          <w:szCs w:val="20"/>
          <w:color w:val="auto"/>
        </w:rPr>
      </w:pPr>
      <w:r>
        <w:rPr>
          <w:rFonts w:ascii="Arial" w:cs="Arial" w:eastAsia="Arial" w:hAnsi="Arial"/>
          <w:sz w:val="20"/>
          <w:szCs w:val="20"/>
          <w:color w:val="auto"/>
        </w:rPr>
        <w:t>New York, New York 10178</w:t>
      </w:r>
    </w:p>
    <w:p>
      <w:pPr>
        <w:ind w:left="880"/>
        <w:spacing w:after="0"/>
        <w:rPr>
          <w:sz w:val="20"/>
          <w:szCs w:val="20"/>
          <w:color w:val="auto"/>
        </w:rPr>
      </w:pPr>
      <w:r>
        <w:rPr>
          <w:rFonts w:ascii="Arial" w:cs="Arial" w:eastAsia="Arial" w:hAnsi="Arial"/>
          <w:sz w:val="20"/>
          <w:szCs w:val="20"/>
          <w:color w:val="auto"/>
        </w:rPr>
        <w:t>Attention: Jeffrey Baumel</w:t>
      </w:r>
    </w:p>
    <w:p>
      <w:pPr>
        <w:ind w:left="880"/>
        <w:spacing w:after="0"/>
        <w:rPr>
          <w:sz w:val="20"/>
          <w:szCs w:val="20"/>
          <w:color w:val="auto"/>
        </w:rPr>
      </w:pPr>
      <w:r>
        <w:rPr>
          <w:rFonts w:ascii="Arial" w:cs="Arial" w:eastAsia="Arial" w:hAnsi="Arial"/>
          <w:sz w:val="20"/>
          <w:szCs w:val="20"/>
          <w:color w:val="auto"/>
        </w:rPr>
        <w:t>E-mail: jeffrey.baumel@dentons.com</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78" w:name="page79"/>
    <w:bookmarkEnd w:id="78"/>
    <w:p>
      <w:pPr>
        <w:jc w:val="both"/>
        <w:spacing w:after="0" w:line="258" w:lineRule="auto"/>
        <w:rPr>
          <w:sz w:val="20"/>
          <w:szCs w:val="20"/>
          <w:color w:val="auto"/>
        </w:rPr>
      </w:pPr>
      <w:r>
        <w:rPr>
          <w:rFonts w:ascii="Arial" w:cs="Arial" w:eastAsia="Arial" w:hAnsi="Arial"/>
          <w:sz w:val="19"/>
          <w:szCs w:val="19"/>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by Electronic Notice as set forth in the next paragraph, (iii) on the next Business Day after timely delivery to a nationally-recognized overnight courier or (iv) on the Business Day actually received if deposited in the U.S. mail (certified or registered mail, return receipt requested, postage prepaid). For purposes of this Agreement, “</w:t>
      </w:r>
      <w:r>
        <w:rPr>
          <w:rFonts w:ascii="Arial" w:cs="Arial" w:eastAsia="Arial" w:hAnsi="Arial"/>
          <w:sz w:val="19"/>
          <w:szCs w:val="19"/>
          <w:b w:val="1"/>
          <w:bCs w:val="1"/>
          <w:u w:val="single" w:color="auto"/>
          <w:color w:val="auto"/>
        </w:rPr>
        <w:t>Business Day</w:t>
      </w:r>
      <w:r>
        <w:rPr>
          <w:rFonts w:ascii="Arial" w:cs="Arial" w:eastAsia="Arial" w:hAnsi="Arial"/>
          <w:sz w:val="19"/>
          <w:szCs w:val="19"/>
          <w:color w:val="auto"/>
        </w:rPr>
        <w:t>” shall mean any day on which the Nasdaq and commercial banks in the City of New York are open for business.</w:t>
      </w:r>
    </w:p>
    <w:p>
      <w:pPr>
        <w:spacing w:after="0" w:line="173"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An electronic communication (“</w:t>
      </w:r>
      <w:r>
        <w:rPr>
          <w:rFonts w:ascii="Arial" w:cs="Arial" w:eastAsia="Arial" w:hAnsi="Arial"/>
          <w:sz w:val="18"/>
          <w:szCs w:val="18"/>
          <w:b w:val="1"/>
          <w:bCs w:val="1"/>
          <w:u w:val="single" w:color="auto"/>
          <w:color w:val="auto"/>
        </w:rPr>
        <w:t>Electronic Notice</w:t>
      </w:r>
      <w:r>
        <w:rPr>
          <w:rFonts w:ascii="Arial" w:cs="Arial" w:eastAsia="Arial" w:hAnsi="Arial"/>
          <w:sz w:val="18"/>
          <w:szCs w:val="18"/>
          <w:color w:val="auto"/>
        </w:rPr>
        <w:t xml:space="preserve">”) shall be deemed written notice for purposes of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if sent to the electronic mail address specified by the receiving party in </w:t>
      </w:r>
      <w:r>
        <w:rPr>
          <w:rFonts w:ascii="Arial" w:cs="Arial" w:eastAsia="Arial" w:hAnsi="Arial"/>
          <w:sz w:val="18"/>
          <w:szCs w:val="18"/>
          <w:u w:val="single" w:color="auto"/>
          <w:color w:val="auto"/>
        </w:rPr>
        <w:t>Section 12</w:t>
      </w:r>
      <w:r>
        <w:rPr>
          <w:rFonts w:ascii="Arial" w:cs="Arial" w:eastAsia="Arial" w:hAnsi="Arial"/>
          <w:sz w:val="18"/>
          <w:szCs w:val="18"/>
          <w:color w:val="auto"/>
        </w:rPr>
        <w:t>. Electronic Notice shall be deemed received at the time the party sending Electronic Notice receives actual acknowledgment of receipt from the person whom the notice is sent, other than via auto-reply. Any party receiving Electronic Notice may request and shall be entitled to receive the notice on paper, in a nonelectronic form (“</w:t>
      </w:r>
      <w:r>
        <w:rPr>
          <w:rFonts w:ascii="Arial" w:cs="Arial" w:eastAsia="Arial" w:hAnsi="Arial"/>
          <w:sz w:val="18"/>
          <w:szCs w:val="18"/>
          <w:b w:val="1"/>
          <w:bCs w:val="1"/>
          <w:u w:val="single" w:color="auto"/>
          <w:color w:val="auto"/>
        </w:rPr>
        <w:t>Nonelectronic Notice</w:t>
      </w:r>
      <w:r>
        <w:rPr>
          <w:rFonts w:ascii="Arial" w:cs="Arial" w:eastAsia="Arial" w:hAnsi="Arial"/>
          <w:sz w:val="18"/>
          <w:szCs w:val="18"/>
          <w:color w:val="auto"/>
        </w:rPr>
        <w:t>”), which shall be sent to the requesting party within 10 days of receipt of the written request for Nonelectronic Notice.</w:t>
      </w:r>
    </w:p>
    <w:p>
      <w:pPr>
        <w:spacing w:after="0" w:line="163" w:lineRule="exact"/>
        <w:rPr>
          <w:sz w:val="20"/>
          <w:szCs w:val="20"/>
          <w:color w:val="auto"/>
        </w:rPr>
      </w:pPr>
    </w:p>
    <w:p>
      <w:pPr>
        <w:jc w:val="both"/>
        <w:ind w:firstLine="885"/>
        <w:spacing w:after="0" w:line="273" w:lineRule="auto"/>
        <w:tabs>
          <w:tab w:leader="none" w:pos="1773"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inure to the benefit of and be binding upon the Company and the Agent and their respective successors and the affiliates, controlling persons, officers, directors and other persons referred to in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hereof. References to any of the parties contained in this Agreement shall be deemed to include the successors and permitted assigns of each such party. Nothing in this Agreement, express or implied, is intended to confer upon any party other than the parties hereto, the persons referred to in the preceding sentence and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Agent may assign its rights and obligations hereunder to an affiliate of the Agent without obtaining the Company’s consent, so long as such affiliate is a registered broker-dealer.</w:t>
      </w:r>
    </w:p>
    <w:p>
      <w:pPr>
        <w:spacing w:after="0" w:line="169" w:lineRule="exact"/>
        <w:rPr>
          <w:rFonts w:ascii="Arial" w:cs="Arial" w:eastAsia="Arial" w:hAnsi="Arial"/>
          <w:sz w:val="18"/>
          <w:szCs w:val="18"/>
          <w:color w:val="auto"/>
        </w:rPr>
      </w:pPr>
    </w:p>
    <w:p>
      <w:pPr>
        <w:ind w:firstLine="885"/>
        <w:spacing w:after="0" w:line="287" w:lineRule="auto"/>
        <w:tabs>
          <w:tab w:leader="none" w:pos="1773"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Adjustments for Share Splits</w:t>
      </w:r>
      <w:r>
        <w:rPr>
          <w:rFonts w:ascii="Arial" w:cs="Arial" w:eastAsia="Arial" w:hAnsi="Arial"/>
          <w:sz w:val="19"/>
          <w:szCs w:val="19"/>
          <w:color w:val="auto"/>
        </w:rPr>
        <w:t>. The parties acknowledge and agree that all share-related numbers contained in this Agreement shall be adjusted to take into account any share split, share dividend or similar event effected with respect to the Shares.</w:t>
      </w:r>
    </w:p>
    <w:p>
      <w:pPr>
        <w:spacing w:after="0" w:line="152" w:lineRule="exact"/>
        <w:rPr>
          <w:rFonts w:ascii="Arial" w:cs="Arial" w:eastAsia="Arial" w:hAnsi="Arial"/>
          <w:sz w:val="19"/>
          <w:szCs w:val="19"/>
          <w:color w:val="auto"/>
        </w:rPr>
      </w:pPr>
    </w:p>
    <w:p>
      <w:pPr>
        <w:jc w:val="both"/>
        <w:ind w:firstLine="885"/>
        <w:spacing w:after="0" w:line="270" w:lineRule="auto"/>
        <w:tabs>
          <w:tab w:leader="none" w:pos="1773"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 Severability; Waiver</w:t>
      </w:r>
      <w:r>
        <w:rPr>
          <w:rFonts w:ascii="Arial" w:cs="Arial" w:eastAsia="Arial" w:hAnsi="Arial"/>
          <w:sz w:val="18"/>
          <w:szCs w:val="18"/>
          <w:color w:val="auto"/>
        </w:rPr>
        <w:t xml:space="preserve">. This Agreement (including all schedules (as amended pursuant to this Agreement)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of this Agreement may be amended by either party from time to time by sending a notice containing a revised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to the other party in the manner provided in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and, upon such amendment, all references herein to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shall automatically be deemed to refer to such amended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79" w:name="page80"/>
    <w:bookmarkEnd w:id="79"/>
    <w:p>
      <w:pPr>
        <w:jc w:val="both"/>
        <w:ind w:firstLine="885"/>
        <w:spacing w:after="0" w:line="245" w:lineRule="auto"/>
        <w:tabs>
          <w:tab w:leader="none" w:pos="1773" w:val="left"/>
        </w:tabs>
        <w:numPr>
          <w:ilvl w:val="0"/>
          <w:numId w:val="91"/>
        </w:numPr>
        <w:rPr>
          <w:rFonts w:ascii="Arial" w:cs="Arial" w:eastAsia="Arial" w:hAnsi="Arial"/>
          <w:sz w:val="20"/>
          <w:szCs w:val="20"/>
          <w:color w:val="auto"/>
        </w:rPr>
      </w:pPr>
      <w:r>
        <w:rPr>
          <w:rFonts w:ascii="Arial" w:cs="Arial" w:eastAsia="Arial" w:hAnsi="Arial"/>
          <w:sz w:val="20"/>
          <w:szCs w:val="20"/>
          <w:b w:val="1"/>
          <w:bCs w:val="1"/>
          <w:u w:val="single" w:color="auto"/>
          <w:color w:val="auto"/>
        </w:rPr>
        <w:t>GOVERNING LAW AND TIME; WAIVER OF JURY TRIAL</w:t>
      </w:r>
      <w:r>
        <w:rPr>
          <w:rFonts w:ascii="Arial" w:cs="Arial" w:eastAsia="Arial" w:hAnsi="Arial"/>
          <w:sz w:val="20"/>
          <w:szCs w:val="20"/>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91" w:lineRule="exact"/>
        <w:rPr>
          <w:rFonts w:ascii="Arial" w:cs="Arial" w:eastAsia="Arial" w:hAnsi="Arial"/>
          <w:sz w:val="20"/>
          <w:szCs w:val="20"/>
          <w:color w:val="auto"/>
        </w:rPr>
      </w:pPr>
    </w:p>
    <w:p>
      <w:pPr>
        <w:jc w:val="both"/>
        <w:ind w:firstLine="885"/>
        <w:spacing w:after="0" w:line="256" w:lineRule="auto"/>
        <w:tabs>
          <w:tab w:leader="none" w:pos="1773"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Consent to Jurisdiction</w:t>
      </w:r>
      <w:r>
        <w:rPr>
          <w:rFonts w:ascii="Arial" w:cs="Arial" w:eastAsia="Arial" w:hAnsi="Arial"/>
          <w:sz w:val="19"/>
          <w:szCs w:val="19"/>
          <w:color w:val="auto"/>
        </w:rPr>
        <w:t xml:space="preserve">. Each party hereby irrevocably submits to the exclusive jurisdiction of the state and federal courts sitting in the City of New York, Borough of Manhattan, for the adjudication of any dispute hereunder or in connection with any of the transactions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(certified or registered mail, return receipt requested) to such party at the address in effect for notices under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of this Agreement and agrees that such service shall constitute good and sufficient notice of process and notice thereof. Nothing contained herein shall be deemed to limit in any way any right to serve process in any manner permitted by law.</w:t>
      </w:r>
    </w:p>
    <w:p>
      <w:pPr>
        <w:spacing w:after="0" w:line="184" w:lineRule="exact"/>
        <w:rPr>
          <w:rFonts w:ascii="Arial" w:cs="Arial" w:eastAsia="Arial" w:hAnsi="Arial"/>
          <w:sz w:val="19"/>
          <w:szCs w:val="19"/>
          <w:color w:val="auto"/>
        </w:rPr>
      </w:pPr>
    </w:p>
    <w:p>
      <w:pPr>
        <w:jc w:val="both"/>
        <w:ind w:firstLine="885"/>
        <w:spacing w:after="0" w:line="272" w:lineRule="auto"/>
        <w:tabs>
          <w:tab w:leader="none" w:pos="1773"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Appointment of Agent for Service</w:t>
      </w:r>
      <w:r>
        <w:rPr>
          <w:rFonts w:ascii="Arial" w:cs="Arial" w:eastAsia="Arial" w:hAnsi="Arial"/>
          <w:sz w:val="18"/>
          <w:szCs w:val="18"/>
          <w:color w:val="auto"/>
        </w:rPr>
        <w:t xml:space="preserve">. The Company hereby appoints Arcturus Therapeutics Inc., with offices at 10628 Science Center Dr., Suite 200, San Diego, California 92121, as its agent for service of process in any suit, action or proceeding described in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and agrees that service of process in any such suit, action or proceeding may be made upon it at the office of such agent. The Company waives, to the fullest extent permitted by law, any other requirements of or objections to personal jurisdiction with respect thereto. The Company represents and warrants that such agent has agreed to act as the Company’s agent for service of process, and the Company agrees to take any and all action, including the filing of any and all documents and instruments, that may be necessary to continue such appointment in full force and effect. In the event that Arcturus Therapeutics Inc. is unable to serve as such agent, the Company hereby agrees to maintain the uninterrupted designation of an authorized agent upon whom process may be served in any such suit, action or proceeding and agrees to notify the Agent of the name and address of any such future authorized agent.</w:t>
      </w:r>
    </w:p>
    <w:p>
      <w:pPr>
        <w:spacing w:after="0" w:line="171" w:lineRule="exact"/>
        <w:rPr>
          <w:rFonts w:ascii="Arial" w:cs="Arial" w:eastAsia="Arial" w:hAnsi="Arial"/>
          <w:sz w:val="18"/>
          <w:szCs w:val="18"/>
          <w:color w:val="auto"/>
        </w:rPr>
      </w:pPr>
    </w:p>
    <w:p>
      <w:pPr>
        <w:jc w:val="both"/>
        <w:ind w:firstLine="885"/>
        <w:spacing w:after="0" w:line="270" w:lineRule="auto"/>
        <w:tabs>
          <w:tab w:leader="none" w:pos="1773"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Judgment Currency</w:t>
      </w:r>
      <w:r>
        <w:rPr>
          <w:rFonts w:ascii="Arial" w:cs="Arial" w:eastAsia="Arial" w:hAnsi="Arial"/>
          <w:sz w:val="18"/>
          <w:szCs w:val="18"/>
          <w:color w:val="auto"/>
        </w:rPr>
        <w:t>. If for the purposes of obtaining judgment in any court it is necessary to convert a sum due hereunder into any currency other than United States dollars, the parties hereto agree, to the fullest extent permitted by law, that the rate of exchange used shall be the rate at which in accordance with normal banking procedures the Agent could purchase United States dollars with such other currency in The City of New York on the Business Day preceding that on which final judgment is given. The obligation of the Company with respect to any sum due from it to the Agent or any person controlling the Agent shall, notwithstanding any judgment in a currency other than United States dollars, not be discharged until the first (1</w:t>
      </w:r>
      <w:r>
        <w:rPr>
          <w:rFonts w:ascii="Arial" w:cs="Arial" w:eastAsia="Arial" w:hAnsi="Arial"/>
          <w:sz w:val="14"/>
          <w:szCs w:val="14"/>
          <w:color w:val="auto"/>
        </w:rPr>
        <w:t>st</w:t>
      </w:r>
      <w:r>
        <w:rPr>
          <w:rFonts w:ascii="Arial" w:cs="Arial" w:eastAsia="Arial" w:hAnsi="Arial"/>
          <w:sz w:val="18"/>
          <w:szCs w:val="18"/>
          <w:color w:val="auto"/>
        </w:rPr>
        <w:t>) Business Day following receipt by the Agent or any person controlling the Agent of any sum in such other currency, and only to the extent that the Agent or controlling person may in accordance with normal banking procedures purchase United States dollars with such other currency. If the United States dollars so purchased are less than the sum originally due to the Agent or controlling person hereunder, the Company agrees as a separate obligation and notwithstanding any such judgment, to indemnify the Agent or controlling person against such loss. If the United States dollars so purchased are greater than the sum originally due to the Agent or controlling person hereunder, the Agent or controlling person agrees to pay to the Company an amount equal to the excess of the dollars so purchased over the sum originally due to the Agent or controlling person hereunder.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0" w:name="page81"/>
    <w:bookmarkEnd w:id="80"/>
    <w:p>
      <w:pPr>
        <w:ind w:left="1780" w:hanging="895"/>
        <w:spacing w:after="0"/>
        <w:tabs>
          <w:tab w:leader="none" w:pos="1780"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Construction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640" w:hanging="877"/>
        <w:spacing w:after="0"/>
        <w:tabs>
          <w:tab w:leader="none" w:pos="26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section and exhibit headings herein are for convenience only and shall not affect the construction hereof.</w:t>
      </w:r>
    </w:p>
    <w:p>
      <w:pPr>
        <w:spacing w:after="0" w:line="238" w:lineRule="exact"/>
        <w:rPr>
          <w:rFonts w:ascii="Arial" w:cs="Arial" w:eastAsia="Arial" w:hAnsi="Arial"/>
          <w:sz w:val="18"/>
          <w:szCs w:val="18"/>
          <w:color w:val="auto"/>
        </w:rPr>
      </w:pPr>
    </w:p>
    <w:p>
      <w:pPr>
        <w:ind w:left="2640" w:hanging="877"/>
        <w:spacing w:after="0"/>
        <w:tabs>
          <w:tab w:leader="none" w:pos="2640" w:val="left"/>
        </w:tabs>
        <w:numPr>
          <w:ilvl w:val="1"/>
          <w:numId w:val="92"/>
        </w:numPr>
        <w:rPr>
          <w:rFonts w:ascii="Arial" w:cs="Arial" w:eastAsia="Arial" w:hAnsi="Arial"/>
          <w:sz w:val="19"/>
          <w:szCs w:val="19"/>
          <w:color w:val="auto"/>
        </w:rPr>
      </w:pPr>
      <w:r>
        <w:rPr>
          <w:rFonts w:ascii="Arial" w:cs="Arial" w:eastAsia="Arial" w:hAnsi="Arial"/>
          <w:sz w:val="19"/>
          <w:szCs w:val="19"/>
          <w:color w:val="auto"/>
        </w:rPr>
        <w:t>Words defined in the singular shall have a comparable meaning when used in the plural, and vice versa.</w:t>
      </w:r>
    </w:p>
    <w:p>
      <w:pPr>
        <w:spacing w:after="0" w:line="227" w:lineRule="exact"/>
        <w:rPr>
          <w:rFonts w:ascii="Arial" w:cs="Arial" w:eastAsia="Arial" w:hAnsi="Arial"/>
          <w:sz w:val="19"/>
          <w:szCs w:val="19"/>
          <w:color w:val="auto"/>
        </w:rPr>
      </w:pPr>
    </w:p>
    <w:p>
      <w:pPr>
        <w:ind w:firstLine="1763"/>
        <w:spacing w:after="0" w:line="260" w:lineRule="auto"/>
        <w:tabs>
          <w:tab w:leader="none" w:pos="2623" w:val="left"/>
        </w:tabs>
        <w:numPr>
          <w:ilvl w:val="1"/>
          <w:numId w:val="92"/>
        </w:numPr>
        <w:rPr>
          <w:rFonts w:ascii="Arial" w:cs="Arial" w:eastAsia="Arial" w:hAnsi="Arial"/>
          <w:sz w:val="20"/>
          <w:szCs w:val="20"/>
          <w:color w:val="auto"/>
        </w:rPr>
      </w:pPr>
      <w:r>
        <w:rPr>
          <w:rFonts w:ascii="Arial" w:cs="Arial" w:eastAsia="Arial" w:hAnsi="Arial"/>
          <w:sz w:val="20"/>
          <w:szCs w:val="20"/>
          <w:color w:val="auto"/>
        </w:rPr>
        <w:t>The words “hereof,” “hereto,” “herein” and “hereunder” and words of similar import, when used in this Agreement, shall refer to this Agreement as a whole and not to any particular provision of this Agreement.</w:t>
      </w:r>
    </w:p>
    <w:p>
      <w:pPr>
        <w:spacing w:after="0" w:line="176" w:lineRule="exact"/>
        <w:rPr>
          <w:rFonts w:ascii="Arial" w:cs="Arial" w:eastAsia="Arial" w:hAnsi="Arial"/>
          <w:sz w:val="20"/>
          <w:szCs w:val="20"/>
          <w:color w:val="auto"/>
        </w:rPr>
      </w:pPr>
    </w:p>
    <w:p>
      <w:pPr>
        <w:ind w:firstLine="1763"/>
        <w:spacing w:after="0" w:line="260" w:lineRule="auto"/>
        <w:tabs>
          <w:tab w:leader="none" w:pos="2634" w:val="left"/>
        </w:tabs>
        <w:numPr>
          <w:ilvl w:val="1"/>
          <w:numId w:val="92"/>
        </w:numPr>
        <w:rPr>
          <w:rFonts w:ascii="Arial" w:cs="Arial" w:eastAsia="Arial" w:hAnsi="Arial"/>
          <w:sz w:val="20"/>
          <w:szCs w:val="20"/>
          <w:color w:val="auto"/>
        </w:rPr>
      </w:pPr>
      <w:r>
        <w:rPr>
          <w:rFonts w:ascii="Arial" w:cs="Arial" w:eastAsia="Arial" w:hAnsi="Arial"/>
          <w:sz w:val="20"/>
          <w:szCs w:val="20"/>
          <w:color w:val="auto"/>
        </w:rPr>
        <w:t>Wherever the word “include,” “includes” or “including” is used in this Agreement, it shall be deemed to be followed by the words “without limitation.”</w:t>
      </w:r>
    </w:p>
    <w:p>
      <w:pPr>
        <w:spacing w:after="0" w:line="176" w:lineRule="exact"/>
        <w:rPr>
          <w:rFonts w:ascii="Arial" w:cs="Arial" w:eastAsia="Arial" w:hAnsi="Arial"/>
          <w:sz w:val="20"/>
          <w:szCs w:val="20"/>
          <w:color w:val="auto"/>
        </w:rPr>
      </w:pPr>
    </w:p>
    <w:p>
      <w:pPr>
        <w:ind w:left="2640" w:hanging="877"/>
        <w:spacing w:after="0"/>
        <w:tabs>
          <w:tab w:leader="none" w:pos="2640" w:val="left"/>
        </w:tabs>
        <w:numPr>
          <w:ilvl w:val="1"/>
          <w:numId w:val="92"/>
        </w:numPr>
        <w:rPr>
          <w:rFonts w:ascii="Arial" w:cs="Arial" w:eastAsia="Arial" w:hAnsi="Arial"/>
          <w:sz w:val="20"/>
          <w:szCs w:val="20"/>
          <w:color w:val="auto"/>
        </w:rPr>
      </w:pPr>
      <w:r>
        <w:rPr>
          <w:rFonts w:ascii="Arial" w:cs="Arial" w:eastAsia="Arial" w:hAnsi="Arial"/>
          <w:sz w:val="20"/>
          <w:szCs w:val="20"/>
          <w:color w:val="auto"/>
        </w:rPr>
        <w:t>References herein to any gender shall include each other gender.</w:t>
      </w:r>
    </w:p>
    <w:p>
      <w:pPr>
        <w:spacing w:after="0" w:line="215" w:lineRule="exact"/>
        <w:rPr>
          <w:rFonts w:ascii="Arial" w:cs="Arial" w:eastAsia="Arial" w:hAnsi="Arial"/>
          <w:sz w:val="20"/>
          <w:szCs w:val="20"/>
          <w:color w:val="auto"/>
        </w:rPr>
      </w:pPr>
    </w:p>
    <w:p>
      <w:pPr>
        <w:jc w:val="both"/>
        <w:ind w:firstLine="1763"/>
        <w:spacing w:after="0" w:line="246" w:lineRule="auto"/>
        <w:tabs>
          <w:tab w:leader="none" w:pos="2601" w:val="left"/>
        </w:tabs>
        <w:numPr>
          <w:ilvl w:val="1"/>
          <w:numId w:val="92"/>
        </w:numPr>
        <w:rPr>
          <w:rFonts w:ascii="Arial" w:cs="Arial" w:eastAsia="Arial" w:hAnsi="Arial"/>
          <w:sz w:val="20"/>
          <w:szCs w:val="20"/>
          <w:color w:val="auto"/>
        </w:rPr>
      </w:pPr>
      <w:r>
        <w:rPr>
          <w:rFonts w:ascii="Arial" w:cs="Arial" w:eastAsia="Arial" w:hAnsi="Arial"/>
          <w:sz w:val="20"/>
          <w:szCs w:val="20"/>
          <w:color w:val="auto"/>
        </w:rPr>
        <w:t>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91" w:lineRule="exact"/>
        <w:rPr>
          <w:rFonts w:ascii="Arial" w:cs="Arial" w:eastAsia="Arial" w:hAnsi="Arial"/>
          <w:sz w:val="20"/>
          <w:szCs w:val="20"/>
          <w:color w:val="auto"/>
        </w:rPr>
      </w:pPr>
    </w:p>
    <w:p>
      <w:pPr>
        <w:jc w:val="both"/>
        <w:ind w:firstLine="885"/>
        <w:spacing w:after="0" w:line="272" w:lineRule="auto"/>
        <w:tabs>
          <w:tab w:leader="none" w:pos="1773"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Permitted Free Writing Prospectuses</w:t>
      </w:r>
      <w:r>
        <w:rPr>
          <w:rFonts w:ascii="Arial" w:cs="Arial" w:eastAsia="Arial" w:hAnsi="Arial"/>
          <w:sz w:val="18"/>
          <w:szCs w:val="18"/>
          <w:color w:val="auto"/>
        </w:rPr>
        <w:t>. The Company represents, warrants and agrees that, unless it obtains the prior written consent of the Agent, which consent shall not be unreasonably withheld, conditioned or delayed, and the Agent represents, warrants and agrees that, unless it obtains the prior written consent of the Company, which consent shall not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w:t>
      </w:r>
      <w:r>
        <w:rPr>
          <w:rFonts w:ascii="Arial" w:cs="Arial" w:eastAsia="Arial" w:hAnsi="Arial"/>
          <w:sz w:val="18"/>
          <w:szCs w:val="18"/>
          <w:b w:val="1"/>
          <w:bCs w:val="1"/>
          <w:u w:val="single" w:color="auto"/>
          <w:color w:val="auto"/>
        </w:rPr>
        <w:t>Permitted Free Writing</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Prospectus</w:t>
      </w:r>
      <w:r>
        <w:rPr>
          <w:rFonts w:ascii="Arial" w:cs="Arial" w:eastAsia="Arial" w:hAnsi="Arial"/>
          <w:sz w:val="18"/>
          <w:szCs w:val="18"/>
          <w:color w:val="auto"/>
        </w:rPr>
        <w:t>.” The Company represents and warrants that it has treated and agrees that it will treat each Permitted Free Writing Prospectus as an</w:t>
      </w:r>
      <w:r>
        <w:rPr>
          <w:rFonts w:ascii="Arial" w:cs="Arial" w:eastAsia="Arial" w:hAnsi="Arial"/>
          <w:sz w:val="18"/>
          <w:szCs w:val="18"/>
          <w:b w:val="1"/>
          <w:bCs w:val="1"/>
          <w:color w:val="auto"/>
        </w:rPr>
        <w:t xml:space="preserve"> </w:t>
      </w:r>
      <w:r>
        <w:rPr>
          <w:rFonts w:ascii="Arial" w:cs="Arial" w:eastAsia="Arial" w:hAnsi="Arial"/>
          <w:sz w:val="18"/>
          <w:szCs w:val="18"/>
          <w:color w:val="auto"/>
        </w:rPr>
        <w:t>issuer free writing prospectus, and that it has complied and will comply with the requirements of Rule 433 applicable to any Permitted Free Writing Prospectus, including timely filing with the Commission where required, legending and record keeping.</w:t>
      </w:r>
    </w:p>
    <w:p>
      <w:pPr>
        <w:spacing w:after="0" w:line="171" w:lineRule="exact"/>
        <w:rPr>
          <w:rFonts w:ascii="Arial" w:cs="Arial" w:eastAsia="Arial" w:hAnsi="Arial"/>
          <w:sz w:val="18"/>
          <w:szCs w:val="18"/>
          <w:color w:val="auto"/>
        </w:rPr>
      </w:pPr>
    </w:p>
    <w:p>
      <w:pPr>
        <w:ind w:left="1780" w:hanging="895"/>
        <w:spacing w:after="0"/>
        <w:tabs>
          <w:tab w:leader="none" w:pos="1780"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Absence of Fiduciary Relationship</w:t>
      </w:r>
      <w:r>
        <w:rPr>
          <w:rFonts w:ascii="Arial" w:cs="Arial" w:eastAsia="Arial" w:hAnsi="Arial"/>
          <w:sz w:val="20"/>
          <w:szCs w:val="20"/>
          <w:color w:val="auto"/>
        </w:rPr>
        <w:t>. The Company acknowledges and agrees that:</w:t>
      </w:r>
    </w:p>
    <w:p>
      <w:pPr>
        <w:spacing w:after="0" w:line="215" w:lineRule="exact"/>
        <w:rPr>
          <w:rFonts w:ascii="Arial" w:cs="Arial" w:eastAsia="Arial" w:hAnsi="Arial"/>
          <w:sz w:val="20"/>
          <w:szCs w:val="20"/>
          <w:color w:val="auto"/>
        </w:rPr>
      </w:pPr>
    </w:p>
    <w:p>
      <w:pPr>
        <w:jc w:val="both"/>
        <w:ind w:firstLine="1763"/>
        <w:spacing w:after="0" w:line="243" w:lineRule="auto"/>
        <w:tabs>
          <w:tab w:leader="none" w:pos="2623" w:val="left"/>
        </w:tabs>
        <w:numPr>
          <w:ilvl w:val="1"/>
          <w:numId w:val="92"/>
        </w:numPr>
        <w:rPr>
          <w:rFonts w:ascii="Arial" w:cs="Arial" w:eastAsia="Arial" w:hAnsi="Arial"/>
          <w:sz w:val="20"/>
          <w:szCs w:val="20"/>
          <w:color w:val="auto"/>
        </w:rPr>
      </w:pPr>
      <w:r>
        <w:rPr>
          <w:rFonts w:ascii="Arial" w:cs="Arial" w:eastAsia="Arial" w:hAnsi="Arial"/>
          <w:sz w:val="20"/>
          <w:szCs w:val="20"/>
          <w:color w:val="auto"/>
        </w:rPr>
        <w:t>the Agent has been retained to act as sales agent in connection with the sale of the Shares, the Agent has acted at arms’ length and no fiduciary or advisory relationship between the Company or any of its respective affiliates, shareholders (or other equity holders), creditors or employees or any other party, on the one hand, and the Agent, on the other hand, has been or will be created in respect of any of the transactions contemplated by this Agreement, irrespective of whether the Agent has advised or is advising the Company on other matters and the Agent has no duties or obligations to the Company with respect to the transactions contemplated by this Agreement except the obligations expressly set forth herein;</w:t>
      </w:r>
    </w:p>
    <w:p>
      <w:pPr>
        <w:spacing w:after="0" w:line="196" w:lineRule="exact"/>
        <w:rPr>
          <w:rFonts w:ascii="Arial" w:cs="Arial" w:eastAsia="Arial" w:hAnsi="Arial"/>
          <w:sz w:val="20"/>
          <w:szCs w:val="20"/>
          <w:color w:val="auto"/>
        </w:rPr>
      </w:pPr>
    </w:p>
    <w:p>
      <w:pPr>
        <w:ind w:firstLine="1763"/>
        <w:spacing w:after="0" w:line="260" w:lineRule="auto"/>
        <w:tabs>
          <w:tab w:leader="none" w:pos="2634" w:val="left"/>
        </w:tabs>
        <w:numPr>
          <w:ilvl w:val="1"/>
          <w:numId w:val="92"/>
        </w:numPr>
        <w:rPr>
          <w:rFonts w:ascii="Arial" w:cs="Arial" w:eastAsia="Arial" w:hAnsi="Arial"/>
          <w:sz w:val="20"/>
          <w:szCs w:val="20"/>
          <w:color w:val="auto"/>
        </w:rPr>
      </w:pPr>
      <w:r>
        <w:rPr>
          <w:rFonts w:ascii="Arial" w:cs="Arial" w:eastAsia="Arial" w:hAnsi="Arial"/>
          <w:sz w:val="20"/>
          <w:szCs w:val="20"/>
          <w:color w:val="auto"/>
        </w:rPr>
        <w:t>the Company is capable of evaluating, and understanding and understands and accepts, the terms, risks and conditions of the transactions contemplated by this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81" w:name="page82"/>
    <w:bookmarkEnd w:id="81"/>
    <w:p>
      <w:pPr>
        <w:jc w:val="both"/>
        <w:ind w:firstLine="1763"/>
        <w:spacing w:after="0" w:line="250" w:lineRule="auto"/>
        <w:tabs>
          <w:tab w:leader="none" w:pos="2623" w:val="left"/>
        </w:tabs>
        <w:numPr>
          <w:ilvl w:val="1"/>
          <w:numId w:val="93"/>
        </w:numPr>
        <w:rPr>
          <w:rFonts w:ascii="Arial" w:cs="Arial" w:eastAsia="Arial" w:hAnsi="Arial"/>
          <w:sz w:val="20"/>
          <w:szCs w:val="20"/>
          <w:color w:val="auto"/>
        </w:rPr>
      </w:pPr>
      <w:r>
        <w:rPr>
          <w:rFonts w:ascii="Arial" w:cs="Arial" w:eastAsia="Arial" w:hAnsi="Arial"/>
          <w:sz w:val="20"/>
          <w:szCs w:val="20"/>
          <w:color w:val="auto"/>
        </w:rPr>
        <w:t>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86" w:lineRule="exact"/>
        <w:rPr>
          <w:rFonts w:ascii="Arial" w:cs="Arial" w:eastAsia="Arial" w:hAnsi="Arial"/>
          <w:sz w:val="20"/>
          <w:szCs w:val="20"/>
          <w:color w:val="auto"/>
        </w:rPr>
      </w:pPr>
    </w:p>
    <w:p>
      <w:pPr>
        <w:jc w:val="both"/>
        <w:ind w:firstLine="1763"/>
        <w:spacing w:after="0" w:line="291" w:lineRule="auto"/>
        <w:tabs>
          <w:tab w:leader="none" w:pos="2634"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Company has been advised and is aware that the Agent and its affiliates are engaged in a broad range of transactions which may involve interests that differ from those of the Company and that the Agent and its affiliates have no obligation to disclose such interests and transactions to the Company by virtue of any fiduciary, advisory or agency relationship or otherwise; and</w:t>
      </w:r>
    </w:p>
    <w:p>
      <w:pPr>
        <w:spacing w:after="0" w:line="151" w:lineRule="exact"/>
        <w:rPr>
          <w:rFonts w:ascii="Arial" w:cs="Arial" w:eastAsia="Arial" w:hAnsi="Arial"/>
          <w:sz w:val="18"/>
          <w:szCs w:val="18"/>
          <w:color w:val="auto"/>
        </w:rPr>
      </w:pPr>
    </w:p>
    <w:p>
      <w:pPr>
        <w:jc w:val="both"/>
        <w:ind w:firstLine="1763"/>
        <w:spacing w:after="0" w:line="244" w:lineRule="auto"/>
        <w:tabs>
          <w:tab w:leader="none" w:pos="2623" w:val="left"/>
        </w:tabs>
        <w:numPr>
          <w:ilvl w:val="1"/>
          <w:numId w:val="93"/>
        </w:numPr>
        <w:rPr>
          <w:rFonts w:ascii="Arial" w:cs="Arial" w:eastAsia="Arial" w:hAnsi="Arial"/>
          <w:sz w:val="20"/>
          <w:szCs w:val="20"/>
          <w:color w:val="auto"/>
        </w:rPr>
      </w:pPr>
      <w:r>
        <w:rPr>
          <w:rFonts w:ascii="Arial" w:cs="Arial" w:eastAsia="Arial" w:hAnsi="Arial"/>
          <w:sz w:val="20"/>
          <w:szCs w:val="20"/>
          <w:color w:val="auto"/>
        </w:rPr>
        <w:t>the Company waives, to the fullest extent permitted by law, any claims it may have against the Agent or its affiliates for breach of fiduciary duty or alleged breach of fiduciary duty in connection with the transactions contemplated by this Agreement and agrees that the Agent and its affiliates shall have no liability (whether direct or indirect) to the Company in respect of such a fiduciary claim or to any person asserting a fiduciary duty claim on behalf of or in right of the Company, including shareholders (or other equity holders), creditors or employees of the Company.</w:t>
      </w:r>
    </w:p>
    <w:p>
      <w:pPr>
        <w:spacing w:after="0" w:line="194" w:lineRule="exact"/>
        <w:rPr>
          <w:rFonts w:ascii="Arial" w:cs="Arial" w:eastAsia="Arial" w:hAnsi="Arial"/>
          <w:sz w:val="20"/>
          <w:szCs w:val="20"/>
          <w:color w:val="auto"/>
        </w:rPr>
      </w:pPr>
    </w:p>
    <w:p>
      <w:pPr>
        <w:jc w:val="both"/>
        <w:ind w:firstLine="885"/>
        <w:spacing w:after="0" w:line="250" w:lineRule="auto"/>
        <w:tabs>
          <w:tab w:leader="none" w:pos="1773"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w:t>
      </w:r>
    </w:p>
    <w:p>
      <w:pPr>
        <w:spacing w:after="0" w:line="186" w:lineRule="exact"/>
        <w:rPr>
          <w:rFonts w:ascii="Arial" w:cs="Arial" w:eastAsia="Arial" w:hAnsi="Arial"/>
          <w:sz w:val="20"/>
          <w:szCs w:val="20"/>
          <w:color w:val="auto"/>
        </w:rPr>
      </w:pPr>
    </w:p>
    <w:p>
      <w:pPr>
        <w:jc w:val="both"/>
        <w:ind w:firstLine="885"/>
        <w:spacing w:after="0" w:line="250" w:lineRule="auto"/>
        <w:tabs>
          <w:tab w:leader="none" w:pos="1773"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Use of Information</w:t>
      </w:r>
      <w:r>
        <w:rPr>
          <w:rFonts w:ascii="Arial" w:cs="Arial" w:eastAsia="Arial" w:hAnsi="Arial"/>
          <w:sz w:val="20"/>
          <w:szCs w:val="20"/>
          <w:color w:val="auto"/>
        </w:rPr>
        <w:t>. The Agent may not provide any information gained in connection with this Agreement and the transactions contemplated by this Agreement, including due diligence, to any third party other than its legal counsel advising it on this Agreement unless expressly approved by the Company in writing.</w:t>
      </w:r>
    </w:p>
    <w:p>
      <w:pPr>
        <w:spacing w:after="0" w:line="180" w:lineRule="exact"/>
        <w:rPr>
          <w:rFonts w:ascii="Arial" w:cs="Arial" w:eastAsia="Arial" w:hAnsi="Arial"/>
          <w:sz w:val="20"/>
          <w:szCs w:val="20"/>
          <w:color w:val="auto"/>
        </w:rPr>
      </w:pPr>
    </w:p>
    <w:p>
      <w:pPr>
        <w:jc w:val="both"/>
        <w:ind w:firstLine="885"/>
        <w:spacing w:after="0" w:line="253" w:lineRule="auto"/>
        <w:tabs>
          <w:tab w:leader="none" w:pos="1773"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Agent’s Information; Knowledge of the Company</w:t>
      </w:r>
      <w:r>
        <w:rPr>
          <w:rFonts w:ascii="Arial" w:cs="Arial" w:eastAsia="Arial" w:hAnsi="Arial"/>
          <w:sz w:val="20"/>
          <w:szCs w:val="20"/>
          <w:color w:val="auto"/>
        </w:rPr>
        <w:t>. As used in this Agreement, “</w:t>
      </w:r>
      <w:r>
        <w:rPr>
          <w:rFonts w:ascii="Arial" w:cs="Arial" w:eastAsia="Arial" w:hAnsi="Arial"/>
          <w:sz w:val="20"/>
          <w:szCs w:val="20"/>
          <w:b w:val="1"/>
          <w:bCs w:val="1"/>
          <w:u w:val="single" w:color="auto"/>
          <w:color w:val="auto"/>
        </w:rPr>
        <w:t>Agent’s Information</w:t>
      </w:r>
      <w:r>
        <w:rPr>
          <w:rFonts w:ascii="Arial" w:cs="Arial" w:eastAsia="Arial" w:hAnsi="Arial"/>
          <w:sz w:val="20"/>
          <w:szCs w:val="20"/>
          <w:color w:val="auto"/>
        </w:rPr>
        <w:t>” means solely the following information in the Registration Statement and the Prospectus: the ninth and tenth paragraphs under the heading “Plan of Distribution” in the Prospectus Supplement.</w:t>
      </w:r>
    </w:p>
    <w:p>
      <w:pPr>
        <w:spacing w:after="0" w:line="184"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19"/>
          <w:szCs w:val="19"/>
          <w:color w:val="auto"/>
        </w:rPr>
        <w:t>All references in this Agreement to the Registration Statement, the Prospectus or any amendment or supplement to any of the foregoing shall be deemed to include the copy filed with the Commission pursuant to EDGAR. 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81"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All references in this Agreement to “supplements” to the Prospectus shall include, without limitation, any supplements, “wrappers” or similar materials prepared in connection with any offering, sale or private placement of any Placement Shares by the Agent outside of the United States.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82" w:name="page83"/>
    <w:bookmarkEnd w:id="82"/>
    <w:p>
      <w:pPr>
        <w:ind w:right="20" w:firstLine="877"/>
        <w:spacing w:after="0" w:line="287" w:lineRule="auto"/>
        <w:rPr>
          <w:sz w:val="20"/>
          <w:szCs w:val="20"/>
          <w:color w:val="auto"/>
        </w:rPr>
      </w:pPr>
      <w:r>
        <w:rPr>
          <w:rFonts w:ascii="Arial" w:cs="Arial" w:eastAsia="Arial" w:hAnsi="Arial"/>
          <w:sz w:val="19"/>
          <w:szCs w:val="19"/>
          <w:color w:val="auto"/>
        </w:rPr>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200" w:lineRule="exact"/>
        <w:rPr>
          <w:sz w:val="20"/>
          <w:szCs w:val="20"/>
          <w:color w:val="auto"/>
        </w:rPr>
      </w:pPr>
    </w:p>
    <w:p>
      <w:pPr>
        <w:spacing w:after="0" w:line="398"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Very truly yours,</w:t>
      </w:r>
    </w:p>
    <w:p>
      <w:pPr>
        <w:spacing w:after="0" w:line="223" w:lineRule="exact"/>
        <w:rPr>
          <w:sz w:val="20"/>
          <w:szCs w:val="20"/>
          <w:color w:val="auto"/>
        </w:rPr>
      </w:pPr>
    </w:p>
    <w:p>
      <w:pPr>
        <w:ind w:left="6860"/>
        <w:spacing w:after="0"/>
        <w:rPr>
          <w:sz w:val="20"/>
          <w:szCs w:val="20"/>
          <w:color w:val="auto"/>
        </w:rPr>
      </w:pPr>
      <w:r>
        <w:rPr>
          <w:rFonts w:ascii="Arial" w:cs="Arial" w:eastAsia="Arial" w:hAnsi="Arial"/>
          <w:sz w:val="20"/>
          <w:szCs w:val="20"/>
          <w:b w:val="1"/>
          <w:bCs w:val="1"/>
          <w:color w:val="auto"/>
        </w:rPr>
        <w:t>ARCTURUS THERAPEUTICS LTD.</w:t>
      </w:r>
    </w:p>
    <w:p>
      <w:pPr>
        <w:spacing w:after="0" w:line="200" w:lineRule="exact"/>
        <w:rPr>
          <w:sz w:val="20"/>
          <w:szCs w:val="20"/>
          <w:color w:val="auto"/>
        </w:rPr>
      </w:pPr>
    </w:p>
    <w:p>
      <w:pPr>
        <w:spacing w:after="0" w:line="265" w:lineRule="exact"/>
        <w:rPr>
          <w:sz w:val="20"/>
          <w:szCs w:val="20"/>
          <w:color w:val="auto"/>
        </w:rPr>
      </w:pPr>
    </w:p>
    <w:tbl>
      <w:tblPr>
        <w:tblLayout w:type="fixed"/>
        <w:tblInd w:w="686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Joseph Payne</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3800" w:type="dxa"/>
            <w:vAlign w:val="bottom"/>
          </w:tcPr>
          <w:p>
            <w:pPr>
              <w:spacing w:after="0" w:line="207" w:lineRule="exact"/>
              <w:rPr>
                <w:sz w:val="20"/>
                <w:szCs w:val="20"/>
                <w:color w:val="auto"/>
              </w:rPr>
            </w:pPr>
            <w:r>
              <w:rPr>
                <w:rFonts w:ascii="Arial" w:cs="Arial" w:eastAsia="Arial" w:hAnsi="Arial"/>
                <w:sz w:val="20"/>
                <w:szCs w:val="20"/>
                <w:color w:val="auto"/>
              </w:rPr>
              <w:t>Joseph Payne</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3800" w:type="dxa"/>
            <w:vAlign w:val="bottom"/>
          </w:tcPr>
          <w:p>
            <w:pPr>
              <w:spacing w:after="0"/>
              <w:rPr>
                <w:sz w:val="20"/>
                <w:szCs w:val="20"/>
                <w:color w:val="auto"/>
              </w:rPr>
            </w:pPr>
            <w:r>
              <w:rPr>
                <w:rFonts w:ascii="Arial" w:cs="Arial" w:eastAsia="Arial" w:hAnsi="Arial"/>
                <w:sz w:val="20"/>
                <w:szCs w:val="20"/>
                <w:color w:val="auto"/>
              </w:rPr>
              <w:t>Chief Executive Officer</w:t>
            </w:r>
          </w:p>
        </w:tc>
      </w:tr>
    </w:tbl>
    <w:p>
      <w:pPr>
        <w:spacing w:after="0" w:line="203" w:lineRule="exact"/>
        <w:rPr>
          <w:sz w:val="20"/>
          <w:szCs w:val="20"/>
          <w:color w:val="auto"/>
        </w:rPr>
      </w:pPr>
    </w:p>
    <w:p>
      <w:pPr>
        <w:ind w:left="6860"/>
        <w:spacing w:after="0"/>
        <w:rPr>
          <w:sz w:val="20"/>
          <w:szCs w:val="20"/>
          <w:color w:val="auto"/>
        </w:rPr>
      </w:pPr>
      <w:r>
        <w:rPr>
          <w:rFonts w:ascii="Arial" w:cs="Arial" w:eastAsia="Arial" w:hAnsi="Arial"/>
          <w:sz w:val="20"/>
          <w:szCs w:val="20"/>
          <w:b w:val="1"/>
          <w:bCs w:val="1"/>
          <w:color w:val="auto"/>
        </w:rPr>
        <w:t>ACCEPTED as of the date</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20"/>
          <w:szCs w:val="20"/>
          <w:b w:val="1"/>
          <w:bCs w:val="1"/>
          <w:color w:val="auto"/>
        </w:rPr>
        <w:t>first-above written: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20"/>
          <w:szCs w:val="20"/>
          <w:b w:val="1"/>
          <w:bCs w:val="1"/>
          <w:color w:val="auto"/>
        </w:rPr>
        <w:t>LEERINK PARTNERS LLC</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620" w:type="dxa"/>
            <w:vAlign w:val="bottom"/>
          </w:tcPr>
          <w:p>
            <w:pPr>
              <w:ind w:left="6860"/>
              <w:spacing w:after="0"/>
              <w:rPr>
                <w:sz w:val="20"/>
                <w:szCs w:val="20"/>
                <w:color w:val="auto"/>
              </w:rPr>
            </w:pPr>
            <w:r>
              <w:rPr>
                <w:rFonts w:ascii="Arial" w:cs="Arial" w:eastAsia="Arial" w:hAnsi="Arial"/>
                <w:sz w:val="20"/>
                <w:szCs w:val="20"/>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Daniel Dubin</w:t>
            </w:r>
          </w:p>
        </w:tc>
        <w:tc>
          <w:tcPr>
            <w:tcW w:w="20" w:type="dxa"/>
            <w:vAlign w:val="bottom"/>
          </w:tcPr>
          <w:p>
            <w:pPr>
              <w:spacing w:after="0"/>
              <w:rPr>
                <w:sz w:val="21"/>
                <w:szCs w:val="21"/>
                <w:color w:val="auto"/>
              </w:rPr>
            </w:pPr>
          </w:p>
        </w:tc>
      </w:tr>
      <w:tr>
        <w:trPr>
          <w:trHeight w:val="206"/>
        </w:trPr>
        <w:tc>
          <w:tcPr>
            <w:tcW w:w="7620" w:type="dxa"/>
            <w:vAlign w:val="bottom"/>
          </w:tcPr>
          <w:p>
            <w:pPr>
              <w:ind w:left="6860"/>
              <w:spacing w:after="0" w:line="207" w:lineRule="exact"/>
              <w:rPr>
                <w:sz w:val="20"/>
                <w:szCs w:val="20"/>
                <w:color w:val="auto"/>
              </w:rPr>
            </w:pPr>
            <w:r>
              <w:rPr>
                <w:rFonts w:ascii="Arial" w:cs="Arial" w:eastAsia="Arial" w:hAnsi="Arial"/>
                <w:sz w:val="20"/>
                <w:szCs w:val="20"/>
                <w:color w:val="auto"/>
              </w:rPr>
              <w:t>Name:</w:t>
            </w:r>
          </w:p>
        </w:tc>
        <w:tc>
          <w:tcPr>
            <w:tcW w:w="3800" w:type="dxa"/>
            <w:vAlign w:val="bottom"/>
          </w:tcPr>
          <w:p>
            <w:pPr>
              <w:spacing w:after="0" w:line="207" w:lineRule="exact"/>
              <w:rPr>
                <w:sz w:val="20"/>
                <w:szCs w:val="20"/>
                <w:color w:val="auto"/>
              </w:rPr>
            </w:pPr>
            <w:r>
              <w:rPr>
                <w:rFonts w:ascii="Arial" w:cs="Arial" w:eastAsia="Arial" w:hAnsi="Arial"/>
                <w:sz w:val="20"/>
                <w:szCs w:val="20"/>
                <w:color w:val="auto"/>
              </w:rPr>
              <w:t>Daniel Dubin</w:t>
            </w:r>
          </w:p>
        </w:tc>
        <w:tc>
          <w:tcPr>
            <w:tcW w:w="20" w:type="dxa"/>
            <w:vAlign w:val="bottom"/>
          </w:tcPr>
          <w:p>
            <w:pPr>
              <w:spacing w:after="0"/>
              <w:rPr>
                <w:sz w:val="17"/>
                <w:szCs w:val="17"/>
                <w:color w:val="auto"/>
              </w:rPr>
            </w:pPr>
          </w:p>
        </w:tc>
      </w:tr>
      <w:tr>
        <w:trPr>
          <w:trHeight w:val="250"/>
        </w:trPr>
        <w:tc>
          <w:tcPr>
            <w:tcW w:w="7620" w:type="dxa"/>
            <w:vAlign w:val="bottom"/>
          </w:tcPr>
          <w:p>
            <w:pPr>
              <w:ind w:left="6860"/>
              <w:spacing w:after="0"/>
              <w:rPr>
                <w:sz w:val="20"/>
                <w:szCs w:val="20"/>
                <w:color w:val="auto"/>
              </w:rPr>
            </w:pPr>
            <w:r>
              <w:rPr>
                <w:rFonts w:ascii="Arial" w:cs="Arial" w:eastAsia="Arial" w:hAnsi="Arial"/>
                <w:sz w:val="20"/>
                <w:szCs w:val="20"/>
                <w:color w:val="auto"/>
              </w:rPr>
              <w:t>Title:</w:t>
            </w:r>
          </w:p>
        </w:tc>
        <w:tc>
          <w:tcPr>
            <w:tcW w:w="3800" w:type="dxa"/>
            <w:vAlign w:val="bottom"/>
          </w:tcPr>
          <w:p>
            <w:pPr>
              <w:spacing w:after="0"/>
              <w:rPr>
                <w:sz w:val="20"/>
                <w:szCs w:val="20"/>
                <w:color w:val="auto"/>
              </w:rPr>
            </w:pPr>
            <w:r>
              <w:rPr>
                <w:rFonts w:ascii="Arial" w:cs="Arial" w:eastAsia="Arial" w:hAnsi="Arial"/>
                <w:sz w:val="20"/>
                <w:szCs w:val="20"/>
                <w:color w:val="auto"/>
              </w:rPr>
              <w:t>Vice Chairman</w:t>
            </w:r>
          </w:p>
        </w:tc>
        <w:tc>
          <w:tcPr>
            <w:tcW w:w="20" w:type="dxa"/>
            <w:vAlign w:val="bottom"/>
          </w:tcPr>
          <w:p>
            <w:pPr>
              <w:spacing w:after="0"/>
              <w:rPr>
                <w:sz w:val="21"/>
                <w:szCs w:val="21"/>
                <w:color w:val="auto"/>
              </w:rPr>
            </w:pPr>
          </w:p>
        </w:tc>
      </w:tr>
      <w:tr>
        <w:trPr>
          <w:trHeight w:val="1475"/>
        </w:trPr>
        <w:tc>
          <w:tcPr>
            <w:tcW w:w="762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6" w:right="2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SCHEDULE 1</w:t>
            </w:r>
          </w:p>
        </w:tc>
        <w:tc>
          <w:tcPr>
            <w:tcW w:w="920" w:type="dxa"/>
            <w:vAlign w:val="bottom"/>
          </w:tcPr>
          <w:p>
            <w:pPr>
              <w:spacing w:after="0"/>
              <w:rPr>
                <w:sz w:val="19"/>
                <w:szCs w:val="19"/>
                <w:color w:val="auto"/>
              </w:rPr>
            </w:pPr>
          </w:p>
        </w:tc>
      </w:tr>
      <w:tr>
        <w:trPr>
          <w:trHeight w:val="426"/>
        </w:trPr>
        <w:tc>
          <w:tcPr>
            <w:tcW w:w="10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8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rPr>
              <w:t>FORM OF PLACEMENT NOTICE</w:t>
            </w:r>
          </w:p>
        </w:tc>
      </w:tr>
      <w:tr>
        <w:trPr>
          <w:trHeight w:val="470"/>
        </w:trPr>
        <w:tc>
          <w:tcPr>
            <w:tcW w:w="1000" w:type="dxa"/>
            <w:vAlign w:val="bottom"/>
          </w:tcPr>
          <w:p>
            <w:pPr>
              <w:spacing w:after="0"/>
              <w:rPr>
                <w:sz w:val="20"/>
                <w:szCs w:val="20"/>
                <w:color w:val="auto"/>
              </w:rPr>
            </w:pPr>
            <w:r>
              <w:rPr>
                <w:rFonts w:ascii="Arial" w:cs="Arial" w:eastAsia="Arial" w:hAnsi="Arial"/>
                <w:sz w:val="20"/>
                <w:szCs w:val="20"/>
                <w:color w:val="auto"/>
              </w:rPr>
              <w:t>From:</w:t>
            </w:r>
          </w:p>
        </w:tc>
        <w:tc>
          <w:tcPr>
            <w:tcW w:w="2180" w:type="dxa"/>
            <w:vAlign w:val="bottom"/>
          </w:tcPr>
          <w:p>
            <w:pPr>
              <w:ind w:left="36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761"/>
              <w:spacing w:after="0"/>
              <w:rPr>
                <w:sz w:val="20"/>
                <w:szCs w:val="20"/>
                <w:color w:val="auto"/>
              </w:rPr>
            </w:pPr>
            <w:r>
              <w:rPr>
                <w:rFonts w:ascii="Arial" w:cs="Arial" w:eastAsia="Arial" w:hAnsi="Arial"/>
                <w:sz w:val="20"/>
                <w:szCs w:val="20"/>
                <w:color w:val="auto"/>
              </w:rPr>
              <w: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46"/>
        </w:trPr>
        <w:tc>
          <w:tcPr>
            <w:tcW w:w="1000" w:type="dxa"/>
            <w:vAlign w:val="bottom"/>
          </w:tcPr>
          <w:p>
            <w:pPr>
              <w:spacing w:after="0"/>
              <w:rPr>
                <w:sz w:val="24"/>
                <w:szCs w:val="24"/>
                <w:color w:val="auto"/>
              </w:rPr>
            </w:pPr>
          </w:p>
        </w:tc>
        <w:tc>
          <w:tcPr>
            <w:tcW w:w="2180" w:type="dxa"/>
            <w:vAlign w:val="bottom"/>
          </w:tcPr>
          <w:p>
            <w:pPr>
              <w:ind w:left="360"/>
              <w:spacing w:after="0"/>
              <w:rPr>
                <w:sz w:val="20"/>
                <w:szCs w:val="20"/>
                <w:color w:val="auto"/>
              </w:rPr>
            </w:pPr>
            <w:r>
              <w:rPr>
                <w:rFonts w:ascii="Arial" w:cs="Arial" w:eastAsia="Arial" w:hAnsi="Arial"/>
                <w:sz w:val="20"/>
                <w:szCs w:val="20"/>
                <w:color w:val="auto"/>
              </w:rPr>
              <w:t>[TITLE]</w:t>
            </w: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46"/>
        </w:trPr>
        <w:tc>
          <w:tcPr>
            <w:tcW w:w="1000" w:type="dxa"/>
            <w:vAlign w:val="bottom"/>
          </w:tcPr>
          <w:p>
            <w:pPr>
              <w:spacing w:after="0"/>
              <w:rPr>
                <w:sz w:val="24"/>
                <w:szCs w:val="24"/>
                <w:color w:val="auto"/>
              </w:rPr>
            </w:pPr>
          </w:p>
        </w:tc>
        <w:tc>
          <w:tcPr>
            <w:tcW w:w="6260" w:type="dxa"/>
            <w:vAlign w:val="bottom"/>
            <w:gridSpan w:val="5"/>
          </w:tcPr>
          <w:p>
            <w:pPr>
              <w:ind w:left="360"/>
              <w:spacing w:after="0"/>
              <w:rPr>
                <w:sz w:val="20"/>
                <w:szCs w:val="20"/>
                <w:color w:val="auto"/>
              </w:rPr>
            </w:pPr>
            <w:r>
              <w:rPr>
                <w:rFonts w:ascii="Arial" w:cs="Arial" w:eastAsia="Arial" w:hAnsi="Arial"/>
                <w:sz w:val="20"/>
                <w:szCs w:val="20"/>
                <w:color w:val="auto"/>
              </w:rPr>
              <w:t>ARCTURUS THERAPEUTICS LTD.</w:t>
            </w:r>
          </w:p>
        </w:tc>
      </w:tr>
      <w:tr>
        <w:trPr>
          <w:trHeight w:val="446"/>
        </w:trPr>
        <w:tc>
          <w:tcPr>
            <w:tcW w:w="1000" w:type="dxa"/>
            <w:vAlign w:val="bottom"/>
          </w:tcPr>
          <w:p>
            <w:pPr>
              <w:spacing w:after="0"/>
              <w:rPr>
                <w:sz w:val="20"/>
                <w:szCs w:val="20"/>
                <w:color w:val="auto"/>
              </w:rPr>
            </w:pPr>
            <w:r>
              <w:rPr>
                <w:rFonts w:ascii="Arial" w:cs="Arial" w:eastAsia="Arial" w:hAnsi="Arial"/>
                <w:sz w:val="20"/>
                <w:szCs w:val="20"/>
                <w:color w:val="auto"/>
              </w:rPr>
              <w:t>Cc:</w:t>
            </w:r>
          </w:p>
        </w:tc>
        <w:tc>
          <w:tcPr>
            <w:tcW w:w="2180" w:type="dxa"/>
            <w:vAlign w:val="bottom"/>
          </w:tcPr>
          <w:p>
            <w:pPr>
              <w:ind w:left="36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761"/>
              <w:spacing w:after="0"/>
              <w:rPr>
                <w:sz w:val="20"/>
                <w:szCs w:val="20"/>
                <w:color w:val="auto"/>
              </w:rPr>
            </w:pPr>
            <w:r>
              <w:rPr>
                <w:rFonts w:ascii="Arial" w:cs="Arial" w:eastAsia="Arial" w:hAnsi="Arial"/>
                <w:sz w:val="20"/>
                <w:szCs w:val="20"/>
                <w:color w:val="auto"/>
              </w:rPr>
              <w: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46"/>
        </w:trPr>
        <w:tc>
          <w:tcPr>
            <w:tcW w:w="1000" w:type="dxa"/>
            <w:vAlign w:val="bottom"/>
          </w:tcPr>
          <w:p>
            <w:pPr>
              <w:spacing w:after="0"/>
              <w:rPr>
                <w:sz w:val="20"/>
                <w:szCs w:val="20"/>
                <w:color w:val="auto"/>
              </w:rPr>
            </w:pPr>
            <w:r>
              <w:rPr>
                <w:rFonts w:ascii="Arial" w:cs="Arial" w:eastAsia="Arial" w:hAnsi="Arial"/>
                <w:sz w:val="20"/>
                <w:szCs w:val="20"/>
                <w:color w:val="auto"/>
              </w:rPr>
              <w:t>To:</w:t>
            </w:r>
          </w:p>
        </w:tc>
        <w:tc>
          <w:tcPr>
            <w:tcW w:w="2180" w:type="dxa"/>
            <w:vAlign w:val="bottom"/>
          </w:tcPr>
          <w:p>
            <w:pPr>
              <w:ind w:left="360"/>
              <w:spacing w:after="0"/>
              <w:rPr>
                <w:sz w:val="20"/>
                <w:szCs w:val="20"/>
                <w:color w:val="auto"/>
              </w:rPr>
            </w:pPr>
            <w:r>
              <w:rPr>
                <w:rFonts w:ascii="Arial" w:cs="Arial" w:eastAsia="Arial" w:hAnsi="Arial"/>
                <w:sz w:val="20"/>
                <w:szCs w:val="20"/>
                <w:color w:val="auto"/>
                <w:w w:val="95"/>
              </w:rPr>
              <w:t>Leerink Partners LLC</w:t>
            </w: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46"/>
        </w:trPr>
        <w:tc>
          <w:tcPr>
            <w:tcW w:w="1000" w:type="dxa"/>
            <w:vAlign w:val="bottom"/>
          </w:tcPr>
          <w:p>
            <w:pPr>
              <w:spacing w:after="0"/>
              <w:rPr>
                <w:sz w:val="20"/>
                <w:szCs w:val="20"/>
                <w:color w:val="auto"/>
              </w:rPr>
            </w:pPr>
            <w:r>
              <w:rPr>
                <w:rFonts w:ascii="Arial" w:cs="Arial" w:eastAsia="Arial" w:hAnsi="Arial"/>
                <w:sz w:val="20"/>
                <w:szCs w:val="20"/>
                <w:color w:val="auto"/>
              </w:rPr>
              <w:t>Subject:</w:t>
            </w:r>
          </w:p>
        </w:tc>
        <w:tc>
          <w:tcPr>
            <w:tcW w:w="6260" w:type="dxa"/>
            <w:vAlign w:val="bottom"/>
            <w:gridSpan w:val="5"/>
          </w:tcPr>
          <w:p>
            <w:pPr>
              <w:ind w:left="360"/>
              <w:spacing w:after="0"/>
              <w:rPr>
                <w:sz w:val="20"/>
                <w:szCs w:val="20"/>
                <w:color w:val="auto"/>
              </w:rPr>
            </w:pPr>
            <w:r>
              <w:rPr>
                <w:rFonts w:ascii="Arial" w:cs="Arial" w:eastAsia="Arial" w:hAnsi="Arial"/>
                <w:sz w:val="20"/>
                <w:szCs w:val="20"/>
                <w:color w:val="auto"/>
              </w:rPr>
              <w:t>Leerink—At the Market Offering—Placement Notice</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Pursuant to the terms and subject to the conditions contained in the Sales Agreement, dated October 15, 2018 (the “</w:t>
      </w:r>
      <w:r>
        <w:rPr>
          <w:rFonts w:ascii="Arial" w:cs="Arial" w:eastAsia="Arial" w:hAnsi="Arial"/>
          <w:sz w:val="19"/>
          <w:szCs w:val="19"/>
          <w:b w:val="1"/>
          <w:bCs w:val="1"/>
          <w:u w:val="single" w:color="auto"/>
          <w:color w:val="auto"/>
        </w:rPr>
        <w:t>Agreement</w:t>
      </w:r>
      <w:r>
        <w:rPr>
          <w:rFonts w:ascii="Arial" w:cs="Arial" w:eastAsia="Arial" w:hAnsi="Arial"/>
          <w:sz w:val="19"/>
          <w:szCs w:val="19"/>
          <w:color w:val="auto"/>
        </w:rPr>
        <w:t>”), by and between Arcturus Therapeutics Ltd., a corporation organized under the laws of the State of Israel (the “</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and Leerink Partners LLC (“</w:t>
      </w:r>
      <w:r>
        <w:rPr>
          <w:rFonts w:ascii="Arial" w:cs="Arial" w:eastAsia="Arial" w:hAnsi="Arial"/>
          <w:sz w:val="19"/>
          <w:szCs w:val="19"/>
          <w:b w:val="1"/>
          <w:bCs w:val="1"/>
          <w:u w:val="single" w:color="auto"/>
          <w:color w:val="auto"/>
        </w:rPr>
        <w:t>Leerink</w:t>
      </w:r>
      <w:r>
        <w:rPr>
          <w:rFonts w:ascii="Arial" w:cs="Arial" w:eastAsia="Arial" w:hAnsi="Arial"/>
          <w:sz w:val="19"/>
          <w:szCs w:val="19"/>
          <w:color w:val="auto"/>
        </w:rPr>
        <w:t>”), I hereby request on behalf of the Company that Leerink sell up to [ ] ordinary shares, NIS 0.07 par value per share, of the Company (the “</w:t>
      </w:r>
      <w:r>
        <w:rPr>
          <w:rFonts w:ascii="Arial" w:cs="Arial" w:eastAsia="Arial" w:hAnsi="Arial"/>
          <w:sz w:val="19"/>
          <w:szCs w:val="19"/>
          <w:b w:val="1"/>
          <w:bCs w:val="1"/>
          <w:u w:val="single" w:color="auto"/>
          <w:color w:val="auto"/>
        </w:rPr>
        <w:t>Shares</w:t>
      </w:r>
      <w:r>
        <w:rPr>
          <w:rFonts w:ascii="Arial" w:cs="Arial" w:eastAsia="Arial" w:hAnsi="Arial"/>
          <w:sz w:val="19"/>
          <w:szCs w:val="19"/>
          <w:color w:val="auto"/>
        </w:rPr>
        <w:t xml:space="preserve">”), at a minimum market price of $ per share[;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more than [ ] Shares shall be sold in any one Trading Day (as such term is defined in Section 3 of the Agreement)]. Sales should begin [on the date of this Placement Notice] and end on [DATE] [until all Shares that are the subject of this Placement Notice are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901065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84" w:name="page85"/>
    <w:bookmarkEnd w:id="84"/>
    <w:p>
      <w:pPr>
        <w:jc w:val="right"/>
        <w:ind w:right="3879"/>
        <w:spacing w:after="0"/>
        <w:rPr>
          <w:sz w:val="20"/>
          <w:szCs w:val="20"/>
          <w:color w:val="auto"/>
        </w:rPr>
      </w:pPr>
      <w:r>
        <w:rPr>
          <w:rFonts w:ascii="Arial" w:cs="Arial" w:eastAsia="Arial" w:hAnsi="Arial"/>
          <w:sz w:val="20"/>
          <w:szCs w:val="20"/>
          <w:b w:val="1"/>
          <w:bCs w:val="1"/>
          <w:u w:val="single" w:color="auto"/>
          <w:color w:val="auto"/>
        </w:rPr>
        <w:t>SCHEDULE 2</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The Company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Joseph Payne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Andy Sassine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Padmanabh Chivukula</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Leerink</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Rahul Chaudhary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Patrick Morley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Sam Spector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Eric Olson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Stuart Nayman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Murphy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640715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60" w:right="1440"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20"/>
          <w:szCs w:val="20"/>
          <w:b w:val="1"/>
          <w:bCs w:val="1"/>
          <w:u w:val="single" w:color="auto"/>
          <w:color w:val="auto"/>
        </w:rPr>
        <w:t>SCHEDULE 3</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Compensation</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The Company shall pay Leerink compensation in cash equal to 3.0% of the gross proceeds from the sales of Shares pursuant to the terms of the Sales Agreement of which this </w:t>
      </w:r>
      <w:r>
        <w:rPr>
          <w:rFonts w:ascii="Arial" w:cs="Arial" w:eastAsia="Arial" w:hAnsi="Arial"/>
          <w:sz w:val="20"/>
          <w:szCs w:val="20"/>
          <w:b w:val="1"/>
          <w:bCs w:val="1"/>
          <w:u w:val="single" w:color="auto"/>
          <w:color w:val="auto"/>
        </w:rPr>
        <w:t>Schedule 3</w:t>
      </w:r>
      <w:r>
        <w:rPr>
          <w:rFonts w:ascii="Arial" w:cs="Arial" w:eastAsia="Arial" w:hAnsi="Arial"/>
          <w:sz w:val="20"/>
          <w:szCs w:val="20"/>
          <w:color w:val="auto"/>
        </w:rPr>
        <w:t xml:space="preserve"> forms a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0" w:right="259" w:bottom="1440" w:gutter="0" w:footer="0" w:header="0"/>
        </w:sectPr>
      </w:pPr>
    </w:p>
    <w:bookmarkStart w:id="86" w:name="page87"/>
    <w:bookmarkEnd w:id="86"/>
    <w:p>
      <w:pPr>
        <w:jc w:val="center"/>
        <w:spacing w:after="0"/>
        <w:rPr>
          <w:sz w:val="20"/>
          <w:szCs w:val="20"/>
          <w:color w:val="auto"/>
        </w:rPr>
      </w:pPr>
      <w:r>
        <w:rPr>
          <w:rFonts w:ascii="Arial" w:cs="Arial" w:eastAsia="Arial" w:hAnsi="Arial"/>
          <w:sz w:val="20"/>
          <w:szCs w:val="20"/>
          <w:b w:val="1"/>
          <w:bCs w:val="1"/>
          <w:u w:val="single" w:color="auto"/>
          <w:color w:val="auto"/>
        </w:rPr>
        <w:t>Exhibit 7(m)</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OFFICERS’ CERTIFICATE</w:t>
      </w:r>
    </w:p>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Each of Joseph Payne, the duly qualified and elected Chief Executive Officer of Arcturus Therapeutics, Ltd. (the “</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and Andy Sassine, the duly qualified and elected Chief Financial Officer of the Company, does hereby certify in his respective capacity and on behalf of the Company, pursuant to Section 7(m) of the Sales Agreement, dated October 15, 2018 (the “</w:t>
      </w:r>
      <w:r>
        <w:rPr>
          <w:rFonts w:ascii="Arial" w:cs="Arial" w:eastAsia="Arial" w:hAnsi="Arial"/>
          <w:sz w:val="19"/>
          <w:szCs w:val="19"/>
          <w:b w:val="1"/>
          <w:bCs w:val="1"/>
          <w:u w:val="single" w:color="auto"/>
          <w:color w:val="auto"/>
        </w:rPr>
        <w:t>Sales Agreement</w:t>
      </w:r>
      <w:r>
        <w:rPr>
          <w:rFonts w:ascii="Arial" w:cs="Arial" w:eastAsia="Arial" w:hAnsi="Arial"/>
          <w:sz w:val="19"/>
          <w:szCs w:val="19"/>
          <w:color w:val="auto"/>
        </w:rPr>
        <w:t>”), by and between the Company and Leerink Partners LLC, that, after due inquiry, to the best of the knowledge of the undersigned:</w:t>
      </w:r>
    </w:p>
    <w:p>
      <w:pPr>
        <w:spacing w:after="0" w:line="172" w:lineRule="exact"/>
        <w:rPr>
          <w:sz w:val="20"/>
          <w:szCs w:val="20"/>
          <w:color w:val="auto"/>
        </w:rPr>
      </w:pPr>
    </w:p>
    <w:p>
      <w:pPr>
        <w:jc w:val="both"/>
        <w:ind w:firstLine="885"/>
        <w:spacing w:after="0" w:line="243" w:lineRule="auto"/>
        <w:tabs>
          <w:tab w:leader="none" w:pos="1712"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representations and warranties of the Company in Section 6 of the Sales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and (B) to the extent such representations and warranties are not subject to any qualifications or exceptions relating to materiality or Material Adverse Effect, are true and correct in all material respects as of the date hereof as if made on and as of the date hereof with the same force and effect as if expressly made on and as of the date hereof.</w:t>
      </w:r>
    </w:p>
    <w:p>
      <w:pPr>
        <w:spacing w:after="0" w:line="196" w:lineRule="exact"/>
        <w:rPr>
          <w:rFonts w:ascii="Arial" w:cs="Arial" w:eastAsia="Arial" w:hAnsi="Arial"/>
          <w:sz w:val="20"/>
          <w:szCs w:val="20"/>
          <w:color w:val="auto"/>
        </w:rPr>
      </w:pPr>
    </w:p>
    <w:p>
      <w:pPr>
        <w:ind w:firstLine="885"/>
        <w:spacing w:after="0" w:line="260" w:lineRule="auto"/>
        <w:tabs>
          <w:tab w:leader="none" w:pos="1767"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Company has complied with all agreements and satisfied all conditions on its part to be performed or satisfied pursuant to the Sales Agreement at or prior to the date hereof.</w:t>
      </w:r>
    </w:p>
    <w:p>
      <w:pPr>
        <w:spacing w:after="0" w:line="176" w:lineRule="exact"/>
        <w:rPr>
          <w:rFonts w:ascii="Arial" w:cs="Arial" w:eastAsia="Arial" w:hAnsi="Arial"/>
          <w:sz w:val="20"/>
          <w:szCs w:val="20"/>
          <w:color w:val="auto"/>
        </w:rPr>
      </w:pPr>
    </w:p>
    <w:p>
      <w:pPr>
        <w:jc w:val="both"/>
        <w:ind w:firstLine="885"/>
        <w:spacing w:after="0" w:line="258" w:lineRule="auto"/>
        <w:tabs>
          <w:tab w:leader="none" w:pos="1822" w:val="left"/>
        </w:tabs>
        <w:numPr>
          <w:ilvl w:val="0"/>
          <w:numId w:val="95"/>
        </w:numPr>
        <w:rPr>
          <w:rFonts w:ascii="Arial" w:cs="Arial" w:eastAsia="Arial" w:hAnsi="Arial"/>
          <w:sz w:val="19"/>
          <w:szCs w:val="19"/>
          <w:color w:val="auto"/>
        </w:rPr>
      </w:pPr>
      <w:r>
        <w:rPr>
          <w:rFonts w:ascii="Arial" w:cs="Arial" w:eastAsia="Arial" w:hAnsi="Arial"/>
          <w:sz w:val="19"/>
          <w:szCs w:val="19"/>
          <w:color w:val="auto"/>
        </w:rPr>
        <w:t>As of the date hereof, (A) the Registration Statement complies in all material respects with the requirements of the Securities Act and does not contain any untrue statement of a material fact or omit to state a material fact required to be stated therein or necessary in order to make the statements therein not misleading, (B) the Prospectus complies in all material respects with the requirements of the Securities Act does not contain any untrue statement of a material fact or omit to state a material fact required to be stated therein or necessary in order to make the statements therein, in light of the circumstances under which they were made, not misleading and (C) no event has occurred as a result of which it is necessary to amend or supplement the Registration Statement or the Prospectus in order to make the statements therein not untrue or misleading or for clauses (A) and (B) above, to be true and correct.</w:t>
      </w:r>
    </w:p>
    <w:p>
      <w:pPr>
        <w:spacing w:after="0" w:line="179" w:lineRule="exact"/>
        <w:rPr>
          <w:rFonts w:ascii="Arial" w:cs="Arial" w:eastAsia="Arial" w:hAnsi="Arial"/>
          <w:sz w:val="19"/>
          <w:szCs w:val="19"/>
          <w:color w:val="auto"/>
        </w:rPr>
      </w:pPr>
    </w:p>
    <w:p>
      <w:pPr>
        <w:jc w:val="both"/>
        <w:ind w:firstLine="885"/>
        <w:spacing w:after="0" w:line="282" w:lineRule="auto"/>
        <w:tabs>
          <w:tab w:leader="none" w:pos="1811"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There has been no material adverse change, or any development that could reasonably be expected to result in a material adverse change, in the condition (financial or otherwise), earnings, results of operations, business, properties, operations, assets, liabilities or prospects of the Company and its Subsidiaries, taken as a whole, whether or not arising from transactions in the ordinary course of business, since the date as of which information is given in the Prospectus, as amended or supplemented to the date hereof.</w:t>
      </w:r>
    </w:p>
    <w:p>
      <w:pPr>
        <w:spacing w:after="0" w:line="161" w:lineRule="exact"/>
        <w:rPr>
          <w:rFonts w:ascii="Arial" w:cs="Arial" w:eastAsia="Arial" w:hAnsi="Arial"/>
          <w:sz w:val="18"/>
          <w:szCs w:val="18"/>
          <w:color w:val="auto"/>
        </w:rPr>
      </w:pPr>
    </w:p>
    <w:p>
      <w:pPr>
        <w:ind w:left="1760" w:hanging="875"/>
        <w:spacing w:after="0"/>
        <w:tabs>
          <w:tab w:leader="none" w:pos="1760"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Company does not possess any material non-public information.</w:t>
      </w:r>
    </w:p>
    <w:p>
      <w:pPr>
        <w:spacing w:after="0" w:line="215" w:lineRule="exact"/>
        <w:rPr>
          <w:rFonts w:ascii="Arial" w:cs="Arial" w:eastAsia="Arial" w:hAnsi="Arial"/>
          <w:sz w:val="20"/>
          <w:szCs w:val="20"/>
          <w:color w:val="auto"/>
        </w:rPr>
      </w:pPr>
    </w:p>
    <w:p>
      <w:pPr>
        <w:jc w:val="both"/>
        <w:ind w:firstLine="885"/>
        <w:spacing w:after="0" w:line="250" w:lineRule="auto"/>
        <w:tabs>
          <w:tab w:leader="none" w:pos="1811"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maximum amount of Placement Shares that may be sold pursuant to the Sales Agreement has been duly authorized by the Company’s board of directors or a duly authorized committee thereof pursuant to a resolution or unanimous written consent in accordance with the Company’s amended and restated articles of incorporation and applicable law.</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Capitalized terms used but not defined herein shall have the meanings ascribed to them in the Sales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7" w:name="page88"/>
    <w:bookmarkEnd w:id="87"/>
    <w:p>
      <w:pPr>
        <w:ind w:right="20" w:firstLine="877"/>
        <w:spacing w:after="0" w:line="260" w:lineRule="auto"/>
        <w:rPr>
          <w:sz w:val="20"/>
          <w:szCs w:val="20"/>
          <w:color w:val="auto"/>
        </w:rPr>
      </w:pPr>
      <w:r>
        <w:rPr>
          <w:rFonts w:ascii="Arial" w:cs="Arial" w:eastAsia="Arial" w:hAnsi="Arial"/>
          <w:sz w:val="20"/>
          <w:szCs w:val="20"/>
          <w:color w:val="auto"/>
        </w:rPr>
        <w:t>IN WITNESS WHEREOF, each of the undersigned, in his respective capacity as Chief Executive Officer and Chief Financial Officer of the Company, has executed this Officers’ Certificate on behalf of the Company.</w:t>
      </w:r>
    </w:p>
    <w:p>
      <w:pPr>
        <w:spacing w:after="0" w:line="177" w:lineRule="exact"/>
        <w:rPr>
          <w:sz w:val="20"/>
          <w:szCs w:val="20"/>
          <w:color w:val="auto"/>
        </w:rPr>
      </w:pPr>
    </w:p>
    <w:tbl>
      <w:tblPr>
        <w:tblLayout w:type="fixed"/>
        <w:tblInd w:w="686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3800" w:type="dxa"/>
            <w:vAlign w:val="bottom"/>
            <w:tcBorders>
              <w:bottom w:val="single" w:sz="8" w:color="auto"/>
            </w:tcBorders>
          </w:tcPr>
          <w:p>
            <w:pPr>
              <w:spacing w:after="0"/>
              <w:rPr>
                <w:sz w:val="21"/>
                <w:szCs w:val="21"/>
                <w:color w:val="auto"/>
              </w:rPr>
            </w:pP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3800" w:type="dxa"/>
            <w:vAlign w:val="bottom"/>
          </w:tcPr>
          <w:p>
            <w:pPr>
              <w:spacing w:after="0" w:line="207" w:lineRule="exact"/>
              <w:rPr>
                <w:sz w:val="20"/>
                <w:szCs w:val="20"/>
                <w:color w:val="auto"/>
              </w:rPr>
            </w:pPr>
            <w:r>
              <w:rPr>
                <w:rFonts w:ascii="Arial" w:cs="Arial" w:eastAsia="Arial" w:hAnsi="Arial"/>
                <w:sz w:val="20"/>
                <w:szCs w:val="20"/>
                <w:color w:val="auto"/>
              </w:rPr>
              <w:t>Joseph Payne</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3800" w:type="dxa"/>
            <w:vAlign w:val="bottom"/>
          </w:tcPr>
          <w:p>
            <w:pPr>
              <w:spacing w:after="0"/>
              <w:rPr>
                <w:sz w:val="20"/>
                <w:szCs w:val="20"/>
                <w:color w:val="auto"/>
              </w:rPr>
            </w:pPr>
            <w:r>
              <w:rPr>
                <w:rFonts w:ascii="Arial" w:cs="Arial" w:eastAsia="Arial" w:hAnsi="Arial"/>
                <w:sz w:val="20"/>
                <w:szCs w:val="20"/>
                <w:color w:val="auto"/>
              </w:rPr>
              <w:t>Chief Executive Officer</w:t>
            </w:r>
          </w:p>
        </w:tc>
      </w:tr>
      <w:tr>
        <w:trPr>
          <w:trHeight w:val="455"/>
        </w:trPr>
        <w:tc>
          <w:tcPr>
            <w:tcW w:w="760" w:type="dxa"/>
            <w:vAlign w:val="bottom"/>
          </w:tcPr>
          <w:p>
            <w:pPr>
              <w:spacing w:after="0"/>
              <w:rPr>
                <w:sz w:val="20"/>
                <w:szCs w:val="20"/>
                <w:color w:val="auto"/>
              </w:rPr>
            </w:pPr>
            <w:r>
              <w:rPr>
                <w:rFonts w:ascii="Arial" w:cs="Arial" w:eastAsia="Arial" w:hAnsi="Arial"/>
                <w:sz w:val="20"/>
                <w:szCs w:val="20"/>
                <w:color w:val="auto"/>
              </w:rPr>
              <w:t>Date:</w:t>
            </w:r>
          </w:p>
        </w:tc>
        <w:tc>
          <w:tcPr>
            <w:tcW w:w="3800" w:type="dxa"/>
            <w:vAlign w:val="bottom"/>
            <w:tcBorders>
              <w:bottom w:val="single" w:sz="8" w:color="auto"/>
            </w:tcBorders>
          </w:tcPr>
          <w:p>
            <w:pPr>
              <w:spacing w:after="0"/>
              <w:rPr>
                <w:sz w:val="24"/>
                <w:szCs w:val="24"/>
                <w:color w:val="auto"/>
              </w:rPr>
            </w:pPr>
          </w:p>
        </w:tc>
      </w:tr>
      <w:tr>
        <w:trPr>
          <w:trHeight w:val="682"/>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3800" w:type="dxa"/>
            <w:vAlign w:val="bottom"/>
            <w:tcBorders>
              <w:bottom w:val="single" w:sz="8" w:color="auto"/>
            </w:tcBorders>
          </w:tcPr>
          <w:p>
            <w:pPr>
              <w:spacing w:after="0"/>
              <w:rPr>
                <w:sz w:val="24"/>
                <w:szCs w:val="24"/>
                <w:color w:val="auto"/>
              </w:rPr>
            </w:pP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3800" w:type="dxa"/>
            <w:vAlign w:val="bottom"/>
          </w:tcPr>
          <w:p>
            <w:pPr>
              <w:spacing w:after="0" w:line="207" w:lineRule="exact"/>
              <w:rPr>
                <w:sz w:val="20"/>
                <w:szCs w:val="20"/>
                <w:color w:val="auto"/>
              </w:rPr>
            </w:pPr>
            <w:r>
              <w:rPr>
                <w:rFonts w:ascii="Arial" w:cs="Arial" w:eastAsia="Arial" w:hAnsi="Arial"/>
                <w:sz w:val="20"/>
                <w:szCs w:val="20"/>
                <w:color w:val="auto"/>
              </w:rPr>
              <w:t>Andy Sassine</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3800" w:type="dxa"/>
            <w:vAlign w:val="bottom"/>
          </w:tcPr>
          <w:p>
            <w:pPr>
              <w:spacing w:after="0"/>
              <w:rPr>
                <w:sz w:val="20"/>
                <w:szCs w:val="20"/>
                <w:color w:val="auto"/>
              </w:rPr>
            </w:pPr>
            <w:r>
              <w:rPr>
                <w:rFonts w:ascii="Arial" w:cs="Arial" w:eastAsia="Arial" w:hAnsi="Arial"/>
                <w:sz w:val="20"/>
                <w:szCs w:val="20"/>
                <w:color w:val="auto"/>
              </w:rPr>
              <w:t>Chief Financial Officer</w:t>
            </w:r>
          </w:p>
        </w:tc>
      </w:tr>
      <w:tr>
        <w:trPr>
          <w:trHeight w:val="455"/>
        </w:trPr>
        <w:tc>
          <w:tcPr>
            <w:tcW w:w="760" w:type="dxa"/>
            <w:vAlign w:val="bottom"/>
          </w:tcPr>
          <w:p>
            <w:pPr>
              <w:spacing w:after="0"/>
              <w:rPr>
                <w:sz w:val="20"/>
                <w:szCs w:val="20"/>
                <w:color w:val="auto"/>
              </w:rPr>
            </w:pPr>
            <w:r>
              <w:rPr>
                <w:rFonts w:ascii="Arial" w:cs="Arial" w:eastAsia="Arial" w:hAnsi="Arial"/>
                <w:sz w:val="20"/>
                <w:szCs w:val="20"/>
                <w:color w:val="auto"/>
              </w:rPr>
              <w:t>Date:</w:t>
            </w:r>
          </w:p>
        </w:tc>
        <w:tc>
          <w:tcPr>
            <w:tcW w:w="380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Company Signature Page to Officers’ Certificate</w:t>
      </w:r>
      <w:r>
        <w:rPr>
          <w:rFonts w:ascii="Arial" w:cs="Arial" w:eastAsia="Arial" w:hAnsi="Arial"/>
          <w:sz w:val="20"/>
          <w:szCs w:val="20"/>
          <w:color w:val="auto"/>
        </w:rPr>
        <w:t>]</w:t>
      </w:r>
    </w:p>
    <w:sectPr>
      <w:pgSz w:w="11900" w:h="16838" w:orient="portrait"/>
      <w:cols w:equalWidth="0" w:num="1">
        <w:col w:w="11420"/>
      </w:cols>
      <w:pgMar w:left="240" w:top="3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1:"/>
      <w:numFmt w:val="upperLetter"/>
      <w:start w:val="29"/>
    </w:lvl>
  </w:abstractNum>
  <w:abstractNum w:abstractNumId="2">
    <w:nsid w:val="684A481A"/>
    <w:multiLevelType w:val="hybridMultilevel"/>
    <w:lvl w:ilvl="0">
      <w:lvlJc w:val="left"/>
      <w:lvlText w:val="%1."/>
      <w:numFmt w:val="decimal"/>
      <w:start w:val="1"/>
    </w:lvl>
  </w:abstractNum>
  <w:abstractNum w:abstractNumId="3">
    <w:nsid w:val="579478FE"/>
    <w:multiLevelType w:val="hybridMultilevel"/>
    <w:lvl w:ilvl="0">
      <w:lvlJc w:val="left"/>
      <w:lvlText w:val="(%1)"/>
      <w:numFmt w:val="lowerRoman"/>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1"/>
      <w:numFmt w:val="lowerLetter"/>
      <w:start w:val="1"/>
    </w:lvl>
    <w:lvl w:ilvl="1">
      <w:lvlJc w:val="left"/>
      <w:lvlText w:val="(%2)"/>
      <w:numFmt w:val="lowerLetter"/>
      <w:start w:val="1"/>
    </w:lvl>
  </w:abstractNum>
  <w:abstractNum w:abstractNumId="7">
    <w:nsid w:val="79A1DEAA"/>
    <w:multiLevelType w:val="hybridMultilevel"/>
    <w:lvl w:ilvl="0">
      <w:lvlJc w:val="left"/>
      <w:lvlText w:val="(%1)"/>
      <w:numFmt w:val="lowerLetter"/>
      <w:start w:val="9"/>
    </w:lvl>
    <w:lvl w:ilvl="1">
      <w:lvlJc w:val="left"/>
      <w:lvlText w:val="(%2)"/>
      <w:numFmt w:val="lowerLetter"/>
      <w:start w:val="4"/>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1)"/>
      <w:numFmt w:val="lowerLetter"/>
      <w:start w:val="1"/>
    </w:lvl>
  </w:abstractNum>
  <w:abstractNum w:abstractNumId="10">
    <w:nsid w:val="70C6A529"/>
    <w:multiLevelType w:val="hybridMultilevel"/>
    <w:lvl w:ilvl="0">
      <w:lvlJc w:val="left"/>
      <w:lvlText w:val="(%1)"/>
      <w:numFmt w:val="lowerLetter"/>
      <w:start w:val="1"/>
    </w:lvl>
  </w:abstractNum>
  <w:abstractNum w:abstractNumId="11">
    <w:nsid w:val="520EEDD1"/>
    <w:multiLevelType w:val="hybridMultilevel"/>
    <w:lvl w:ilvl="0">
      <w:lvlJc w:val="left"/>
      <w:lvlText w:val="%1."/>
      <w:numFmt w:val="decimal"/>
      <w:start w:val="2"/>
    </w:lvl>
  </w:abstractNum>
  <w:abstractNum w:abstractNumId="12">
    <w:nsid w:val="374A3FE6"/>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3">
    <w:nsid w:val="4F4EF005"/>
    <w:multiLevelType w:val="hybridMultilevel"/>
    <w:lvl w:ilvl="0">
      <w:lvlJc w:val="left"/>
      <w:lvlText w:val="%1)"/>
      <w:numFmt w:val="lowerRoman"/>
      <w:start w:val="2"/>
    </w:lvl>
  </w:abstractNum>
  <w:abstractNum w:abstractNumId="14">
    <w:nsid w:val="23F9C13C"/>
    <w:multiLevelType w:val="hybridMultilevel"/>
    <w:lvl w:ilvl="0">
      <w:lvlJc w:val="left"/>
      <w:lvlText w:val="(%1)"/>
      <w:numFmt w:val="lowerLetter"/>
      <w:start w:val="1"/>
    </w:lvl>
  </w:abstractNum>
  <w:abstractNum w:abstractNumId="15">
    <w:nsid w:val="649BB77C"/>
    <w:multiLevelType w:val="hybridMultilevel"/>
    <w:lvl w:ilvl="0">
      <w:lvlJc w:val="left"/>
      <w:lvlText w:val="(%1)"/>
      <w:numFmt w:val="lowerLetter"/>
      <w:start w:val="1"/>
    </w:lvl>
  </w:abstractNum>
  <w:abstractNum w:abstractNumId="16">
    <w:nsid w:val="275AC794"/>
    <w:multiLevelType w:val="hybridMultilevel"/>
    <w:lvl w:ilvl="0">
      <w:lvlJc w:val="left"/>
      <w:lvlText w:val="%1."/>
      <w:numFmt w:val="decimal"/>
      <w:start w:val="3"/>
    </w:lvl>
  </w:abstractNum>
  <w:abstractNum w:abstractNumId="17">
    <w:nsid w:val="39386575"/>
    <w:multiLevelType w:val="hybridMultilevel"/>
    <w:lvl w:ilvl="0">
      <w:lvlJc w:val="left"/>
      <w:lvlText w:val="(%1)"/>
      <w:numFmt w:val="lowerLetter"/>
      <w:start w:val="1"/>
    </w:lvl>
  </w:abstractNum>
  <w:abstractNum w:abstractNumId="18">
    <w:nsid w:val="1CF10FD8"/>
    <w:multiLevelType w:val="hybridMultilevel"/>
    <w:lvl w:ilvl="0">
      <w:lvlJc w:val="left"/>
      <w:lvlText w:val="(%1)"/>
      <w:numFmt w:val="lowerLetter"/>
      <w:start w:val="1"/>
    </w:lvl>
  </w:abstractNum>
  <w:abstractNum w:abstractNumId="19">
    <w:nsid w:val="180115BE"/>
    <w:multiLevelType w:val="hybridMultilevel"/>
    <w:lvl w:ilvl="0">
      <w:lvlJc w:val="left"/>
      <w:lvlText w:val="%1"/>
      <w:numFmt w:val="decimal"/>
      <w:start w:val="1"/>
    </w:lvl>
    <w:lvl w:ilvl="1">
      <w:lvlJc w:val="left"/>
      <w:lvlText w:val="(%2)"/>
      <w:numFmt w:val="lowerLetter"/>
      <w:start w:val="1"/>
    </w:lvl>
  </w:abstractNum>
  <w:abstractNum w:abstractNumId="20">
    <w:nsid w:val="235BA861"/>
    <w:multiLevelType w:val="hybridMultilevel"/>
    <w:lvl w:ilvl="0">
      <w:lvlJc w:val="left"/>
      <w:lvlText w:val="%1."/>
      <w:numFmt w:val="decimal"/>
      <w:start w:val="4"/>
    </w:lvl>
    <w:lvl w:ilvl="1">
      <w:lvlJc w:val="left"/>
      <w:lvlText w:val="%2"/>
      <w:numFmt w:val="lowerLetter"/>
      <w:start w:val="1"/>
    </w:lvl>
  </w:abstractNum>
  <w:abstractNum w:abstractNumId="21">
    <w:nsid w:val="47398C89"/>
    <w:multiLevelType w:val="hybridMultilevel"/>
    <w:lvl w:ilvl="0">
      <w:lvlJc w:val="left"/>
      <w:lvlText w:val="%1."/>
      <w:numFmt w:val="decimal"/>
      <w:start w:val="5"/>
    </w:lvl>
  </w:abstractNum>
  <w:abstractNum w:abstractNumId="22">
    <w:nsid w:val="354FE9F9"/>
    <w:multiLevelType w:val="hybridMultilevel"/>
    <w:lvl w:ilvl="0">
      <w:lvlJc w:val="left"/>
      <w:lvlText w:val="(%1)"/>
      <w:numFmt w:val="lowerRoman"/>
      <w:start w:val="2"/>
    </w:lvl>
  </w:abstractNum>
  <w:abstractNum w:abstractNumId="23">
    <w:nsid w:val="15B5AF5C"/>
    <w:multiLevelType w:val="hybridMultilevel"/>
    <w:lvl w:ilvl="0">
      <w:lvlJc w:val="left"/>
      <w:lvlText w:val="%1."/>
      <w:numFmt w:val="decimal"/>
      <w:start w:val="6"/>
    </w:lvl>
  </w:abstractNum>
  <w:abstractNum w:abstractNumId="24">
    <w:nsid w:val="741226BB"/>
    <w:multiLevelType w:val="hybridMultilevel"/>
    <w:lvl w:ilvl="0">
      <w:lvlJc w:val="left"/>
      <w:lvlText w:val="(%1)"/>
      <w:numFmt w:val="lowerLetter"/>
      <w:start w:val="1"/>
    </w:lvl>
  </w:abstractNum>
  <w:abstractNum w:abstractNumId="25">
    <w:nsid w:val="D34B6A8"/>
    <w:multiLevelType w:val="hybridMultilevel"/>
    <w:lvl w:ilvl="0">
      <w:lvlJc w:val="left"/>
      <w:lvlText w:val="(%1)"/>
      <w:numFmt w:val="lowerLetter"/>
      <w:start w:val="1"/>
    </w:lvl>
  </w:abstractNum>
  <w:abstractNum w:abstractNumId="26">
    <w:nsid w:val="10233C99"/>
    <w:multiLevelType w:val="hybridMultilevel"/>
    <w:lvl w:ilvl="0">
      <w:lvlJc w:val="left"/>
      <w:lvlText w:val="(%1)"/>
      <w:numFmt w:val="lowerLetter"/>
      <w:start w:val="2"/>
    </w:lvl>
  </w:abstractNum>
  <w:abstractNum w:abstractNumId="27">
    <w:nsid w:val="3F6AB60F"/>
    <w:multiLevelType w:val="hybridMultilevel"/>
    <w:lvl w:ilvl="0">
      <w:lvlJc w:val="left"/>
      <w:lvlText w:val="(%1)"/>
      <w:numFmt w:val="lowerLetter"/>
      <w:start w:val="1"/>
    </w:lvl>
  </w:abstractNum>
  <w:abstractNum w:abstractNumId="28">
    <w:nsid w:val="61574095"/>
    <w:multiLevelType w:val="hybridMultilevel"/>
    <w:lvl w:ilvl="0">
      <w:lvlJc w:val="left"/>
      <w:lvlText w:val="***"/>
      <w:numFmt w:val="bullet"/>
      <w:start w:val="1"/>
    </w:lvl>
    <w:lvl w:ilvl="1">
      <w:lvlJc w:val="left"/>
      <w:lvlText w:val="(%2)"/>
      <w:numFmt w:val="lowerLetter"/>
      <w:start w:val="1"/>
    </w:lvl>
  </w:abstractNum>
  <w:abstractNum w:abstractNumId="29">
    <w:nsid w:val="7E0C57B1"/>
    <w:multiLevelType w:val="hybridMultilevel"/>
    <w:lvl w:ilvl="0">
      <w:lvlJc w:val="left"/>
      <w:lvlText w:val="(%1)"/>
      <w:numFmt w:val="lowerLetter"/>
      <w:start w:val="2"/>
    </w:lvl>
  </w:abstractNum>
  <w:abstractNum w:abstractNumId="30">
    <w:nsid w:val="77AE35EB"/>
    <w:multiLevelType w:val="hybridMultilevel"/>
    <w:lvl w:ilvl="0">
      <w:lvlJc w:val="left"/>
      <w:lvlText w:val="%1."/>
      <w:numFmt w:val="decimal"/>
      <w:start w:val="7"/>
    </w:lvl>
  </w:abstractNum>
  <w:abstractNum w:abstractNumId="31">
    <w:nsid w:val="579BE4F1"/>
    <w:multiLevelType w:val="hybridMultilevel"/>
    <w:lvl w:ilvl="0">
      <w:lvlJc w:val="left"/>
      <w:lvlText w:val="%1."/>
      <w:numFmt w:val="decimal"/>
      <w:start w:val="8"/>
    </w:lvl>
  </w:abstractNum>
  <w:abstractNum w:abstractNumId="32">
    <w:nsid w:val="310C50B3"/>
    <w:multiLevelType w:val="hybridMultilevel"/>
    <w:lvl w:ilvl="0">
      <w:lvlJc w:val="left"/>
      <w:lvlText w:val="(%1)"/>
      <w:numFmt w:val="lowerLetter"/>
      <w:start w:val="2"/>
    </w:lvl>
  </w:abstractNum>
  <w:abstractNum w:abstractNumId="33">
    <w:nsid w:val="5FF87E05"/>
    <w:multiLevelType w:val="hybridMultilevel"/>
    <w:lvl w:ilvl="0">
      <w:lvlJc w:val="left"/>
      <w:lvlText w:val="(%1)"/>
      <w:numFmt w:val="lowerLetter"/>
      <w:start w:val="1"/>
    </w:lvl>
  </w:abstractNum>
  <w:abstractNum w:abstractNumId="34">
    <w:nsid w:val="2F305DEF"/>
    <w:multiLevelType w:val="hybridMultilevel"/>
    <w:lvl w:ilvl="0">
      <w:lvlJc w:val="left"/>
      <w:lvlText w:val="%1."/>
      <w:numFmt w:val="decimal"/>
      <w:start w:val="9"/>
    </w:lvl>
  </w:abstractNum>
  <w:abstractNum w:abstractNumId="35">
    <w:nsid w:val="25A70BF7"/>
    <w:multiLevelType w:val="hybridMultilevel"/>
    <w:lvl w:ilvl="0">
      <w:lvlJc w:val="left"/>
      <w:lvlText w:val="(%1)"/>
      <w:numFmt w:val="lowerLetter"/>
      <w:start w:val="1"/>
    </w:lvl>
  </w:abstractNum>
  <w:abstractNum w:abstractNumId="36">
    <w:nsid w:val="1DBABF00"/>
    <w:multiLevelType w:val="hybridMultilevel"/>
    <w:lvl w:ilvl="0">
      <w:lvlJc w:val="left"/>
      <w:lvlText w:val="%1"/>
      <w:numFmt w:val="lowerLetter"/>
      <w:start w:val="1"/>
    </w:lvl>
    <w:lvl w:ilvl="1">
      <w:lvlJc w:val="left"/>
      <w:lvlText w:val="(%2)"/>
      <w:numFmt w:val="lowerLetter"/>
      <w:start w:val="4"/>
    </w:lvl>
  </w:abstractNum>
  <w:abstractNum w:abstractNumId="37">
    <w:nsid w:val="4AD084E9"/>
    <w:multiLevelType w:val="hybridMultilevel"/>
    <w:lvl w:ilvl="0">
      <w:lvlJc w:val="left"/>
      <w:lvlText w:val="(%1)"/>
      <w:numFmt w:val="lowerLetter"/>
      <w:start w:val="35"/>
    </w:lvl>
    <w:lvl w:ilvl="1">
      <w:lvlJc w:val="left"/>
      <w:lvlText w:val="(%2)"/>
      <w:numFmt w:val="lowerLetter"/>
      <w:start w:val="6"/>
    </w:lvl>
  </w:abstractNum>
  <w:abstractNum w:abstractNumId="38">
    <w:nsid w:val="1F48EAA1"/>
    <w:multiLevelType w:val="hybridMultilevel"/>
    <w:lvl w:ilvl="0">
      <w:lvlJc w:val="left"/>
      <w:lvlText w:val="%1."/>
      <w:numFmt w:val="decimal"/>
      <w:start w:val="10"/>
    </w:lvl>
  </w:abstractNum>
  <w:abstractNum w:abstractNumId="39">
    <w:nsid w:val="1381823A"/>
    <w:multiLevelType w:val="hybridMultilevel"/>
    <w:lvl w:ilvl="0">
      <w:lvlJc w:val="left"/>
      <w:lvlText w:val="%1."/>
      <w:numFmt w:val="decimal"/>
      <w:start w:val="11"/>
    </w:lvl>
  </w:abstractNum>
  <w:abstractNum w:abstractNumId="40">
    <w:nsid w:val="5DB70AE5"/>
    <w:multiLevelType w:val="hybridMultilevel"/>
    <w:lvl w:ilvl="0">
      <w:lvlJc w:val="left"/>
      <w:lvlText w:val="%1."/>
      <w:numFmt w:val="decimal"/>
      <w:start w:val="12"/>
    </w:lvl>
  </w:abstractNum>
  <w:abstractNum w:abstractNumId="41">
    <w:nsid w:val="100F8FCA"/>
    <w:multiLevelType w:val="hybridMultilevel"/>
    <w:lvl w:ilvl="0">
      <w:lvlJc w:val="left"/>
      <w:lvlText w:val="%1."/>
      <w:numFmt w:val="decimal"/>
      <w:start w:val="13"/>
    </w:lvl>
  </w:abstractNum>
  <w:abstractNum w:abstractNumId="42">
    <w:nsid w:val="6590700B"/>
    <w:multiLevelType w:val="hybridMultilevel"/>
    <w:lvl w:ilvl="0">
      <w:lvlJc w:val="left"/>
      <w:lvlText w:val="%1."/>
      <w:numFmt w:val="decimal"/>
      <w:start w:val="14"/>
    </w:lvl>
  </w:abstractNum>
  <w:abstractNum w:abstractNumId="43">
    <w:nsid w:val="15014ACB"/>
    <w:multiLevelType w:val="hybridMultilevel"/>
    <w:lvl w:ilvl="0">
      <w:lvlJc w:val="left"/>
      <w:lvlText w:val="(%1)"/>
      <w:numFmt w:val="lowerLetter"/>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1."/>
      <w:numFmt w:val="decimal"/>
      <w:start w:val="1"/>
    </w:lvl>
  </w:abstractNum>
  <w:abstractNum w:abstractNumId="46">
    <w:nsid w:val="799D0247"/>
    <w:multiLevelType w:val="hybridMultilevel"/>
    <w:lvl w:ilvl="0">
      <w:lvlJc w:val="left"/>
      <w:lvlText w:val="%1."/>
      <w:numFmt w:val="decimal"/>
      <w:start w:val="2"/>
    </w:lvl>
  </w:abstractNum>
  <w:abstractNum w:abstractNumId="47">
    <w:nsid w:val="6B94764"/>
    <w:multiLevelType w:val="hybridMultilevel"/>
    <w:lvl w:ilvl="0">
      <w:lvlJc w:val="left"/>
      <w:lvlText w:val="%1."/>
      <w:numFmt w:val="decimal"/>
      <w:start w:val="3"/>
    </w:lvl>
    <w:lvl w:ilvl="1">
      <w:lvlJc w:val="left"/>
      <w:lvlText w:val="(%2)"/>
      <w:numFmt w:val="lowerLetter"/>
      <w:start w:val="1"/>
    </w:lvl>
  </w:abstractNum>
  <w:abstractNum w:abstractNumId="48">
    <w:nsid w:val="42C296BD"/>
    <w:multiLevelType w:val="hybridMultilevel"/>
    <w:lvl w:ilvl="0">
      <w:lvlJc w:val="left"/>
      <w:lvlText w:val="%1"/>
      <w:numFmt w:val="decimal"/>
      <w:start w:val="1"/>
    </w:lvl>
    <w:lvl w:ilvl="1">
      <w:lvlJc w:val="left"/>
      <w:lvlText w:val="(%2)"/>
      <w:numFmt w:val="lowerLetter"/>
      <w:start w:val="2"/>
    </w:lvl>
  </w:abstractNum>
  <w:abstractNum w:abstractNumId="49">
    <w:nsid w:val="168E121F"/>
    <w:multiLevelType w:val="hybridMultilevel"/>
    <w:lvl w:ilvl="0">
      <w:lvlJc w:val="left"/>
      <w:lvlText w:val="%1."/>
      <w:numFmt w:val="decimal"/>
      <w:start w:val="5"/>
    </w:lvl>
    <w:lvl w:ilvl="1">
      <w:lvlJc w:val="left"/>
      <w:lvlText w:val="(%2)"/>
      <w:numFmt w:val="lowerLetter"/>
      <w:start w:val="1"/>
    </w:lvl>
  </w:abstractNum>
  <w:abstractNum w:abstractNumId="50">
    <w:nsid w:val="1EBA5D23"/>
    <w:multiLevelType w:val="hybridMultilevel"/>
    <w:lvl w:ilvl="0">
      <w:lvlJc w:val="left"/>
      <w:lvlText w:val="%1"/>
      <w:numFmt w:val="decimal"/>
      <w:start w:val="1"/>
    </w:lvl>
    <w:lvl w:ilvl="1">
      <w:lvlJc w:val="left"/>
      <w:lvlText w:val="(%2)"/>
      <w:numFmt w:val="lowerLetter"/>
      <w:start w:val="3"/>
    </w:lvl>
  </w:abstractNum>
  <w:abstractNum w:abstractNumId="51">
    <w:nsid w:val="661E3F1E"/>
    <w:multiLevelType w:val="hybridMultilevel"/>
    <w:lvl w:ilvl="0">
      <w:lvlJc w:val="left"/>
      <w:lvlText w:val="%1."/>
      <w:numFmt w:val="decimal"/>
      <w:start w:val="6"/>
    </w:lvl>
    <w:lvl w:ilvl="1">
      <w:lvlJc w:val="left"/>
      <w:lvlText w:val="(%2)"/>
      <w:numFmt w:val="lowerLetter"/>
      <w:start w:val="1"/>
    </w:lvl>
  </w:abstractNum>
  <w:abstractNum w:abstractNumId="52">
    <w:nsid w:val="5DC79EA8"/>
    <w:multiLevelType w:val="hybridMultilevel"/>
    <w:lvl w:ilvl="0">
      <w:lvlJc w:val="left"/>
      <w:lvlText w:val="(%1)"/>
      <w:numFmt w:val="lowerLetter"/>
      <w:start w:val="2"/>
    </w:lvl>
  </w:abstractNum>
  <w:abstractNum w:abstractNumId="53">
    <w:nsid w:val="540A471C"/>
    <w:multiLevelType w:val="hybridMultilevel"/>
    <w:lvl w:ilvl="0">
      <w:lvlJc w:val="left"/>
      <w:lvlText w:val="(%1)"/>
      <w:numFmt w:val="lowerLetter"/>
      <w:start w:val="3"/>
    </w:lvl>
  </w:abstractNum>
  <w:abstractNum w:abstractNumId="54">
    <w:nsid w:val="7BD3EE7B"/>
    <w:multiLevelType w:val="hybridMultilevel"/>
    <w:lvl w:ilvl="0">
      <w:lvlJc w:val="left"/>
      <w:lvlText w:val="(%1)"/>
      <w:numFmt w:val="lowerLetter"/>
      <w:start w:val="11"/>
    </w:lvl>
  </w:abstractNum>
  <w:abstractNum w:abstractNumId="55">
    <w:nsid w:val="51D9C564"/>
    <w:multiLevelType w:val="hybridMultilevel"/>
    <w:lvl w:ilvl="0">
      <w:lvlJc w:val="left"/>
      <w:lvlText w:val="(%1)"/>
      <w:numFmt w:val="lowerLetter"/>
      <w:start w:val="14"/>
    </w:lvl>
  </w:abstractNum>
  <w:abstractNum w:abstractNumId="56">
    <w:nsid w:val="613EFDC5"/>
    <w:multiLevelType w:val="hybridMultilevel"/>
    <w:lvl w:ilvl="0">
      <w:lvlJc w:val="left"/>
      <w:lvlText w:val="(%1)"/>
      <w:numFmt w:val="lowerLetter"/>
      <w:start w:val="19"/>
    </w:lvl>
  </w:abstractNum>
  <w:abstractNum w:abstractNumId="57">
    <w:nsid w:val="BF72B14"/>
    <w:multiLevelType w:val="hybridMultilevel"/>
    <w:lvl w:ilvl="0">
      <w:lvlJc w:val="left"/>
      <w:lvlText w:val="(%1)"/>
      <w:numFmt w:val="lowerLetter"/>
      <w:start w:val="21"/>
    </w:lvl>
  </w:abstractNum>
  <w:abstractNum w:abstractNumId="58">
    <w:nsid w:val="11447B73"/>
    <w:multiLevelType w:val="hybridMultilevel"/>
    <w:lvl w:ilvl="0">
      <w:lvlJc w:val="left"/>
      <w:lvlText w:val="(%1)"/>
      <w:numFmt w:val="lowerLetter"/>
      <w:start w:val="27"/>
    </w:lvl>
  </w:abstractNum>
  <w:abstractNum w:abstractNumId="59">
    <w:nsid w:val="42963E5A"/>
    <w:multiLevelType w:val="hybridMultilevel"/>
    <w:lvl w:ilvl="0">
      <w:lvlJc w:val="left"/>
      <w:lvlText w:val="(%1)"/>
      <w:numFmt w:val="lowerLetter"/>
      <w:start w:val="28"/>
    </w:lvl>
  </w:abstractNum>
  <w:abstractNum w:abstractNumId="60">
    <w:nsid w:val="A0382C5"/>
    <w:multiLevelType w:val="hybridMultilevel"/>
    <w:lvl w:ilvl="0">
      <w:lvlJc w:val="left"/>
      <w:lvlText w:val="%1"/>
      <w:numFmt w:val="lowerLetter"/>
      <w:start w:val="1"/>
    </w:lvl>
    <w:lvl w:ilvl="1">
      <w:lvlJc w:val="left"/>
      <w:lvlText w:val="(%2)"/>
      <w:numFmt w:val="lowerLetter"/>
      <w:start w:val="33"/>
    </w:lvl>
  </w:abstractNum>
  <w:abstractNum w:abstractNumId="61">
    <w:nsid w:val="8F2B15E"/>
    <w:multiLevelType w:val="hybridMultilevel"/>
    <w:lvl w:ilvl="0">
      <w:lvlJc w:val="left"/>
      <w:lvlText w:val="(%1)"/>
      <w:numFmt w:val="lowerLetter"/>
      <w:start w:val="61"/>
    </w:lvl>
    <w:lvl w:ilvl="1">
      <w:lvlJc w:val="left"/>
      <w:lvlText w:val="(%2)"/>
      <w:numFmt w:val="lowerLetter"/>
      <w:start w:val="36"/>
    </w:lvl>
  </w:abstractNum>
  <w:abstractNum w:abstractNumId="62">
    <w:nsid w:val="1A32234B"/>
    <w:multiLevelType w:val="hybridMultilevel"/>
    <w:lvl w:ilvl="0">
      <w:lvlJc w:val="left"/>
      <w:lvlText w:val="(%1)"/>
      <w:numFmt w:val="lowerLetter"/>
      <w:start w:val="39"/>
    </w:lvl>
  </w:abstractNum>
  <w:abstractNum w:abstractNumId="63">
    <w:nsid w:val="3B0FD379"/>
    <w:multiLevelType w:val="hybridMultilevel"/>
    <w:lvl w:ilvl="0">
      <w:lvlJc w:val="left"/>
      <w:lvlText w:val="(%1)"/>
      <w:numFmt w:val="lowerRoman"/>
      <w:start w:val="12"/>
    </w:lvl>
    <w:lvl w:ilvl="1">
      <w:lvlJc w:val="left"/>
      <w:lvlText w:val="(%2)"/>
      <w:numFmt w:val="lowerLetter"/>
      <w:start w:val="43"/>
    </w:lvl>
  </w:abstractNum>
  <w:abstractNum w:abstractNumId="64">
    <w:nsid w:val="68EB2F63"/>
    <w:multiLevelType w:val="hybridMultilevel"/>
    <w:lvl w:ilvl="0">
      <w:lvlJc w:val="left"/>
      <w:lvlText w:val="(%1)"/>
      <w:numFmt w:val="lowerLetter"/>
      <w:start w:val="44"/>
    </w:lvl>
  </w:abstractNum>
  <w:abstractNum w:abstractNumId="65">
    <w:nsid w:val="4962813B"/>
    <w:multiLevelType w:val="hybridMultilevel"/>
    <w:lvl w:ilvl="0">
      <w:lvlJc w:val="left"/>
      <w:lvlText w:val="(%1)"/>
      <w:numFmt w:val="lowerLetter"/>
      <w:start w:val="46"/>
    </w:lvl>
  </w:abstractNum>
  <w:abstractNum w:abstractNumId="66">
    <w:nsid w:val="60B6DF70"/>
    <w:multiLevelType w:val="hybridMultilevel"/>
    <w:lvl w:ilvl="0">
      <w:lvlJc w:val="left"/>
      <w:lvlText w:val="(%1)"/>
      <w:numFmt w:val="lowerLetter"/>
      <w:start w:val="52"/>
    </w:lvl>
  </w:abstractNum>
  <w:abstractNum w:abstractNumId="67">
    <w:nsid w:val="6A5EE64"/>
    <w:multiLevelType w:val="hybridMultilevel"/>
    <w:lvl w:ilvl="0">
      <w:lvlJc w:val="left"/>
      <w:lvlText w:val="(%1)"/>
      <w:numFmt w:val="lowerLetter"/>
      <w:start w:val="53"/>
    </w:lvl>
  </w:abstractNum>
  <w:abstractNum w:abstractNumId="68">
    <w:nsid w:val="14330624"/>
    <w:multiLevelType w:val="hybridMultilevel"/>
    <w:lvl w:ilvl="0">
      <w:lvlJc w:val="left"/>
      <w:lvlText w:val="%1."/>
      <w:numFmt w:val="decimal"/>
      <w:start w:val="7"/>
    </w:lvl>
    <w:lvl w:ilvl="1">
      <w:lvlJc w:val="left"/>
      <w:lvlText w:val="(%2)"/>
      <w:numFmt w:val="lowerLetter"/>
      <w:start w:val="1"/>
    </w:lvl>
  </w:abstractNum>
  <w:abstractNum w:abstractNumId="69">
    <w:nsid w:val="7FFFCA11"/>
    <w:multiLevelType w:val="hybridMultilevel"/>
    <w:lvl w:ilvl="0">
      <w:lvlJc w:val="left"/>
      <w:lvlText w:val="%1"/>
      <w:numFmt w:val="lowerRoman"/>
      <w:start w:val="1"/>
    </w:lvl>
    <w:lvl w:ilvl="1">
      <w:lvlJc w:val="left"/>
      <w:lvlText w:val="(%2)"/>
      <w:numFmt w:val="lowerLetter"/>
      <w:start w:val="4"/>
    </w:lvl>
  </w:abstractNum>
  <w:abstractNum w:abstractNumId="70">
    <w:nsid w:val="1A27709E"/>
    <w:multiLevelType w:val="hybridMultilevel"/>
    <w:lvl w:ilvl="0">
      <w:lvlJc w:val="left"/>
      <w:lvlText w:val="(%1)"/>
      <w:numFmt w:val="lowerRoman"/>
      <w:start w:val="4"/>
    </w:lvl>
    <w:lvl w:ilvl="1">
      <w:lvlJc w:val="left"/>
      <w:lvlText w:val="%2"/>
      <w:numFmt w:val="lowerLetter"/>
      <w:start w:val="1"/>
    </w:lvl>
  </w:abstractNum>
  <w:abstractNum w:abstractNumId="71">
    <w:nsid w:val="71EA1109"/>
    <w:multiLevelType w:val="hybridMultilevel"/>
    <w:lvl w:ilvl="0">
      <w:lvlJc w:val="left"/>
      <w:lvlText w:val="(%1)"/>
      <w:numFmt w:val="lowerLetter"/>
      <w:start w:val="8"/>
    </w:lvl>
  </w:abstractNum>
  <w:abstractNum w:abstractNumId="72">
    <w:nsid w:val="100F59DC"/>
    <w:multiLevelType w:val="hybridMultilevel"/>
    <w:lvl w:ilvl="0">
      <w:lvlJc w:val="left"/>
      <w:lvlText w:val="(%1)"/>
      <w:numFmt w:val="lowerLetter"/>
      <w:start w:val="12"/>
    </w:lvl>
    <w:lvl w:ilvl="1">
      <w:lvlJc w:val="left"/>
      <w:lvlText w:val="(%2)"/>
      <w:numFmt w:val="lowerRoman"/>
      <w:start w:val="1"/>
    </w:lvl>
  </w:abstractNum>
  <w:abstractNum w:abstractNumId="73">
    <w:nsid w:val="7FB7E0AA"/>
    <w:multiLevelType w:val="hybridMultilevel"/>
    <w:lvl w:ilvl="0">
      <w:lvlJc w:val="left"/>
      <w:lvlText w:val="(%1)"/>
      <w:numFmt w:val="lowerLetter"/>
      <w:start w:val="14"/>
    </w:lvl>
  </w:abstractNum>
  <w:abstractNum w:abstractNumId="74">
    <w:nsid w:val="6EB5BD4"/>
    <w:multiLevelType w:val="hybridMultilevel"/>
    <w:lvl w:ilvl="0">
      <w:lvlJc w:val="left"/>
      <w:lvlText w:val="(%1)"/>
      <w:numFmt w:val="lowerLetter"/>
      <w:start w:val="17"/>
    </w:lvl>
  </w:abstractNum>
  <w:abstractNum w:abstractNumId="75">
    <w:nsid w:val="6F6DD9AC"/>
    <w:multiLevelType w:val="hybridMultilevel"/>
    <w:lvl w:ilvl="0">
      <w:lvlJc w:val="left"/>
      <w:lvlText w:val="(%1)"/>
      <w:numFmt w:val="lowerLetter"/>
      <w:start w:val="23"/>
    </w:lvl>
  </w:abstractNum>
  <w:abstractNum w:abstractNumId="76">
    <w:nsid w:val="94211F2"/>
    <w:multiLevelType w:val="hybridMultilevel"/>
    <w:lvl w:ilvl="0">
      <w:lvlJc w:val="left"/>
      <w:lvlText w:val="(%1)"/>
      <w:numFmt w:val="lowerLetter"/>
      <w:start w:val="27"/>
    </w:lvl>
  </w:abstractNum>
  <w:abstractNum w:abstractNumId="77">
    <w:nsid w:val="885E1B"/>
    <w:multiLevelType w:val="hybridMultilevel"/>
    <w:lvl w:ilvl="0">
      <w:lvlJc w:val="left"/>
      <w:lvlText w:val="%1"/>
      <w:numFmt w:val="lowerRoman"/>
      <w:start w:val="1"/>
    </w:lvl>
    <w:lvl w:ilvl="1">
      <w:lvlJc w:val="left"/>
      <w:lvlText w:val="%2."/>
      <w:numFmt w:val="decimal"/>
      <w:start w:val="8"/>
    </w:lvl>
    <w:lvl w:ilvl="2">
      <w:lvlJc w:val="left"/>
      <w:lvlText w:val="(%3)"/>
      <w:numFmt w:val="lowerLetter"/>
      <w:start w:val="1"/>
    </w:lvl>
  </w:abstractNum>
  <w:abstractNum w:abstractNumId="78">
    <w:nsid w:val="76272110"/>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4"/>
    </w:lvl>
  </w:abstractNum>
  <w:abstractNum w:abstractNumId="79">
    <w:nsid w:val="4C04A8AF"/>
    <w:multiLevelType w:val="hybridMultilevel"/>
    <w:lvl w:ilvl="0">
      <w:lvlJc w:val="left"/>
      <w:lvlText w:val="(%1)"/>
      <w:numFmt w:val="lowerLetter"/>
      <w:start w:val="6"/>
    </w:lvl>
  </w:abstractNum>
  <w:abstractNum w:abstractNumId="80">
    <w:nsid w:val="1716703B"/>
    <w:multiLevelType w:val="hybridMultilevel"/>
    <w:lvl w:ilvl="0">
      <w:lvlJc w:val="left"/>
      <w:lvlText w:val="%1"/>
      <w:numFmt w:val="decimal"/>
      <w:start w:val="1"/>
    </w:lvl>
    <w:lvl w:ilvl="1">
      <w:lvlJc w:val="left"/>
      <w:lvlText w:val="(%2)"/>
      <w:numFmt w:val="lowerLetter"/>
      <w:start w:val="15"/>
    </w:lvl>
  </w:abstractNum>
  <w:abstractNum w:abstractNumId="81">
    <w:nsid w:val="14E17E33"/>
    <w:multiLevelType w:val="hybridMultilevel"/>
    <w:lvl w:ilvl="0">
      <w:lvlJc w:val="left"/>
      <w:lvlText w:val="%1."/>
      <w:numFmt w:val="decimal"/>
      <w:start w:val="9"/>
    </w:lvl>
    <w:lvl w:ilvl="1">
      <w:lvlJc w:val="left"/>
      <w:lvlText w:val="(%2)"/>
      <w:numFmt w:val="lowerLetter"/>
      <w:start w:val="1"/>
    </w:lvl>
  </w:abstractNum>
  <w:abstractNum w:abstractNumId="82">
    <w:nsid w:val="3222E7CD"/>
    <w:multiLevelType w:val="hybridMultilevel"/>
    <w:lvl w:ilvl="0">
      <w:lvlJc w:val="left"/>
      <w:lvlText w:val="(%1)"/>
      <w:numFmt w:val="lowerLetter"/>
      <w:start w:val="9"/>
    </w:lvl>
    <w:lvl w:ilvl="1">
      <w:lvlJc w:val="left"/>
      <w:lvlText w:val="(%2)"/>
      <w:numFmt w:val="lowerLetter"/>
      <w:start w:val="4"/>
    </w:lvl>
  </w:abstractNum>
  <w:abstractNum w:abstractNumId="83">
    <w:nsid w:val="74DE0EE3"/>
    <w:multiLevelType w:val="hybridMultilevel"/>
    <w:lvl w:ilvl="0">
      <w:lvlJc w:val="left"/>
      <w:lvlText w:val="(%1)"/>
      <w:numFmt w:val="lowerLetter"/>
      <w:start w:val="5"/>
    </w:lvl>
  </w:abstractNum>
  <w:abstractNum w:abstractNumId="84">
    <w:nsid w:val="68EBC550"/>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85">
    <w:nsid w:val="2DF6D648"/>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abstractNum>
  <w:abstractNum w:abstractNumId="86">
    <w:nsid w:val="46B7D447"/>
    <w:multiLevelType w:val="hybridMultilevel"/>
    <w:lvl w:ilvl="0">
      <w:lvlJc w:val="left"/>
      <w:lvlText w:val="%1"/>
      <w:numFmt w:val="lowerLetter"/>
      <w:start w:val="1"/>
    </w:lvl>
    <w:lvl w:ilvl="1">
      <w:lvlJc w:val="left"/>
      <w:lvlText w:val="(%2)"/>
      <w:numFmt w:val="lowerLetter"/>
      <w:start w:val="5"/>
    </w:lvl>
  </w:abstractNum>
  <w:abstractNum w:abstractNumId="87">
    <w:nsid w:val="4A2AC315"/>
    <w:multiLevelType w:val="hybridMultilevel"/>
    <w:lvl w:ilvl="0">
      <w:lvlJc w:val="left"/>
      <w:lvlText w:val="(%1)"/>
      <w:numFmt w:val="lowerLetter"/>
      <w:start w:val="4"/>
    </w:lvl>
    <w:lvl w:ilvl="1">
      <w:lvlJc w:val="left"/>
      <w:lvlText w:val="(%2)"/>
      <w:numFmt w:val="lowerLetter"/>
      <w:start w:val="6"/>
    </w:lvl>
  </w:abstractNum>
  <w:abstractNum w:abstractNumId="88">
    <w:nsid w:val="39EE015C"/>
    <w:multiLevelType w:val="hybridMultilevel"/>
    <w:lvl w:ilvl="0">
      <w:lvlJc w:val="left"/>
      <w:lvlText w:val="%1."/>
      <w:numFmt w:val="decimal"/>
      <w:start w:val="12"/>
    </w:lvl>
  </w:abstractNum>
  <w:abstractNum w:abstractNumId="89">
    <w:nsid w:val="57FC4FBB"/>
    <w:multiLevelType w:val="hybridMultilevel"/>
    <w:lvl w:ilvl="0">
      <w:lvlJc w:val="left"/>
      <w:lvlText w:val="%1."/>
      <w:numFmt w:val="decimal"/>
      <w:start w:val="13"/>
    </w:lvl>
  </w:abstractNum>
  <w:abstractNum w:abstractNumId="90">
    <w:nsid w:val="CC1016F"/>
    <w:multiLevelType w:val="hybridMultilevel"/>
    <w:lvl w:ilvl="0">
      <w:lvlJc w:val="left"/>
      <w:lvlText w:val="%1."/>
      <w:numFmt w:val="decimal"/>
      <w:start w:val="16"/>
    </w:lvl>
  </w:abstractNum>
  <w:abstractNum w:abstractNumId="91">
    <w:nsid w:val="43F18422"/>
    <w:multiLevelType w:val="hybridMultilevel"/>
    <w:lvl w:ilvl="0">
      <w:lvlJc w:val="left"/>
      <w:lvlText w:val="%1."/>
      <w:numFmt w:val="decimal"/>
      <w:start w:val="20"/>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3"/>
    </w:lvl>
  </w:abstractNum>
  <w:abstractNum w:abstractNumId="93">
    <w:nsid w:val="26F324BA"/>
    <w:multiLevelType w:val="hybridMultilevel"/>
    <w:lvl w:ilvl="0">
      <w:lvlJc w:val="left"/>
      <w:lvlText w:val="%1."/>
      <w:numFmt w:val="decimal"/>
      <w:start w:val="23"/>
    </w:lvl>
    <w:lvl w:ilvl="1">
      <w:lvlJc w:val="left"/>
      <w:lvlText w:val="%2"/>
      <w:numFmt w:val="lowerLetter"/>
      <w:start w:val="1"/>
    </w:lvl>
  </w:abstractNum>
  <w:abstractNum w:abstractNumId="94">
    <w:nsid w:val="7F01579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2019-12-08T05:12:02Z</dcterms:created>
  <dcterms:modified xsi:type="dcterms:W3CDTF">2019-12-08T05:12:02Z</dcterms:modified>
</cp:coreProperties>
</file>