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12529"/>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Date of Report (Date of earliest event reported): June 14,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12529"/>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212529"/>
                <w:w w:val="89"/>
              </w:rPr>
              <w:t>10628 Science Center Drive, Suite 250</w:t>
            </w:r>
          </w:p>
        </w:tc>
        <w:tc>
          <w:tcPr>
            <w:tcW w:w="166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91"/>
              </w:rPr>
              <w:t>San Diego, California 92121</w:t>
            </w:r>
          </w:p>
        </w:tc>
        <w:tc>
          <w:tcPr>
            <w:tcW w:w="166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212529"/>
                <w:w w:val="88"/>
              </w:rPr>
              <w:t>(Address of principal executive offices)</w:t>
            </w:r>
          </w:p>
        </w:tc>
        <w:tc>
          <w:tcPr>
            <w:tcW w:w="166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89"/>
              </w:rPr>
              <w:t>Registrant’s telephone number, including area code: (858) 900-2660</w:t>
            </w:r>
          </w:p>
        </w:tc>
        <w:tc>
          <w:tcPr>
            <w:tcW w:w="16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89"/>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212529"/>
                <w:w w:val="98"/>
              </w:rPr>
              <w:t>Securities registered pursuant to Section 12(b) of the Act:</w:t>
            </w: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14"/>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5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Symbol(s)</w:t>
            </w:r>
          </w:p>
        </w:tc>
        <w:tc>
          <w:tcPr>
            <w:tcW w:w="2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99"/>
              </w:rPr>
              <w:t>ARCT</w:t>
            </w:r>
          </w:p>
        </w:tc>
        <w:tc>
          <w:tcPr>
            <w:tcW w:w="24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212529"/>
        </w:rPr>
        <w:t xml:space="preserve">Emerging growth company </w:t>
      </w:r>
      <w:r>
        <w:rPr>
          <w:rFonts w:ascii="MS PGothic" w:cs="MS PGothic" w:eastAsia="MS PGothic" w:hAnsi="MS PGothic"/>
          <w:sz w:val="18"/>
          <w:szCs w:val="18"/>
          <w:color w:val="212529"/>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6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212529"/>
        </w:rPr>
        <w:t>On June 14, 2023, Arcturus Therapeutics Holdings Inc. (the “Company”) held its annual meeting of stockholders (the “Meeting”). The total number of shares entitled to vote at the Meeting was 26,562,951 and there were present at the Meeting, in person or by proxy, 18,987,002 shares, which constituted a quorum for the Meeting.</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12529"/>
        </w:rPr>
        <w:t>At the Meeting, the stockholders voted on the following proposals, each of which is described in more detail in the Company’s definitive proxy statement filed with the Securities and Exchange Commission on May 1, 2023:</w:t>
      </w:r>
    </w:p>
    <w:p>
      <w:pPr>
        <w:spacing w:after="0" w:line="170" w:lineRule="exact"/>
        <w:rPr>
          <w:sz w:val="20"/>
          <w:szCs w:val="20"/>
          <w:color w:val="auto"/>
        </w:rPr>
      </w:pPr>
    </w:p>
    <w:p>
      <w:pPr>
        <w:ind w:right="40" w:firstLine="8"/>
        <w:spacing w:after="0" w:line="277" w:lineRule="auto"/>
        <w:tabs>
          <w:tab w:leader="none" w:pos="252"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To elect Dr. Peter Farrell, Joseph E. Payne, Andy Sassine, James Barlow, Dr. Edward W. Holmes, Dr. Magda Marquet, Dr. Jing L. Marantz and Dr. John H. Markels to the Board of Directors (the “Board”), to serve until the Company’s next annual meeting of stockholders;</w:t>
      </w:r>
    </w:p>
    <w:p>
      <w:pPr>
        <w:spacing w:after="0" w:line="170" w:lineRule="exact"/>
        <w:rPr>
          <w:rFonts w:ascii="Arial" w:cs="Arial" w:eastAsia="Arial" w:hAnsi="Arial"/>
          <w:sz w:val="18"/>
          <w:szCs w:val="18"/>
          <w:color w:val="212529"/>
        </w:rPr>
      </w:pPr>
    </w:p>
    <w:p>
      <w:pPr>
        <w:ind w:left="260" w:hanging="252"/>
        <w:spacing w:after="0"/>
        <w:tabs>
          <w:tab w:leader="none" w:pos="260"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To approve, on a non-binding advisory basis, the resolution approving named executive officer compensation; and</w:t>
      </w:r>
    </w:p>
    <w:p>
      <w:pPr>
        <w:spacing w:after="0" w:line="225" w:lineRule="exact"/>
        <w:rPr>
          <w:rFonts w:ascii="Arial" w:cs="Arial" w:eastAsia="Arial" w:hAnsi="Arial"/>
          <w:sz w:val="18"/>
          <w:szCs w:val="18"/>
          <w:color w:val="212529"/>
        </w:rPr>
      </w:pPr>
    </w:p>
    <w:p>
      <w:pPr>
        <w:ind w:right="200" w:firstLine="8"/>
        <w:spacing w:after="0" w:line="277" w:lineRule="auto"/>
        <w:tabs>
          <w:tab w:leader="none" w:pos="252"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To ratify the appointment of Ernst &amp; Young LLP (“E&amp;Y”), as the Company’s independent registered public accounting firm for the fiscal year ending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12529"/>
        </w:rPr>
        <w:t>The final results of the stockholder votes at the Meeting are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sz w:val="20"/>
                <w:szCs w:val="20"/>
                <w:color w:val="auto"/>
              </w:rPr>
            </w:pPr>
            <w:r>
              <w:rPr>
                <w:rFonts w:ascii="Arial" w:cs="Arial" w:eastAsia="Arial" w:hAnsi="Arial"/>
                <w:sz w:val="18"/>
                <w:szCs w:val="18"/>
                <w:color w:val="212529"/>
              </w:rPr>
              <w:t>Proposal No. 1</w:t>
            </w:r>
          </w:p>
        </w:tc>
        <w:tc>
          <w:tcPr>
            <w:tcW w:w="1460" w:type="dxa"/>
            <w:vAlign w:val="bottom"/>
            <w:vMerge w:val="restart"/>
          </w:tcPr>
          <w:p>
            <w:pPr>
              <w:ind w:left="620"/>
              <w:spacing w:after="0"/>
              <w:rPr>
                <w:sz w:val="20"/>
                <w:szCs w:val="20"/>
                <w:color w:val="auto"/>
              </w:rPr>
            </w:pPr>
            <w:r>
              <w:rPr>
                <w:rFonts w:ascii="Arial" w:cs="Arial" w:eastAsia="Arial" w:hAnsi="Arial"/>
                <w:sz w:val="18"/>
                <w:szCs w:val="18"/>
                <w:color w:val="auto"/>
              </w:rPr>
              <w:t>For</w:t>
            </w:r>
          </w:p>
        </w:tc>
        <w:tc>
          <w:tcPr>
            <w:tcW w:w="240" w:type="dxa"/>
            <w:vAlign w:val="bottom"/>
          </w:tcPr>
          <w:p>
            <w:pPr>
              <w:spacing w:after="0"/>
              <w:rPr>
                <w:sz w:val="17"/>
                <w:szCs w:val="17"/>
                <w:color w:val="auto"/>
              </w:rPr>
            </w:pPr>
          </w:p>
        </w:tc>
        <w:tc>
          <w:tcPr>
            <w:tcW w:w="1460" w:type="dxa"/>
            <w:vAlign w:val="bottom"/>
            <w:vMerge w:val="restart"/>
          </w:tcPr>
          <w:p>
            <w:pPr>
              <w:jc w:val="right"/>
              <w:ind w:right="310"/>
              <w:spacing w:after="0"/>
              <w:rPr>
                <w:sz w:val="20"/>
                <w:szCs w:val="20"/>
                <w:color w:val="auto"/>
              </w:rPr>
            </w:pPr>
            <w:r>
              <w:rPr>
                <w:rFonts w:ascii="Arial" w:cs="Arial" w:eastAsia="Arial" w:hAnsi="Arial"/>
                <w:sz w:val="18"/>
                <w:szCs w:val="18"/>
                <w:color w:val="auto"/>
              </w:rPr>
              <w:t>Withhold</w:t>
            </w:r>
          </w:p>
        </w:tc>
        <w:tc>
          <w:tcPr>
            <w:tcW w:w="22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w w:val="95"/>
              </w:rPr>
              <w:t>Broker Non-Votes</w:t>
            </w:r>
          </w:p>
        </w:tc>
        <w:tc>
          <w:tcPr>
            <w:tcW w:w="0" w:type="dxa"/>
            <w:vAlign w:val="bottom"/>
          </w:tcPr>
          <w:p>
            <w:pPr>
              <w:spacing w:after="0"/>
              <w:rPr>
                <w:sz w:val="1"/>
                <w:szCs w:val="1"/>
                <w:color w:val="auto"/>
              </w:rPr>
            </w:pPr>
          </w:p>
        </w:tc>
      </w:tr>
      <w:tr>
        <w:trPr>
          <w:trHeight w:val="242"/>
        </w:trPr>
        <w:tc>
          <w:tcPr>
            <w:tcW w:w="240" w:type="dxa"/>
            <w:vAlign w:val="bottom"/>
            <w:tcBorders>
              <w:top w:val="single" w:sz="8" w:color="212529"/>
            </w:tcBorders>
          </w:tcPr>
          <w:p>
            <w:pPr>
              <w:spacing w:after="0"/>
              <w:rPr>
                <w:sz w:val="20"/>
                <w:szCs w:val="20"/>
                <w:color w:val="auto"/>
              </w:rPr>
            </w:pPr>
          </w:p>
        </w:tc>
        <w:tc>
          <w:tcPr>
            <w:tcW w:w="840" w:type="dxa"/>
            <w:vAlign w:val="bottom"/>
            <w:tcBorders>
              <w:top w:val="single" w:sz="8" w:color="212529"/>
            </w:tcBorders>
          </w:tcPr>
          <w:p>
            <w:pPr>
              <w:spacing w:after="0"/>
              <w:rPr>
                <w:sz w:val="20"/>
                <w:szCs w:val="20"/>
                <w:color w:val="auto"/>
              </w:rPr>
            </w:pPr>
          </w:p>
        </w:tc>
        <w:tc>
          <w:tcPr>
            <w:tcW w:w="532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40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w w:val="96"/>
              </w:rPr>
              <w:t>Approval of the election of the following individuals as directors of the Company, as</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provided in Proposal Number 1 of the Proxy Statement:</w:t>
            </w:r>
          </w:p>
        </w:tc>
        <w:tc>
          <w:tcPr>
            <w:tcW w:w="1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Dr. Peter Farrell</w:t>
            </w:r>
          </w:p>
        </w:tc>
        <w:tc>
          <w:tcPr>
            <w:tcW w:w="1460" w:type="dxa"/>
            <w:vAlign w:val="bottom"/>
          </w:tcPr>
          <w:p>
            <w:pPr>
              <w:ind w:left="620"/>
              <w:spacing w:after="0"/>
              <w:rPr>
                <w:sz w:val="20"/>
                <w:szCs w:val="20"/>
                <w:color w:val="auto"/>
              </w:rPr>
            </w:pPr>
            <w:r>
              <w:rPr>
                <w:rFonts w:ascii="Arial" w:cs="Arial" w:eastAsia="Arial" w:hAnsi="Arial"/>
                <w:sz w:val="18"/>
                <w:szCs w:val="18"/>
                <w:color w:val="auto"/>
                <w:w w:val="90"/>
              </w:rPr>
              <w:t>16,434,558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102,401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(2)</w:t>
            </w:r>
          </w:p>
        </w:tc>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Joseph E. Payne</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16,469,005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(3) Andy Sassine</w:t>
            </w:r>
          </w:p>
        </w:tc>
        <w:tc>
          <w:tcPr>
            <w:tcW w:w="1460" w:type="dxa"/>
            <w:vAlign w:val="bottom"/>
          </w:tcPr>
          <w:p>
            <w:pPr>
              <w:ind w:left="620"/>
              <w:spacing w:after="0"/>
              <w:rPr>
                <w:sz w:val="20"/>
                <w:szCs w:val="20"/>
                <w:color w:val="auto"/>
              </w:rPr>
            </w:pPr>
            <w:r>
              <w:rPr>
                <w:rFonts w:ascii="Arial" w:cs="Arial" w:eastAsia="Arial" w:hAnsi="Arial"/>
                <w:sz w:val="18"/>
                <w:szCs w:val="18"/>
                <w:color w:val="auto"/>
                <w:w w:val="90"/>
              </w:rPr>
              <w:t>16,419,411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117,548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(4)</w:t>
            </w:r>
          </w:p>
        </w:tc>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Barlow</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15,840,727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696,232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(5)</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Dr. Edward W. Holmes</w:t>
            </w:r>
          </w:p>
        </w:tc>
        <w:tc>
          <w:tcPr>
            <w:tcW w:w="1460" w:type="dxa"/>
            <w:vAlign w:val="bottom"/>
          </w:tcPr>
          <w:p>
            <w:pPr>
              <w:ind w:left="620"/>
              <w:spacing w:after="0"/>
              <w:rPr>
                <w:sz w:val="20"/>
                <w:szCs w:val="20"/>
                <w:color w:val="auto"/>
              </w:rPr>
            </w:pPr>
            <w:r>
              <w:rPr>
                <w:rFonts w:ascii="Arial" w:cs="Arial" w:eastAsia="Arial" w:hAnsi="Arial"/>
                <w:sz w:val="18"/>
                <w:szCs w:val="18"/>
                <w:color w:val="auto"/>
                <w:w w:val="90"/>
              </w:rPr>
              <w:t>15,803,876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733,083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(6)</w:t>
            </w:r>
          </w:p>
        </w:tc>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 Magda Marquet</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11,040,967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5,495,992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(7)</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Dr. Jing L. Marantz</w:t>
            </w:r>
          </w:p>
        </w:tc>
        <w:tc>
          <w:tcPr>
            <w:tcW w:w="1460" w:type="dxa"/>
            <w:vAlign w:val="bottom"/>
          </w:tcPr>
          <w:p>
            <w:pPr>
              <w:ind w:left="620"/>
              <w:spacing w:after="0"/>
              <w:rPr>
                <w:sz w:val="20"/>
                <w:szCs w:val="20"/>
                <w:color w:val="auto"/>
              </w:rPr>
            </w:pPr>
            <w:r>
              <w:rPr>
                <w:rFonts w:ascii="Arial" w:cs="Arial" w:eastAsia="Arial" w:hAnsi="Arial"/>
                <w:sz w:val="18"/>
                <w:szCs w:val="18"/>
                <w:color w:val="auto"/>
                <w:w w:val="90"/>
              </w:rPr>
              <w:t>15,841,115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695,844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(8)</w:t>
            </w:r>
          </w:p>
        </w:tc>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 John H. Markels</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16,500,785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212529"/>
        </w:rPr>
        <w:t>Each of the eight nominees was elected to the Board, each to hold office until the Company’s 2024 annual meeting of stockholders and until their respective successors are elected and qualified.</w:t>
      </w:r>
    </w:p>
    <w:p>
      <w:pPr>
        <w:sectPr>
          <w:pgSz w:w="11900" w:h="16838" w:orient="portrait"/>
          <w:cols w:equalWidth="0" w:num="1">
            <w:col w:w="11240"/>
          </w:cols>
          <w:pgMar w:left="320" w:top="702"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529"/>
        </w:rPr>
        <w:t>Proposal No. 2</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Approval, </w:t>
      </w:r>
      <w:r>
        <w:rPr>
          <w:rFonts w:ascii="Arial" w:cs="Arial" w:eastAsia="Arial" w:hAnsi="Arial"/>
          <w:sz w:val="18"/>
          <w:szCs w:val="18"/>
          <w:color w:val="212529"/>
        </w:rPr>
        <w:t>on a non-binding advisory basis, the resolution</w:t>
      </w:r>
      <w:r>
        <w:rPr>
          <w:rFonts w:ascii="Arial" w:cs="Arial" w:eastAsia="Arial" w:hAnsi="Arial"/>
          <w:sz w:val="18"/>
          <w:szCs w:val="18"/>
          <w:color w:val="auto"/>
        </w:rPr>
        <w:t xml:space="preserve"> </w:t>
      </w:r>
      <w:r>
        <w:rPr>
          <w:rFonts w:ascii="Arial" w:cs="Arial" w:eastAsia="Arial" w:hAnsi="Arial"/>
          <w:sz w:val="18"/>
          <w:szCs w:val="18"/>
          <w:color w:val="212529"/>
        </w:rPr>
        <w:t>approving named executive officer compensation</w:t>
      </w:r>
      <w:r>
        <w:rPr>
          <w:rFonts w:ascii="Arial" w:cs="Arial" w:eastAsia="Arial" w:hAnsi="Arial"/>
          <w:sz w:val="18"/>
          <w:szCs w:val="18"/>
          <w:color w:val="000000"/>
        </w:rPr>
        <w:t>, referred to as</w:t>
      </w:r>
      <w:r>
        <w:rPr>
          <w:rFonts w:ascii="Arial" w:cs="Arial" w:eastAsia="Arial" w:hAnsi="Arial"/>
          <w:sz w:val="18"/>
          <w:szCs w:val="18"/>
          <w:color w:val="212529"/>
        </w:rPr>
        <w:t xml:space="preserve"> </w:t>
      </w:r>
      <w:r>
        <w:rPr>
          <w:rFonts w:ascii="Arial" w:cs="Arial" w:eastAsia="Arial" w:hAnsi="Arial"/>
          <w:sz w:val="18"/>
          <w:szCs w:val="18"/>
          <w:color w:val="000000"/>
        </w:rPr>
        <w:t>“say-on-pay,” as provided in Proposal Number 2 of the Proxy Statement: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For</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Against</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Abstain</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Broker Non-Votes</w:t>
            </w:r>
          </w:p>
        </w:tc>
      </w:tr>
      <w:tr>
        <w:trPr>
          <w:trHeight w:val="224"/>
        </w:trPr>
        <w:tc>
          <w:tcPr>
            <w:tcW w:w="1460" w:type="dxa"/>
            <w:vAlign w:val="bottom"/>
          </w:tcPr>
          <w:p>
            <w:pPr>
              <w:ind w:left="620"/>
              <w:spacing w:after="0"/>
              <w:rPr>
                <w:sz w:val="20"/>
                <w:szCs w:val="20"/>
                <w:color w:val="auto"/>
              </w:rPr>
            </w:pPr>
            <w:r>
              <w:rPr>
                <w:rFonts w:ascii="Arial" w:cs="Arial" w:eastAsia="Arial" w:hAnsi="Arial"/>
                <w:sz w:val="18"/>
                <w:szCs w:val="18"/>
                <w:color w:val="auto"/>
                <w:w w:val="90"/>
              </w:rPr>
              <w:t>11,959,501</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4,562,055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2,450,043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-154305</wp:posOffset>
            </wp:positionV>
            <wp:extent cx="713232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822" w:lineRule="exact"/>
        <w:rPr>
          <w:sz w:val="20"/>
          <w:szCs w:val="20"/>
          <w:color w:val="auto"/>
        </w:rPr>
      </w:pPr>
    </w:p>
    <w:p>
      <w:pPr>
        <w:sectPr>
          <w:pgSz w:w="11900" w:h="16838" w:orient="portrait"/>
          <w:cols w:equalWidth="0" w:num="2">
            <w:col w:w="4600" w:space="240"/>
            <w:col w:w="6400"/>
          </w:cols>
          <w:pgMar w:left="320" w:top="70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212529"/>
              </w:rPr>
              <w:t>The proposal was approved.</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840" w:type="dxa"/>
            <w:vAlign w:val="bottom"/>
            <w:gridSpan w:val="2"/>
          </w:tcPr>
          <w:p>
            <w:pPr>
              <w:spacing w:after="0"/>
              <w:rPr>
                <w:sz w:val="20"/>
                <w:szCs w:val="20"/>
                <w:color w:val="auto"/>
              </w:rPr>
            </w:pPr>
            <w:r>
              <w:rPr>
                <w:rFonts w:ascii="Arial" w:cs="Arial" w:eastAsia="Arial" w:hAnsi="Arial"/>
                <w:sz w:val="18"/>
                <w:szCs w:val="18"/>
                <w:color w:val="212529"/>
              </w:rPr>
              <w:t>Proposal No. 3</w:t>
            </w:r>
          </w:p>
        </w:tc>
        <w:tc>
          <w:tcPr>
            <w:tcW w:w="1460" w:type="dxa"/>
            <w:vAlign w:val="bottom"/>
            <w:vMerge w:val="restart"/>
          </w:tcPr>
          <w:p>
            <w:pPr>
              <w:ind w:left="600"/>
              <w:spacing w:after="0"/>
              <w:rPr>
                <w:sz w:val="20"/>
                <w:szCs w:val="20"/>
                <w:color w:val="auto"/>
              </w:rPr>
            </w:pPr>
            <w:r>
              <w:rPr>
                <w:rFonts w:ascii="Arial" w:cs="Arial" w:eastAsia="Arial" w:hAnsi="Arial"/>
                <w:sz w:val="18"/>
                <w:szCs w:val="18"/>
                <w:color w:val="auto"/>
              </w:rPr>
              <w:t>For</w:t>
            </w:r>
          </w:p>
        </w:tc>
        <w:tc>
          <w:tcPr>
            <w:tcW w:w="220" w:type="dxa"/>
            <w:vAlign w:val="bottom"/>
          </w:tcPr>
          <w:p>
            <w:pPr>
              <w:spacing w:after="0"/>
              <w:rPr>
                <w:sz w:val="24"/>
                <w:szCs w:val="24"/>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8"/>
                <w:szCs w:val="18"/>
                <w:color w:val="auto"/>
              </w:rPr>
              <w:t>Against</w:t>
            </w:r>
          </w:p>
        </w:tc>
        <w:tc>
          <w:tcPr>
            <w:tcW w:w="220" w:type="dxa"/>
            <w:vAlign w:val="bottom"/>
          </w:tcPr>
          <w:p>
            <w:pPr>
              <w:spacing w:after="0"/>
              <w:rPr>
                <w:sz w:val="24"/>
                <w:szCs w:val="24"/>
                <w:color w:val="auto"/>
              </w:rPr>
            </w:pPr>
          </w:p>
        </w:tc>
        <w:tc>
          <w:tcPr>
            <w:tcW w:w="1480" w:type="dxa"/>
            <w:vAlign w:val="bottom"/>
            <w:vMerge w:val="restart"/>
          </w:tcPr>
          <w:p>
            <w:pPr>
              <w:jc w:val="right"/>
              <w:ind w:right="370"/>
              <w:spacing w:after="0"/>
              <w:rPr>
                <w:sz w:val="20"/>
                <w:szCs w:val="20"/>
                <w:color w:val="auto"/>
              </w:rPr>
            </w:pPr>
            <w:r>
              <w:rPr>
                <w:rFonts w:ascii="Arial" w:cs="Arial" w:eastAsia="Arial" w:hAnsi="Arial"/>
                <w:sz w:val="18"/>
                <w:szCs w:val="18"/>
                <w:color w:val="auto"/>
              </w:rPr>
              <w:t>Abstain</w:t>
            </w:r>
          </w:p>
        </w:tc>
        <w:tc>
          <w:tcPr>
            <w:tcW w:w="100" w:type="dxa"/>
            <w:vAlign w:val="bottom"/>
          </w:tcPr>
          <w:p>
            <w:pPr>
              <w:spacing w:after="0"/>
              <w:rPr>
                <w:sz w:val="24"/>
                <w:szCs w:val="24"/>
                <w:color w:val="auto"/>
              </w:rPr>
            </w:pPr>
          </w:p>
        </w:tc>
        <w:tc>
          <w:tcPr>
            <w:tcW w:w="1460" w:type="dxa"/>
            <w:vAlign w:val="bottom"/>
            <w:vMerge w:val="restart"/>
          </w:tcPr>
          <w:p>
            <w:pPr>
              <w:ind w:left="80"/>
              <w:spacing w:after="0"/>
              <w:rPr>
                <w:sz w:val="20"/>
                <w:szCs w:val="20"/>
                <w:color w:val="auto"/>
              </w:rPr>
            </w:pPr>
            <w:r>
              <w:rPr>
                <w:rFonts w:ascii="Arial" w:cs="Arial" w:eastAsia="Arial" w:hAnsi="Arial"/>
                <w:sz w:val="18"/>
                <w:szCs w:val="18"/>
                <w:color w:val="auto"/>
                <w:w w:val="95"/>
              </w:rPr>
              <w:t>Broker Non-Votes</w:t>
            </w:r>
          </w:p>
        </w:tc>
        <w:tc>
          <w:tcPr>
            <w:tcW w:w="0" w:type="dxa"/>
            <w:vAlign w:val="bottom"/>
          </w:tcPr>
          <w:p>
            <w:pPr>
              <w:spacing w:after="0"/>
              <w:rPr>
                <w:sz w:val="1"/>
                <w:szCs w:val="1"/>
                <w:color w:val="auto"/>
              </w:rPr>
            </w:pPr>
          </w:p>
        </w:tc>
      </w:tr>
      <w:tr>
        <w:trPr>
          <w:trHeight w:val="242"/>
        </w:trPr>
        <w:tc>
          <w:tcPr>
            <w:tcW w:w="1080" w:type="dxa"/>
            <w:vAlign w:val="bottom"/>
            <w:tcBorders>
              <w:top w:val="single" w:sz="8" w:color="212529"/>
            </w:tcBorders>
          </w:tcPr>
          <w:p>
            <w:pPr>
              <w:spacing w:after="0"/>
              <w:rPr>
                <w:sz w:val="20"/>
                <w:szCs w:val="20"/>
                <w:color w:val="auto"/>
              </w:rPr>
            </w:pPr>
          </w:p>
        </w:tc>
        <w:tc>
          <w:tcPr>
            <w:tcW w:w="376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Approval of the ratification of the appointment of Ernst &amp;</w:t>
            </w:r>
          </w:p>
        </w:tc>
        <w:tc>
          <w:tcPr>
            <w:tcW w:w="1460" w:type="dxa"/>
            <w:vAlign w:val="bottom"/>
            <w:shd w:val="clear" w:color="auto" w:fill="CCEEFF"/>
          </w:tcPr>
          <w:p>
            <w:pPr>
              <w:ind w:left="600"/>
              <w:spacing w:after="0" w:line="195" w:lineRule="exact"/>
              <w:rPr>
                <w:sz w:val="20"/>
                <w:szCs w:val="20"/>
                <w:color w:val="auto"/>
              </w:rPr>
            </w:pPr>
            <w:r>
              <w:rPr>
                <w:rFonts w:ascii="Arial" w:cs="Arial" w:eastAsia="Arial" w:hAnsi="Arial"/>
                <w:sz w:val="18"/>
                <w:szCs w:val="18"/>
                <w:color w:val="auto"/>
                <w:w w:val="93"/>
              </w:rPr>
              <w:t>18,955,484</w:t>
            </w:r>
          </w:p>
        </w:tc>
        <w:tc>
          <w:tcPr>
            <w:tcW w:w="168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22,224</w:t>
            </w:r>
          </w:p>
        </w:tc>
        <w:tc>
          <w:tcPr>
            <w:tcW w:w="17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9,294</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ind w:left="1100"/>
              <w:spacing w:after="0" w:line="19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LLP as the Company’s independent registered public</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firm for the year ending December 31, 2023, as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provided in Proposal Number 3 of the Proxy Statement:</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212529"/>
              </w:rPr>
              <w:t>The appointment was ratified.</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12529"/>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12529"/>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2023</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2023-06-16T15:41:27Z</dcterms:created>
  <dcterms:modified xsi:type="dcterms:W3CDTF">2023-06-16T15:41:27Z</dcterms:modified>
</cp:coreProperties>
</file>