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Payne Joseph E</w:t>
        </w:r>
      </w:hyperlink>
    </w:p>
    <w:p>
      <w:pPr>
        <w:spacing w:after="0" w:line="29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Arcturus Therapeutics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ARCT</w:t>
      </w:r>
    </w:p>
    <w:p>
      <w:pPr>
        <w:spacing w:after="0" w:line="25" w:lineRule="exact"/>
        <w:rPr>
          <w:sz w:val="24"/>
          <w:szCs w:val="24"/>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ectPr>
          <w:pgSz w:w="11900" w:h="16838" w:orient="portrait"/>
          <w:cols w:equalWidth="0" w:num="3">
            <w:col w:w="3360" w:space="720"/>
            <w:col w:w="3800" w:space="1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w w:val="99"/>
              </w:rPr>
              <w:t>C/O ARCTURUS THERAPEUTICS HOLDINGS</w:t>
            </w:r>
          </w:p>
        </w:tc>
        <w:tc>
          <w:tcPr>
            <w:tcW w:w="80" w:type="dxa"/>
            <w:vAlign w:val="bottom"/>
          </w:tcPr>
          <w:p>
            <w:pPr>
              <w:spacing w:after="0"/>
              <w:rPr>
                <w:sz w:val="17"/>
                <w:szCs w:val="17"/>
                <w:color w:val="auto"/>
              </w:rPr>
            </w:pPr>
          </w:p>
        </w:tc>
        <w:tc>
          <w:tcPr>
            <w:tcW w:w="3080" w:type="dxa"/>
            <w:vAlign w:val="bottom"/>
            <w:tcBorders>
              <w:top w:val="single" w:sz="8" w:color="2C2C2C"/>
            </w:tcBorders>
            <w:gridSpan w:val="6"/>
          </w:tcPr>
          <w:p>
            <w:pPr>
              <w:ind w:left="80"/>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gridSpan w:val="2"/>
          </w:tcPr>
          <w:p>
            <w:pPr>
              <w:ind w:left="100"/>
              <w:spacing w:after="0" w:line="201" w:lineRule="exact"/>
              <w:rPr>
                <w:sz w:val="20"/>
                <w:szCs w:val="20"/>
                <w:color w:val="auto"/>
              </w:rPr>
            </w:pPr>
            <w:r>
              <w:rPr>
                <w:rFonts w:ascii="Arial" w:cs="Arial" w:eastAsia="Arial" w:hAnsi="Arial"/>
                <w:sz w:val="18"/>
                <w:szCs w:val="18"/>
                <w:color w:val="0000FF"/>
              </w:rPr>
              <w:t>President and CEO</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0" w:type="dxa"/>
            <w:vAlign w:val="bottom"/>
            <w:gridSpan w:val="6"/>
            <w:vMerge w:val="continue"/>
          </w:tcPr>
          <w:p>
            <w:pPr>
              <w:spacing w:after="0"/>
              <w:rPr>
                <w:sz w:val="7"/>
                <w:szCs w:val="7"/>
                <w:color w:val="auto"/>
              </w:rPr>
            </w:pPr>
          </w:p>
        </w:tc>
        <w:tc>
          <w:tcPr>
            <w:tcW w:w="1640" w:type="dxa"/>
            <w:vAlign w:val="bottom"/>
            <w:gridSpan w:val="4"/>
            <w:vMerge w:val="restart"/>
          </w:tcPr>
          <w:p>
            <w:pPr>
              <w:ind w:left="160"/>
              <w:spacing w:after="0"/>
              <w:rPr>
                <w:sz w:val="20"/>
                <w:szCs w:val="20"/>
                <w:color w:val="auto"/>
              </w:rPr>
            </w:pPr>
            <w:r>
              <w:rPr>
                <w:rFonts w:ascii="Arial" w:cs="Arial" w:eastAsia="Arial" w:hAnsi="Arial"/>
                <w:sz w:val="18"/>
                <w:szCs w:val="18"/>
                <w:color w:val="0000FF"/>
              </w:rPr>
              <w:t>08/29/2019</w:t>
            </w: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10628 SCIENCE CENTER DRIVE, SUITE 250</w:t>
            </w:r>
          </w:p>
        </w:tc>
        <w:tc>
          <w:tcPr>
            <w:tcW w:w="80" w:type="dxa"/>
            <w:vAlign w:val="bottom"/>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3800" w:type="dxa"/>
            <w:vAlign w:val="bottom"/>
            <w:gridSpan w:val="7"/>
            <w:vMerge w:val="restart"/>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6"/>
                <w:szCs w:val="6"/>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0" w:type="dxa"/>
            <w:vAlign w:val="bottom"/>
            <w:gridSpan w:val="7"/>
            <w:vMerge w:val="continue"/>
          </w:tcPr>
          <w:p>
            <w:pPr>
              <w:spacing w:after="0"/>
              <w:rPr>
                <w:sz w:val="10"/>
                <w:szCs w:val="10"/>
                <w:color w:val="auto"/>
              </w:rPr>
            </w:pPr>
          </w:p>
        </w:tc>
        <w:tc>
          <w:tcPr>
            <w:tcW w:w="180" w:type="dxa"/>
            <w:vAlign w:val="bottom"/>
          </w:tcPr>
          <w:p>
            <w:pPr>
              <w:spacing w:after="0"/>
              <w:rPr>
                <w:sz w:val="10"/>
                <w:szCs w:val="10"/>
                <w:color w:val="auto"/>
              </w:rPr>
            </w:pPr>
          </w:p>
        </w:tc>
        <w:tc>
          <w:tcPr>
            <w:tcW w:w="34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6"/>
                <w:szCs w:val="16"/>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92121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40" w:type="dxa"/>
            <w:vAlign w:val="bottom"/>
            <w:gridSpan w:val="6"/>
          </w:tcPr>
          <w:p>
            <w:pPr>
              <w:ind w:left="80"/>
              <w:spacing w:after="0" w:line="189"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2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ind w:left="160"/>
              <w:spacing w:after="0" w:line="102"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7"/>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4"/>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860"/>
              <w:spacing w:after="0"/>
              <w:rPr>
                <w:sz w:val="20"/>
                <w:szCs w:val="20"/>
                <w:color w:val="auto"/>
              </w:rPr>
            </w:pPr>
            <w:r>
              <w:rPr>
                <w:rFonts w:ascii="Arial" w:cs="Arial" w:eastAsia="Arial" w:hAnsi="Arial"/>
                <w:sz w:val="18"/>
                <w:szCs w:val="18"/>
                <w:color w:val="0000FF"/>
              </w:rPr>
              <w:t>08/29/2019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5,000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34"/>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11.22</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1,474,097</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6"/>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20" w:type="dxa"/>
            <w:vAlign w:val="bottom"/>
            <w:gridSpan w:val="13"/>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366,274 ordinary shares subject to repurchase pursuant to a Common Stock Purchase Agreement, dated March 4, 2013, as amended on September 27, 2017, by and between the Reporting Person and the Issuer.</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Jeffrey Baumel, attorney-in- </w:t>
      </w:r>
      <w:r>
        <w:rPr>
          <w:rFonts w:ascii="Arial" w:cs="Arial" w:eastAsia="Arial" w:hAnsi="Arial"/>
          <w:sz w:val="34"/>
          <w:szCs w:val="34"/>
          <w:color w:val="0000FF"/>
          <w:vertAlign w:val="subscript"/>
        </w:rPr>
        <w:t>08/30/2019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SEC FILINGS ON FORMS ID, 3, 4, 5, 144, SCHEDULES 13D and 13G</w:t>
      </w:r>
    </w:p>
    <w:p>
      <w:pPr>
        <w:jc w:val="center"/>
        <w:ind w:right="1879"/>
        <w:spacing w:after="0"/>
        <w:rPr>
          <w:sz w:val="20"/>
          <w:szCs w:val="20"/>
          <w:color w:val="auto"/>
        </w:rPr>
      </w:pPr>
      <w:r>
        <w:rPr>
          <w:rFonts w:ascii="Courier New" w:cs="Courier New" w:eastAsia="Courier New" w:hAnsi="Courier New"/>
          <w:sz w:val="18"/>
          <w:szCs w:val="18"/>
          <w:color w:val="auto"/>
        </w:rPr>
        <w:t>IN RESPECT OF SECURITIES OF</w:t>
      </w:r>
    </w:p>
    <w:p>
      <w:pPr>
        <w:jc w:val="center"/>
        <w:ind w:right="1879"/>
        <w:spacing w:after="0" w:line="237" w:lineRule="auto"/>
        <w:rPr>
          <w:sz w:val="20"/>
          <w:szCs w:val="20"/>
          <w:color w:val="auto"/>
        </w:rPr>
      </w:pPr>
      <w:r>
        <w:rPr>
          <w:rFonts w:ascii="Courier New" w:cs="Courier New" w:eastAsia="Courier New" w:hAnsi="Courier New"/>
          <w:sz w:val="18"/>
          <w:szCs w:val="18"/>
          <w:color w:val="auto"/>
        </w:rPr>
        <w:t>ARCTURUS THERAPEUTICS HOLDINGS INC.</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Jeffrey Baumel and Ilan Katz as his or her true and lawful attorneys-in-fact and agents, each with full power of substitution and resubstitution for him or her in his or her name and stead in any and all capacities, to sign and file for and on his or her behalf, in respect of any acquisition, disposition or other change in ownership of any Common Stock or derivative securities thereof of Arcturus Therapeutics Holdings Inc. (the "Company"), the following:</w:t>
      </w:r>
    </w:p>
    <w:p>
      <w:pPr>
        <w:spacing w:after="0" w:line="211" w:lineRule="exact"/>
        <w:rPr>
          <w:sz w:val="20"/>
          <w:szCs w:val="20"/>
          <w:color w:val="auto"/>
        </w:rPr>
      </w:pPr>
    </w:p>
    <w:p>
      <w:pPr>
        <w:ind w:left="1380" w:right="1779" w:hanging="740"/>
        <w:spacing w:after="0" w:line="235"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Form ID to be filed with the Securities and Exchange Commission (the "SEC");</w:t>
      </w:r>
    </w:p>
    <w:p>
      <w:pPr>
        <w:spacing w:after="0" w:line="208" w:lineRule="exact"/>
        <w:rPr>
          <w:rFonts w:ascii="Courier New" w:cs="Courier New" w:eastAsia="Courier New" w:hAnsi="Courier New"/>
          <w:sz w:val="18"/>
          <w:szCs w:val="18"/>
          <w:color w:val="auto"/>
        </w:rPr>
      </w:pPr>
    </w:p>
    <w:p>
      <w:pPr>
        <w:ind w:left="1380" w:right="2319" w:hanging="740"/>
        <w:spacing w:after="0" w:line="235"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Statement of Beneficial Ownership of Securities on Form 3 to be filed with the SEC;</w:t>
      </w:r>
    </w:p>
    <w:p>
      <w:pPr>
        <w:spacing w:after="0" w:line="208" w:lineRule="exact"/>
        <w:rPr>
          <w:rFonts w:ascii="Courier New" w:cs="Courier New" w:eastAsia="Courier New" w:hAnsi="Courier New"/>
          <w:sz w:val="18"/>
          <w:szCs w:val="18"/>
          <w:color w:val="auto"/>
        </w:rPr>
      </w:pPr>
    </w:p>
    <w:p>
      <w:pPr>
        <w:ind w:left="1380" w:right="1999" w:hanging="740"/>
        <w:spacing w:after="0" w:line="235"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Statement of Changes of Beneficial Ownership of Securities on Form 4 to be filed with the SEC;</w:t>
      </w:r>
    </w:p>
    <w:p>
      <w:pPr>
        <w:spacing w:after="0" w:line="208" w:lineRule="exact"/>
        <w:rPr>
          <w:rFonts w:ascii="Courier New" w:cs="Courier New" w:eastAsia="Courier New" w:hAnsi="Courier New"/>
          <w:sz w:val="18"/>
          <w:szCs w:val="18"/>
          <w:color w:val="auto"/>
        </w:rPr>
      </w:pPr>
    </w:p>
    <w:p>
      <w:pPr>
        <w:ind w:left="1380" w:right="2419" w:hanging="740"/>
        <w:spacing w:after="0" w:line="235"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Annual Statement of Beneficial Ownership of Securities on Form 5 to be filed with the SEC;</w:t>
      </w:r>
    </w:p>
    <w:p>
      <w:pPr>
        <w:spacing w:after="0" w:line="208" w:lineRule="exact"/>
        <w:rPr>
          <w:rFonts w:ascii="Courier New" w:cs="Courier New" w:eastAsia="Courier New" w:hAnsi="Courier New"/>
          <w:sz w:val="18"/>
          <w:szCs w:val="18"/>
          <w:color w:val="auto"/>
        </w:rPr>
      </w:pPr>
    </w:p>
    <w:p>
      <w:pPr>
        <w:ind w:left="1380" w:right="1999" w:hanging="740"/>
        <w:spacing w:after="0" w:line="235"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of Proposed Sale of Securities on Form 144 to be filed with the SEC;</w:t>
      </w:r>
    </w:p>
    <w:p>
      <w:pPr>
        <w:spacing w:after="0" w:line="208" w:lineRule="exact"/>
        <w:rPr>
          <w:rFonts w:ascii="Courier New" w:cs="Courier New" w:eastAsia="Courier New" w:hAnsi="Courier New"/>
          <w:sz w:val="18"/>
          <w:szCs w:val="18"/>
          <w:color w:val="auto"/>
        </w:rPr>
      </w:pPr>
    </w:p>
    <w:p>
      <w:pPr>
        <w:ind w:left="1380" w:right="1779" w:hanging="740"/>
        <w:spacing w:after="0" w:line="237"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any other forms or reports the undersigned may be required to file in connection with the undersigned's ownership, acquisition or disposition of securities of the Company, including Schedules 13G and 13D; and</w:t>
      </w:r>
    </w:p>
    <w:p>
      <w:pPr>
        <w:spacing w:after="0" w:line="207" w:lineRule="exact"/>
        <w:rPr>
          <w:rFonts w:ascii="Courier New" w:cs="Courier New" w:eastAsia="Courier New" w:hAnsi="Courier New"/>
          <w:sz w:val="18"/>
          <w:szCs w:val="18"/>
          <w:color w:val="auto"/>
        </w:rPr>
      </w:pPr>
    </w:p>
    <w:p>
      <w:pPr>
        <w:ind w:left="1380" w:right="1779" w:hanging="740"/>
        <w:spacing w:after="0" w:line="270" w:lineRule="auto"/>
        <w:tabs>
          <w:tab w:leader="none" w:pos="13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agreements, certificates, receipts, or other documents in connection therewith. The undersigned hereby gives full power and authority to each attorney-in-fact to seek and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such information to the undersigned and approves and ratifies any such release of information. The undersigned hereby grants unto each attorney-in-fact and agent full power and authority to do and perform each and every act and thing requisite and necessary in connection with such matters and hereby ratifies and confirms all that any such attorney-in-fact and agent or substitute may do or cause to be done by virtue hereof. The undersigned acknowledges that:</w:t>
      </w:r>
    </w:p>
    <w:p>
      <w:pPr>
        <w:spacing w:after="0" w:line="380" w:lineRule="exact"/>
        <w:rPr>
          <w:rFonts w:ascii="Courier New" w:cs="Courier New" w:eastAsia="Courier New" w:hAnsi="Courier New"/>
          <w:sz w:val="16"/>
          <w:szCs w:val="16"/>
          <w:color w:val="auto"/>
        </w:rPr>
      </w:pPr>
    </w:p>
    <w:p>
      <w:pPr>
        <w:ind w:left="1900" w:hanging="523"/>
        <w:spacing w:after="0"/>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such attorney-in-fact assumes</w:t>
      </w:r>
    </w:p>
    <w:p>
      <w:pPr>
        <w:ind w:left="2320" w:hanging="416"/>
        <w:spacing w:after="0" w:line="238" w:lineRule="auto"/>
        <w:tabs>
          <w:tab w:leader="none" w:pos="232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the undersigned's responsibility to</w:t>
      </w:r>
    </w:p>
    <w:p>
      <w:pPr>
        <w:spacing w:after="0" w:line="4" w:lineRule="exact"/>
        <w:rPr>
          <w:rFonts w:ascii="Courier New" w:cs="Courier New" w:eastAsia="Courier New" w:hAnsi="Courier New"/>
          <w:sz w:val="18"/>
          <w:szCs w:val="18"/>
          <w:color w:val="auto"/>
        </w:rPr>
      </w:pPr>
    </w:p>
    <w:p>
      <w:pPr>
        <w:ind w:left="19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comply with the requirement of the Securities Exchange Act of 1934, as amended (the "Exchange Act"), (ii) any liability of the undersigned for any failure to comply with such requirements or (iii) any obligation or liability of the undersigned for profit disgorgement under Section 16(b) of the Exchange Act; and</w:t>
      </w:r>
    </w:p>
    <w:p>
      <w:pPr>
        <w:spacing w:after="0" w:line="209" w:lineRule="exact"/>
        <w:rPr>
          <w:rFonts w:ascii="Courier New" w:cs="Courier New" w:eastAsia="Courier New" w:hAnsi="Courier New"/>
          <w:sz w:val="18"/>
          <w:szCs w:val="18"/>
          <w:color w:val="auto"/>
        </w:rPr>
      </w:pPr>
    </w:p>
    <w:p>
      <w:pPr>
        <w:ind w:left="1900" w:right="1879" w:hanging="523"/>
        <w:spacing w:after="0" w:line="237" w:lineRule="auto"/>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 This Power of Attorney shall remain in full force and effect until revoked by the undersigned in a signed writing delivered to such attorney-in-fact.</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executed this Power of Attorney.</w:t>
      </w:r>
    </w:p>
    <w:p>
      <w:pPr>
        <w:sectPr>
          <w:pgSz w:w="11900" w:h="16838" w:orient="portrait"/>
          <w:cols w:equalWidth="0" w:num="1">
            <w:col w:w="10219"/>
          </w:cols>
          <w:pgMar w:left="240" w:top="136" w:right="1440" w:bottom="3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15,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Payne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Joseph Payne</w:t>
      </w:r>
    </w:p>
    <w:sectPr>
      <w:pgSz w:w="11900" w:h="16838" w:orient="portrait"/>
      <w:cols w:equalWidth="0" w:num="3">
        <w:col w:w="540" w:space="200"/>
        <w:col w:w="2560" w:space="720"/>
        <w:col w:w="6199"/>
      </w:cols>
      <w:pgMar w:left="240" w:top="136" w:right="1440" w:bottom="3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7315"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2019-12-23T16:03:07Z</dcterms:created>
  <dcterms:modified xsi:type="dcterms:W3CDTF">2019-12-23T16:03:07Z</dcterms:modified>
</cp:coreProperties>
</file>