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December 23, 2022</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p>
      <w:pPr>
        <w:spacing w:after="0" w:line="200" w:lineRule="exact"/>
        <w:rPr>
          <w:sz w:val="24"/>
          <w:szCs w:val="24"/>
          <w:color w:val="auto"/>
        </w:rPr>
      </w:pP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203" w:lineRule="exact"/>
        <w:rPr>
          <w:sz w:val="24"/>
          <w:szCs w:val="24"/>
          <w:color w:val="auto"/>
        </w:rPr>
      </w:pPr>
    </w:p>
    <w:tbl>
      <w:tblPr>
        <w:tblLayout w:type="fixed"/>
        <w:tblInd w:w="1660" w:type="dxa"/>
        <w:tblCellMar>
          <w:top w:w="0" w:type="dxa"/>
          <w:left w:w="0" w:type="dxa"/>
          <w:bottom w:w="0" w:type="dxa"/>
          <w:right w:w="0" w:type="dxa"/>
        </w:tblCellMar>
      </w:tblPr>
      <w:tr>
        <w:trPr>
          <w:trHeight w:val="216"/>
        </w:trPr>
        <w:tc>
          <w:tcPr>
            <w:tcW w:w="410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32-0595345</w:t>
            </w:r>
          </w:p>
        </w:tc>
      </w:tr>
      <w:tr>
        <w:trPr>
          <w:trHeight w:val="216"/>
        </w:trPr>
        <w:tc>
          <w:tcPr>
            <w:tcW w:w="410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0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10628 Science Center Drive, Suite 250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(858) 900-2660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Joseph E. Payne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10628 Science Center Drive, Suite 250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(858) 900-2660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_________________________</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Jeffrey A. Baumel, Esq.</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Ilan Katz, Esq.</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Dentons US LLP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20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25" w:lineRule="exact"/>
        <w:rPr>
          <w:sz w:val="24"/>
          <w:szCs w:val="24"/>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public</w:t>
      </w:r>
      <w:r>
        <w:rPr>
          <w:rFonts w:ascii="Times New Roman" w:cs="Times New Roman" w:eastAsia="Times New Roman" w:hAnsi="Times New Roman"/>
          <w:sz w:val="18"/>
          <w:szCs w:val="18"/>
          <w:color w:val="auto"/>
        </w:rPr>
        <w:t>: From time to time or at one time after this registration statement becomes effective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light of market conditions and other factors.</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5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26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4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87" w:orient="portrait"/>
          <w:cols w:equalWidth="0" w:num="1">
            <w:col w:w="11220"/>
          </w:cols>
          <w:pgMar w:left="320" w:top="468" w:right="359" w:bottom="0" w:gutter="0" w:footer="0" w:header="0"/>
        </w:sectPr>
      </w:pPr>
    </w:p>
    <w:p>
      <w:pPr>
        <w:spacing w:after="0" w:line="16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87" w:orient="portrait"/>
          <w:cols w:equalWidth="0" w:num="4">
            <w:col w:w="2100" w:space="720"/>
            <w:col w:w="2080" w:space="720"/>
            <w:col w:w="2100" w:space="720"/>
            <w:col w:w="2780"/>
          </w:cols>
          <w:pgMar w:left="320" w:top="468" w:right="359" w:bottom="0" w:gutter="0" w:footer="0" w:header="0"/>
          <w:type w:val="continuous"/>
        </w:sectPr>
      </w:pPr>
    </w:p>
    <w:bookmarkStart w:id="1" w:name="page2"/>
    <w:bookmarkEnd w:id="1"/>
    <w:p>
      <w:pPr>
        <w:spacing w:after="0" w:line="207" w:lineRule="exact"/>
        <w:tabs>
          <w:tab w:leader="none" w:pos="28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5"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9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registration statement contains two prospectuses:</w:t>
      </w:r>
    </w:p>
    <w:p>
      <w:pPr>
        <w:spacing w:after="0" w:line="225" w:lineRule="exact"/>
        <w:rPr>
          <w:sz w:val="20"/>
          <w:szCs w:val="20"/>
          <w:color w:val="auto"/>
        </w:rPr>
      </w:pPr>
    </w:p>
    <w:p>
      <w:pPr>
        <w:ind w:left="660" w:hanging="328"/>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(the “Base Prospectus”), which covers the offering, issuance and sale by us of up to a maximum aggregate offering price of $500,000,000 of shares of our common stock and preferred stock, various series of debt securities and/or warrants to purchase any of such securities. We may also issue units comprised of one or more shares of common stock, shares of preferred stock, debt securities, warrants and/or rights in any combination. We may also offer common stock or preferred stock upon conversion of debt securities, common stock upon conversion of preferred stock, or common stock, preferred stock or debt securities upon the exercise of warrants; and</w:t>
      </w:r>
    </w:p>
    <w:p>
      <w:pPr>
        <w:spacing w:after="0" w:line="183" w:lineRule="exact"/>
        <w:rPr>
          <w:rFonts w:ascii="Times New Roman" w:cs="Times New Roman" w:eastAsia="Times New Roman" w:hAnsi="Times New Roman"/>
          <w:sz w:val="18"/>
          <w:szCs w:val="18"/>
          <w:color w:val="auto"/>
        </w:rPr>
      </w:pPr>
    </w:p>
    <w:p>
      <w:pPr>
        <w:ind w:left="660" w:right="200" w:hanging="328"/>
        <w:spacing w:after="0" w:line="219" w:lineRule="exact"/>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prospectus (the “ATM Prospectus”) for an “at the market offering” by us of up to $200,000,000 of our common stock that may be offered and sold under a Controlled Equity Offering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Agreement (the “Sales Agreement”) between us, and Cantor Fitzgerald &amp; Co. and Wells Fargo Securities, LLC, as agents. The common stock that may be offered and sold by us under the ATM Prospectus is included in the $500,000,000 of securities that may be offered and sold by us under the Base Prospectus. Upon termination of the “at the market” offering, any portion of the $200,000,000 included in the ATM Prospectus that is not sold pursuant thereto will be available for sale in other offerings pursuant to the Base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Base Prospectus immediately follows this explanatory note. The ATM Prospectus immediately follows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3" w:name="page4"/>
    <w:bookmarkEnd w:id="3"/>
    <w:p>
      <w:pPr>
        <w:ind w:right="620"/>
        <w:spacing w:after="0" w:line="268" w:lineRule="auto"/>
        <w:rPr>
          <w:sz w:val="20"/>
          <w:szCs w:val="20"/>
          <w:color w:val="auto"/>
        </w:rPr>
      </w:pPr>
      <w:r>
        <w:rPr>
          <w:rFonts w:ascii="Times New Roman" w:cs="Times New Roman" w:eastAsia="Times New Roman" w:hAnsi="Times New Roman"/>
          <w:sz w:val="18"/>
          <w:szCs w:val="18"/>
          <w:b w:val="1"/>
          <w:bCs w:val="1"/>
          <w:color w:val="EB0029"/>
        </w:rPr>
        <w:t>The information in this prospectus is not complete and may be changed. The Registrant may not sell these securities until the registration statement filed with the Securities and Exchange Commission is effective. This prospectus is not an offer to sell these securities and it is not soliciting an offer to buy these securities in any state where an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EB0029"/>
        </w:rPr>
        <w:t>SUBJECT TO COMPLETION, DATED DECEMBER 23,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156845</wp:posOffset>
            </wp:positionV>
            <wp:extent cx="2040255"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025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time to time, we may offer and sell up to an aggregate of $500,000,000 of any combination of the securities described in this prospectus, either individually or in combination. We may also offer common stock or preferred stock upon conversion of debt securities, common stock upon conversion of preferred stock, or common stock, preferred stock or debt securities upon the exercise of warrants. We may also issue units comprised of one or more shares of common stock, shares of preferred stock, debt securities, warrants and/or rights in any combination.</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When we decide to sell particular securities, we will provide you with the specific terms and the offering price of the securities we are then offering in one or more prospectus supplements to this prospectus. The prospectus supplement may add to, change or update information contained in this prospectus. The prospectus supplement may also contain important information about U.S. federal income tax consequences. You should carefully read this prospectus, together with any prospectus supplements and information incorporated by reference in this prospectus and any prospectus supplements, before you decide to invest. </w:t>
      </w: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common stock is quoted on The Nasdaq Global Market under the trading symbol “ARCT.” Any common stock sold pursuant to this prospectus or any prospectus supplement will be listed on that exchange, subject to official notice of issuance. Each prospectus supplement to this prospectus will contain information, where applicable, as to any other listing on any national securities exchange of the securities covered by the prospectus supplement. On December 19, 2022, the last reported sale price of our common stock was $16.76 per share.</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We may offer and sell the securities described in this prospectus to or through one or more underwriters, dealers or agents, or directly to purchasers on an immediate, continuous or delayed basis. The names of any underwriters, dealers or agents involved in the sale of any securities, the specific manner in which they may be offered and any applicable commissions or discounts will be set forth in an accompanying prospectus supplement covering the sales of those securities. </w:t>
      </w:r>
      <w:r>
        <w:rPr>
          <w:rFonts w:ascii="Times New Roman" w:cs="Times New Roman" w:eastAsia="Times New Roman" w:hAnsi="Times New Roman"/>
          <w:sz w:val="18"/>
          <w:szCs w:val="18"/>
          <w:b w:val="1"/>
          <w:bCs w:val="1"/>
          <w:color w:val="auto"/>
        </w:rPr>
        <w:t>Investing in our securities involves significant risks. See “Risk Factors” beginning on page 5.</w:t>
      </w:r>
    </w:p>
    <w:p>
      <w:pPr>
        <w:spacing w:after="0" w:line="176"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870"/>
              <w:spacing w:after="0"/>
              <w:rPr>
                <w:sz w:val="20"/>
                <w:szCs w:val="20"/>
                <w:color w:val="auto"/>
              </w:rPr>
            </w:pPr>
            <w:r>
              <w:rPr>
                <w:rFonts w:ascii="Times New Roman" w:cs="Times New Roman" w:eastAsia="Times New Roman" w:hAnsi="Times New Roman"/>
                <w:sz w:val="18"/>
                <w:szCs w:val="18"/>
                <w:b w:val="1"/>
                <w:bCs w:val="1"/>
                <w:color w:val="auto"/>
              </w:rPr>
              <w:t>, 2022.</w:t>
            </w:r>
          </w:p>
        </w:tc>
      </w:tr>
      <w:tr>
        <w:trPr>
          <w:trHeight w:val="567"/>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2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20" w:type="dxa"/>
            <w:vAlign w:val="bottom"/>
          </w:tcPr>
          <w:p>
            <w:pPr>
              <w:spacing w:after="0"/>
              <w:rPr>
                <w:sz w:val="24"/>
                <w:szCs w:val="24"/>
                <w:color w:val="auto"/>
              </w:rPr>
            </w:pPr>
          </w:p>
        </w:tc>
        <w:tc>
          <w:tcPr>
            <w:tcW w:w="254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PROSPECTUS SUMMARY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CAPITAL STOCK WE MAY OFFER</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DEBT SECURITIES WE MAY OFFER</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WARRANTS WE MAY OFFER</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RIGHTS WE MAY OFFER</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UNITS WE MAY OFFER</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INCORPORATED BY REFERENCE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(the “SEC”) using a “shelf” registration process. Under this shelf registration process, we may, from time to time, offer and sell common stock, preferred stock, debt securities, warrants for debt and equity securities, rights to purchase common stock, preferred stock, or warrants in one or more series, and units consisting of the foregoing in one or more transactions.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prospectus only provides you with a general description of the securities we may sell in these transactions. Each time we sell any securities under this prospectus, we will provide a prospectus supplement that will contain specific information about the terms of that offering. The prospectus supplement also may add, update or change information contained in this prospectus. We may also authorize one or more free writing prospectuses to be provided to you that may contain material information relating to these offerings. This prospectus does not contain all of the information included in the registration statement we filed with the SEC. For further information about us or the securities offered hereby, you should carefully read this prospectus, any applicable prospectus supplement, any related free writing prospectuses, the information and documents incorporated herein by reference and the additional information under the heading “Where You Can Find Additional Information” before making an investment decision.</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any applicable prospectus supplement and any related free writing prospectuses that we may authorize to be provided to you. We have not authorized any other person to provide you with different information. If anyone provides you with different or inconsistent information, you should not rely on it. This prospectus and the accompanying supplement to this prospectus are not an offer to sell these securities and it is not soliciting an offer to buy these securities in any jurisdiction where the offer or sale is not permitted. You should assume that the information appearing in this prospectus, any applicable prospectus supplement or any related free writing prospectuses, as well as information we have previously filed with the SEC and incorporated by reference, is accurate only as of the date on the cover of those documents.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8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any of these securities unless it is accompanied by a prospectus supplement. To the extent there are inconsistencies between any prospectus supplement, this prospectus and/or any documents incorporated by reference, the document with the most recent date will control.</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this prospectus and any prospectus supplement, unless otherwise stated or the context otherwise indicates, references to “ARCT,” “Arcturus,” “the Company,” “we,” “us,” “our” and similar references refer to Arcturus Therapeutics Holdings Inc., a Delaware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Arcturus logo and other trademarks of Arcturus appearing in this prospectus are the property of Arcturus. All other trademarks, service marks and trade names in this prospectus are the property of their respective owners. Solely for convenience, trademarks and trade names referred to in this report may appear without the ® or ™ symbols.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 Unless otherwise indicated or the context otherwise requires, the terms the “Company,” “Arcturus Therapeutics,” “we,” “us” and “our” refer to Arcturus Therapeutics Holdings Inc., a Delaware corporation, and its predecessors and consolidated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Arcturus is a global late-stage clinical messenger RNA medicines company focused on the development of infectious disease vaccines and significant opportunities within liver and respiratory rare diseases. In addition to our messenger RNA (“mRNA”) platform, our proprietary lipid nanoparticle delivery</w:t>
      </w:r>
    </w:p>
    <w:p>
      <w:pPr>
        <w:spacing w:after="0" w:line="1" w:lineRule="exact"/>
        <w:rPr>
          <w:sz w:val="20"/>
          <w:szCs w:val="20"/>
          <w:color w:val="auto"/>
        </w:rPr>
      </w:pPr>
    </w:p>
    <w:p>
      <w:pPr>
        <w:ind w:right="160"/>
        <w:spacing w:after="0" w:line="219" w:lineRule="auto"/>
        <w:rPr>
          <w:sz w:val="20"/>
          <w:szCs w:val="20"/>
          <w:color w:val="auto"/>
        </w:rPr>
      </w:pPr>
      <w:r>
        <w:rPr>
          <w:rFonts w:ascii="Times New Roman" w:cs="Times New Roman" w:eastAsia="Times New Roman" w:hAnsi="Times New Roman"/>
          <w:sz w:val="17"/>
          <w:szCs w:val="17"/>
          <w:color w:val="auto"/>
        </w:rPr>
        <w:t>system, LUNAR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has the potential to enable multiple nucleic acid medicines, and our proprietary self-amplifying mRNA technology (Self-Transcribing and Replicating RNA or STARR™) technology has the potential to provide longer-lasting RNA and sustained protein expression at lower dose levels.</w:t>
      </w:r>
    </w:p>
    <w:p>
      <w:pPr>
        <w:spacing w:after="0" w:line="202" w:lineRule="exact"/>
        <w:rPr>
          <w:sz w:val="20"/>
          <w:szCs w:val="20"/>
          <w:color w:val="auto"/>
        </w:rPr>
      </w:pPr>
    </w:p>
    <w:p>
      <w:pPr>
        <w:ind w:right="360"/>
        <w:spacing w:after="0" w:line="225" w:lineRule="auto"/>
        <w:rPr>
          <w:sz w:val="20"/>
          <w:szCs w:val="20"/>
          <w:color w:val="auto"/>
        </w:rPr>
      </w:pPr>
      <w:r>
        <w:rPr>
          <w:rFonts w:ascii="Times New Roman" w:cs="Times New Roman" w:eastAsia="Times New Roman" w:hAnsi="Times New Roman"/>
          <w:sz w:val="17"/>
          <w:szCs w:val="17"/>
          <w:color w:val="auto"/>
        </w:rPr>
        <w:t>We are leveraging our proprietary platform relating to LUNAR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our nucleic acid technologies to develop and advance a pipeline of mRNA-based vaccines and therapeutics for the prevention of infectious diseases and treatment of rare genetic disorders with significant unmet medical needs. We</w:t>
      </w:r>
    </w:p>
    <w:p>
      <w:pPr>
        <w:spacing w:after="0" w:line="2"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continue to expand this platform with innovative delivery solutions that allow us to expand our discovery efforts. Our proprietary LUNAR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technology is intended to address major hurdles in RNA drug development, such as the effective and safe delivery of RNA therapeutics to disease-relevant target tissues and for RNA vaccines the mitigation of challenges associated with cold chain storage and distribution via lyophilization. We believe the versatility of our platform to target multiple tissues, its compatibility with various nucleic acid therapeutics, and our expertise in developing scalable manufacturing processes will allow us to deliver on the next generation of nucleic acid medicines.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and commenced trading on Nasdaq under the symbol “ARCT.” On June 17, 2019, we redomiciled to the United States and changed our name to Arcturus Therapeutics Holdings Inc.</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10628 Science Center Drive, Suite 250, San Diego, California 92121, and our telephone number is (858) 900-2660. Our website is located at https://arcturusrx.com. We do not incorporate by reference into this prospectus the information on, or accessible through, our website. Our common stock trades on The Nasdaq Global Market under the symbol “ARCT”.</w:t>
      </w: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98"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Securities We May Offer Under This Prospectus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offer shares of our common stock and preferred stock, various series of debt securities and/or warrants to purchase any of such securities, either individually or in combination, up to a total dollar amount of $500,000,000, from time to time under this prospectus, together with the applicable prospectus supplement and any related free writing prospectus, at prices and on terms to be determined by market conditions at the time of any offering. We may also offer common stock, preferred stock and/or debt securities upon the exercise of warrants, and we may offer common stock or preferred stock upon the conversion of preferred stock or debt securities.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9"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9" w:lineRule="exact"/>
        <w:rPr>
          <w:rFonts w:ascii="Times New Roman" w:cs="Times New Roman" w:eastAsia="Times New Roman" w:hAnsi="Times New Roman"/>
          <w:sz w:val="18"/>
          <w:szCs w:val="18"/>
          <w:color w:val="auto"/>
        </w:rPr>
      </w:pPr>
    </w:p>
    <w:p>
      <w:pPr>
        <w:ind w:left="980" w:right="160" w:hanging="324"/>
        <w:spacing w:after="0" w:line="250"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or special U.S. federal income tax considerations, if any.</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and certain information incorporated herein by reference contains forward-looking statements that involve risks and uncertainties. Our actual results could differ materially from those discussed in the forward-looking statements. The statements contained in this prospectus that are not purely historical are forward-looking statements within the meaning of Section 27A of the Securities Act of 1933, as amended (the “Securities Act”), and Section 21E of the Securities Exchange Act of 1934, as amended (the “Exchange Act”). Forward-looking statements are often identified by the use of words such as, but not limited to, “anticipate,” “believe,” “can,” “continue,” “could,” “estimate,” “expect,” “intend,” “may,” “plan,” “project,” “seek,” “should,” “strategy,”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might cause these differences include the following:</w:t>
      </w:r>
    </w:p>
    <w:p>
      <w:pPr>
        <w:spacing w:after="0" w:line="225" w:lineRule="exact"/>
        <w:rPr>
          <w:sz w:val="20"/>
          <w:szCs w:val="20"/>
          <w:color w:val="auto"/>
        </w:rPr>
      </w:pPr>
    </w:p>
    <w:p>
      <w:pPr>
        <w:ind w:left="660" w:right="100" w:hanging="328"/>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spacing w:after="0" w:line="1" w:lineRule="exact"/>
        <w:rPr>
          <w:rFonts w:ascii="Times New Roman" w:cs="Times New Roman" w:eastAsia="Times New Roman" w:hAnsi="Times New Roman"/>
          <w:sz w:val="18"/>
          <w:szCs w:val="18"/>
          <w:color w:val="auto"/>
        </w:rPr>
      </w:pPr>
    </w:p>
    <w:p>
      <w:pPr>
        <w:ind w:left="660" w:right="7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success and benefits of our arrangements with private and governmental entities, some of which are subject to termination for convenience by our counterparties;</w:t>
      </w:r>
    </w:p>
    <w:p>
      <w:pPr>
        <w:ind w:left="660" w:right="1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filings, submissions and notices related to our commercial arrangements, including those made to the U.S. Federal Trade Commission and Department of Justice pursuant to the Hart-Scott-Rodino Antitrust Improvements Act of 1976;</w:t>
      </w:r>
    </w:p>
    <w:p>
      <w:pPr>
        <w:ind w:left="660" w:right="1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and benefits of our technologies and product candidates on their own and in comparison to technologies, drugs or courses of treatment currently available or that may be developed by competitors;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clinical data will be sufficient for regulatory approval;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for receipt of data or results of a study or clinical trial, including the anticipated data for our ARCT-810 trial;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or timing of any regulatory approval;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administration regimen or dosage, or ability to administer multiple doses of, any of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and/or warnings in the label of an approved product candidate;</w:t>
      </w:r>
    </w:p>
    <w:p>
      <w:pPr>
        <w:ind w:left="660" w:right="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our expectations regarding future therapeutic and commercial potential with respect to, our product candidates;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with regulatory authorities in the United States and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experienced and seasoned scientific and management professionals to lead the Company;</w:t>
      </w:r>
    </w:p>
    <w:p>
      <w:pPr>
        <w:spacing w:after="0" w:line="9"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 partners’ election to pursue development and commercialization of any programs or product candidates that are subject to our collaboration and license agreements with such partners;</w:t>
      </w:r>
    </w:p>
    <w:p>
      <w:pPr>
        <w:ind w:left="660" w:right="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and success of our collaboration agreement with CSL Seqirus related to the licensure of our STARR™ mRNA technology and LUNAR® lipid-mediated delivery, including our timely receipt of potential royalty and other payments thereunder;</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collaborators with relevant development, regulatory and commercialization expertise;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activities to be undertaken by our strategic alliance partners, collaborators and other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 whether alone or with potential future collaborators;</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9" w:name="page10"/>
    <w:bookmarkEnd w:id="9"/>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settle or be victorious at costly litigation with shareholders, former executives or others, should these situations arise;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deploy funding for our operations and to efficiently use our financial and other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future expenses, future revenues, capital requirements and need for additional financing; and</w:t>
      </w:r>
    </w:p>
    <w:p>
      <w:pPr>
        <w:spacing w:after="0" w:line="9" w:lineRule="exact"/>
        <w:rPr>
          <w:rFonts w:ascii="Times New Roman" w:cs="Times New Roman" w:eastAsia="Times New Roman" w:hAnsi="Times New Roman"/>
          <w:sz w:val="18"/>
          <w:szCs w:val="18"/>
          <w:color w:val="auto"/>
        </w:rPr>
      </w:pPr>
    </w:p>
    <w:p>
      <w:pPr>
        <w:ind w:left="660" w:right="220" w:hanging="328"/>
        <w:spacing w:after="0" w:line="290"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factors (i) included in our Annual Report on Form 10-K for the fiscal year ended December 31, 2021, (ii) contained in our other SEC reports described under “Risk Factors,” (iii) described elsewhere in this prospectus, and (iv) that we may publicly disclose from time to time.</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urge you to consider these factors carefully in evaluating the forward-looking statements contained in this prospectus and any prospectus supplement. All subsequent written or oral forward-looking statements attributable to our company or persons acting on our behalf are expressly qualified in their entirety by these cautionary statements. The forward-looking statements included in this prospectus are made only as of the date of this prospectus. We undertake no obligation to update publicly any forward-looking statements, whether as a result of new information, future events or otherwise, except to the extent that we are required to do so by law.</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Before you invest in any of the company’s securities, in addition to the other information in this prospectus and the applicable prospectus supplement, you should carefully consider (i) the risk factors contained in the Company’s most recent annual report on Form 10-K and in our most recent quarterly reports on Form 10-Q, which are incorporated by reference into this prospectus, (ii) all of the other information included or incorporated by reference in this prospectus, and (iii) the applicable prospectus supplement, as the same may be updated from time to time by the Company’s future filings under the Exchange Act.</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risks and uncertainties described herein are not the only ones facing the Company. Additional risks and uncertainties not presently known to the Company or that the Company currently deems immaterial may also impair its business or operations. Any adverse effect on the Company’s business, financial condition or operating results could result in a decline in the value of the securities and the loss of all or part of your investment. The prospectus supplement applicable to each series of securities the Company offers may contain a discussion of additional risks applicable to an investment in the Company and the securities the Company is offering under that prospectus supplement.</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prospectus supplement, we will use the net proceeds from the sale of securities offered by this prospectus for sales and marketing, working capital, and general corporate purposes. In addition, we believe opportunities may exist from time to time to expand our current business through acquisitions or in-licenses of, or investments in, complementary companies, medicines, intellectual property or technologies. While we have no current agreements or commitments for any specific acquisitions, in-licenses or investments at this time, we may use a portion of the net proceeds for these purposes. As of the date of this prospectus, we have not identified any specific and material proposed uses of the anticipated proceeds.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expected use of net proceeds from the sale of any securities offered pursuant to the applicable prospectus supplement for such offering will vary depending on our then current intentions based upon our plans and business condition. As of the date of this prospectus, we cannot predict with certainty all of the particular uses for the net proceeds to be received upon the completion of any offering or the amounts that we will actually spend on any specific uses set forth above. The amounts and timing of our actual use of the net proceeds will vary depending on numerous factors, including the factors described under or referenced under the heading “Risk Factors” in this prospectus. As a result, unless otherwise specified in the prospectus supplement, our management will have broad discretion in its application of the net proceeds, and investors will be relying on our judgment in such application.</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Pending use of net proceeds from the sale of securities offered by this prospectus and the applicable prospectus supplement for such sale, we may invest in short-term and intermediate-term interest-bearing obligations, investment-grade instruments, certificates of deposit or direct or guaranteed obligations of the U.S. government.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offer debt securities and/or preference equity securities under this prospectus, then we will, if required at that time, provide a ratio of earnings to fixed charges and/or ratio of combined fixed charges and preference dividends to earnings, respectively, in the applicable prospectus supplement for such offering.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 WE MAY OFFER</w:t>
      </w:r>
    </w:p>
    <w:p>
      <w:pPr>
        <w:spacing w:after="0" w:line="22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summarizes important terms of our capital stock. For a complete description, you should refer to our certificate of incorporation, as amended, and bylaws, which are incorporated by reference as exhibits to the registration statement of which this prospectus is a part, as well as the relevant portions of the Delaware General Corporation Law (the “DGCL”).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$0.001 per share, and 10,000,000 shares of preferred stock, par value $0.001 per share.</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common stock and preferred stock, together with the additional information included in any applicable prospectus supplements or related free writing prospectuses, summarizes the material terms and provisions of these types of securities, but it is not complete. For the complete terms of our common stock and preferred stock, please refer to our certificate of incorporation, as amended, and our bylaws that are incorporated by reference into the registration statement which includes this prospectus and, with respect to preferred stock, any certificate of designation that we may file with the SEC for a series of preferred stock we may designate, if any.</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will describe in a prospectus supplement or related free writing prospectuses, the specific terms of any common stock or preferred stock we may offer pursuant to this prospectus. If indicated in a prospectus supplement, the terms of such common stock or preferred stock may differ from the terms described below.</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As of December 23, 2022, there were 26,555,483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and all shares of common stock to be issued under this prospectus will be, fully paid and non-assessable. The rights, preferences and privileges of holders of our common stock are subject to, and may be adversely affected by, the rights of the holders of shares of any of our outstanding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under the symbol “ARCT” on the Nasdaq Global Market.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not declared any cash dividends on our common stock since inception and we do not anticipate paying any cash dividends on our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are authorized to issue a total of 10,000,000 shares of preferred stock. As of December 23, 2022, there were no shares of preferred stock issued and outstanding.</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Preferred stock may be issued from time to time, in one or more series, as authorized by the board of directors, without stockholder approval. The prospectus supplement relating to the preferred shares offered thereby will include specific terms of any preferred shares offered, including, if applicable:</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shares of preferred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offered, the liquidation preference per share and the offering price of the shares of preferred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thereof applicable to the shares of preferred stock;</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preferred stock are cumulative or not and, if cumulative, the date from which dividends on the shares of preferred stock shall accumulate;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the shares of preferred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 sinking fund, if any, for the shares of preferred stock;</w:t>
      </w:r>
    </w:p>
    <w:p>
      <w:pPr>
        <w:spacing w:after="0" w:line="3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12" w:name="page13"/>
    <w:bookmarkEnd w:id="12"/>
    <w:p>
      <w:pPr>
        <w:ind w:left="660" w:right="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or repurchase, if applicable, and any restrictions on our ability to exercise those redemption and repurchase rights of the shares of preferred stock;</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shares of preferred stock on any securities exchange;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shares of preferred stock will be convertible into common shares, including the conversion price (or manner of calculation thereof);</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federal income tax considerations applicable to the shares of preferred stock;</w:t>
      </w:r>
    </w:p>
    <w:p>
      <w:pPr>
        <w:spacing w:after="0" w:line="25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shares of preferred stock as to dividend rights and rights upon liquidation, dissolution or winding up of our affairs;</w:t>
      </w:r>
    </w:p>
    <w:p>
      <w:pPr>
        <w:spacing w:after="0" w:line="18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series or class of shares of preferred stock ranking senior to or on a parity with such series or class of shares of preferred stock as to dividend rights and rights upon liquidation, dissolution or winding up of our affairs;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shares of preferred stock;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rights of such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any series or class of preferred stock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Anti-Takeover Effects of Delaware Law and our Charter Documents</w:t>
      </w:r>
    </w:p>
    <w:p>
      <w:pPr>
        <w:spacing w:after="0" w:line="22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Provisions of the Delaware General Corporation Law, or DGCL, our certificate of incorporation, as amended,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and Removal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 removal or otherwise or newly created directorships may be filled by the vote of the majority of directors then in office, although less than a quorum, or by a sole remaining director.</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29"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66 and 2/3%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Size of Board and Vacancies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as amended,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are denied the right to cumulate votes in the election of directors unless our certificate of incorporation, as amended, provides otherwise. Our certificate of incorporation, as amended, does not provide for cumulative voting.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holders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98"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Liability</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as amended, and 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 WE MAY OFFER</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or free writing prospectuses, summarizes the material terms and provisions of the debt securities that we may offer under this prospectus. We may issue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Unless the context requires otherwise, whenever we refer to the “indentures,” we also are referring to any supplemental indentures that specify the terms of a particular series of debt securities.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will issue any senior debt securities under the senior indenture that we will enter into with the trustee named in the senior indenture. We will issue any subordinated debt securities under the subordinated indenture and any supplemental indentures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Except as we may otherwise indicate, the terms of the senior indenture and the subordinated indenture are identical.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spacing w:after="0" w:line="18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being offered and, if a series, the total amount authorized and the total amount outstanding;</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amount that may be issued;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will issue the series of debt securities in global form, and, if so, the terms and who the depositary will be;</w:t>
      </w:r>
    </w:p>
    <w:p>
      <w:pPr>
        <w:spacing w:after="0" w:line="3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5" w:name="page16"/>
    <w:bookmarkEnd w:id="15"/>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w:t>
      </w:r>
    </w:p>
    <w:p>
      <w:pPr>
        <w:spacing w:after="0" w:line="252"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if any, we will pay additional amounts on any debt securities held by a person who is not a U.S. person for tax purposes, and whether we can redeem the debt securities if we have to pay such additional amounts;</w:t>
      </w:r>
    </w:p>
    <w:p>
      <w:pPr>
        <w:spacing w:after="0" w:line="188" w:lineRule="exact"/>
        <w:rPr>
          <w:rFonts w:ascii="Times New Roman" w:cs="Times New Roman" w:eastAsia="Times New Roman" w:hAnsi="Times New Roman"/>
          <w:sz w:val="18"/>
          <w:szCs w:val="18"/>
          <w:color w:val="auto"/>
        </w:rPr>
      </w:pPr>
    </w:p>
    <w:p>
      <w:pPr>
        <w:ind w:left="328" w:right="60"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8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will be payable;</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52" w:lineRule="exact"/>
        <w:rPr>
          <w:rFonts w:ascii="Times New Roman" w:cs="Times New Roman" w:eastAsia="Times New Roman" w:hAnsi="Times New Roman"/>
          <w:sz w:val="18"/>
          <w:szCs w:val="18"/>
          <w:color w:val="auto"/>
        </w:rPr>
      </w:pPr>
    </w:p>
    <w:p>
      <w:pPr>
        <w:ind w:left="328" w:right="660"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or provisional redemption provisions and the terms of those redemption provisions;</w:t>
      </w:r>
    </w:p>
    <w:p>
      <w:pPr>
        <w:spacing w:after="0" w:line="188" w:lineRule="exact"/>
        <w:rPr>
          <w:rFonts w:ascii="Times New Roman" w:cs="Times New Roman" w:eastAsia="Times New Roman" w:hAnsi="Times New Roman"/>
          <w:sz w:val="18"/>
          <w:szCs w:val="18"/>
          <w:color w:val="auto"/>
        </w:rPr>
      </w:pPr>
    </w:p>
    <w:p>
      <w:pPr>
        <w:ind w:left="328"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 including the date, if any, on which, and the price at which we are obligated, pursuant thereto or otherwise, to redeem, or at the holder’s option, to purchase, the series of debt securities and the currency or currency unit in which the debt securities are payable;</w:t>
      </w:r>
    </w:p>
    <w:p>
      <w:pPr>
        <w:spacing w:after="0" w:line="20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modification of the terms of the security or the rights of the security holder;</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or the ability of our subsidiaries to:</w:t>
      </w:r>
    </w:p>
    <w:p>
      <w:pPr>
        <w:spacing w:after="0" w:line="252"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52"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securities;</w:t>
      </w:r>
    </w:p>
    <w:p>
      <w:pPr>
        <w:spacing w:after="0" w:line="252"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252"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in respect of our capital stock or the capital stock of our subsidiaries;</w:t>
      </w:r>
    </w:p>
    <w:p>
      <w:pPr>
        <w:spacing w:after="0" w:line="252"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capital stock;</w:t>
      </w:r>
    </w:p>
    <w:p>
      <w:pPr>
        <w:spacing w:after="0" w:line="252"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our subsidiaries’ ability to pay dividends, make distributions or transfer assets;</w:t>
      </w:r>
    </w:p>
    <w:p>
      <w:pPr>
        <w:spacing w:after="0" w:line="252"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other restricted payments;</w:t>
      </w:r>
    </w:p>
    <w:p>
      <w:pPr>
        <w:spacing w:after="0" w:line="252"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252"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252"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stockholders or affiliates;</w:t>
      </w:r>
    </w:p>
    <w:p>
      <w:pPr>
        <w:spacing w:after="0" w:line="252"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stock of our subsidiaries; or</w:t>
      </w:r>
    </w:p>
    <w:p>
      <w:pPr>
        <w:spacing w:after="0" w:line="351"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8"/>
          </w:cols>
          <w:pgMar w:left="652" w:top="729" w:right="37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   effect a consolidation or merger;</w:t>
      </w:r>
    </w:p>
    <w:p>
      <w:pPr>
        <w:spacing w:after="0" w:line="25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require us to maintain any interest coverage, fixed charge, cash flow-based, asset-based or other financial ratios;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describing any book-entry features;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the provisions in the indenture on discharge;</w:t>
      </w:r>
    </w:p>
    <w:p>
      <w:pPr>
        <w:spacing w:after="0" w:line="252"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and</w:t>
      </w:r>
    </w:p>
    <w:p>
      <w:pPr>
        <w:spacing w:after="0" w:line="252"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p>
      <w:pPr>
        <w:spacing w:after="0" w:line="1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U.S. federal income tax consequences applicable to debt securities sold at an original issue discount will be described in the applicable prospectus supplement. In addition, U.S. federal income tax or other consequences applicable to any debt securities which are denominated in a currency or currency unit other than U.S. dollars may be described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acquiror of such assets must assume all of our obligations under the indentures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indentures with respect to any series of debt securities that we may issue:</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payable and our failure continues for 90 days and the time for payment has not been extended;</w:t>
      </w:r>
    </w:p>
    <w:p>
      <w:pPr>
        <w:spacing w:after="0" w:line="3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17" w:name="page18"/>
    <w:bookmarkEnd w:id="17"/>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premium or sinking fund payment, if any, when due and payable and the time for payment has not been extended;</w:t>
      </w:r>
    </w:p>
    <w:p>
      <w:pPr>
        <w:spacing w:after="0" w:line="252"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will describe in each applicable prospectus supplement any additional events of default relating to the relevant series of debt securities. 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Subject to the terms of the applicable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8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holders is not in conflict with any law or the applicable indenture;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indentures provide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 liability. Prior to taking any action under the indentures, the trustee will be entitled to indemnification against all costs, expenses and liabilities that would be incurred by taking or not taking such action.</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indentures or to appoint a receiver or trustee, or to seek other remedies only if:</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252"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a written request and such holders have offered reasonable indemnity to the trustee or security satisfactory to it against any loss, liability or expense to be incurred in compliance with instituting the proceeding as trustee; and</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18" w:name="page19"/>
    <w:bookmarkEnd w:id="18"/>
    <w:p>
      <w:pPr>
        <w:ind w:left="660" w:right="10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60 days after the notice, request and offer.</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indentures.</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indentures provide that if a default occurs and is continuing and is actually known to a responsible officer of the trustee, the trustee must mail to each holder notice of the default within 45 days after it occurs, unless such default has been cured. Except in the case of a default in the payment of principal or premium of, or interest on, any debt security or certain other defaults specified in an indenture, the trustee shall be protected in withholding such notice if and so long as the board of directors, the executive committee or a trust committee of directors, or responsible officers of the trustee, in good faith determine that withholding notice is in the best interests of holders of the relevant series of debt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“Consolidation, Merger or Sale”;</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such indenture;</w:t>
      </w:r>
    </w:p>
    <w:p>
      <w:pPr>
        <w:spacing w:after="0" w:line="188"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p>
      <w:pPr>
        <w:spacing w:after="0" w:line="37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w:t>
      </w:r>
    </w:p>
    <w:p>
      <w:pPr>
        <w:spacing w:after="0" w:line="252"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 and to make all appropriate changes for such purpose;</w:t>
      </w:r>
    </w:p>
    <w:p>
      <w:pPr>
        <w:spacing w:after="0" w:line="188"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such new covenants, restrictions, conditions or provisions for the protection of the holders, and to make the occurrence, or the occurrence and the continuance, of a default in any such additional covenants, restrictions, conditions or provisions an event of default or to surrender any right or power conferred to us in the indenture; or</w:t>
      </w:r>
    </w:p>
    <w:p>
      <w:pPr>
        <w:spacing w:after="0" w:line="202" w:lineRule="exact"/>
        <w:rPr>
          <w:rFonts w:ascii="Times New Roman" w:cs="Times New Roman" w:eastAsia="Times New Roman" w:hAnsi="Times New Roman"/>
          <w:sz w:val="18"/>
          <w:szCs w:val="18"/>
          <w:color w:val="auto"/>
        </w:rPr>
      </w:pPr>
    </w:p>
    <w:p>
      <w:pPr>
        <w:ind w:left="660" w:right="200" w:hanging="328"/>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in any material respect; provided that any amendment made solely to conform the provisions of the indenture to the corresponding description of the debt securities contained in the applicable prospectus or prospectus supplement shall be deemed not to adversely affect the interests of the holders of such debt securities; provided further, that in connection with any such amendment we will provide the trustee with an officers’ certificate certifying that such amendment will not adversely affect the rights or interests of the holders of such debt securities.</w:t>
      </w: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29" w:right="379" w:bottom="1440" w:gutter="0" w:footer="0" w:header="0"/>
        </w:sectPr>
      </w:pPr>
    </w:p>
    <w:bookmarkStart w:id="19" w:name="page20"/>
    <w:bookmarkEnd w:id="19"/>
    <w:p>
      <w:pPr>
        <w:spacing w:after="0" w:line="261"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only make the following changes with the consent of each holder of any outstanding debt securities affected:</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52"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debt securities;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any of our obligations to pay additional amounts;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amount of principal of an original issue discount security or any other note payable upon acceleration of the maturity thereof;</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currency in which any note or any premium or interest is payable;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right to enforce any payment on or with respect to any note;</w:t>
      </w:r>
    </w:p>
    <w:p>
      <w:pPr>
        <w:spacing w:after="0" w:line="25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changing the right to convert or exchange, including decreasing the conversion rate or increasing the conversion price of, such note, if applicable;</w:t>
      </w:r>
    </w:p>
    <w:p>
      <w:pPr>
        <w:spacing w:after="0" w:line="188"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subordinated indenture, modifying the subordination provisions in a manner adverse to the holders of the subordinated debt securities;</w:t>
      </w:r>
    </w:p>
    <w:p>
      <w:pPr>
        <w:spacing w:after="0" w:line="188"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secured, changing the terms and conditions pursuant to which the debt securities are secured in a manner adverse to the holders of the secured debt securities;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requirements contained in the applicable indenture for quorum or voting;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any of our obligations to maintain an office or agency in the places and for the purposes required by the indentures;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any of the above provisions set forth in this paragraph.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Each indenture provides that, subject to the terms of the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spacing w:after="0" w:line="17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3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20" w:name="page21"/>
    <w:bookmarkEnd w:id="20"/>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and any premium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ind w:left="660" w:right="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20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and is under no obligation to exercise any of the powers given it by the indentures at the request of any holder of debt securities unless it is offered reasonable security and indemnity against the costs, expenses and liabilities that it might incur. However, upon an event of default under an indenture, the trustee must use the same degree of care as a prudent person would exercise or use in the conduct of his or her own affairs.</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 Debt Securities</w:t>
      </w:r>
    </w:p>
    <w:p>
      <w:pPr>
        <w:spacing w:after="0" w:line="22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be unsecured and will be subordinate and junior in priority of payment to certain of our other indebtedness to the extent described in a prospectus supplement. The subordinated indenture does not limit the amount of subordinated debt securities that we may issue. It also does not limit us from issuing any other secured or unsecured debt.</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senior debt securities will be unsecured and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WARRANTS WE MAY OFFER</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23, 2022, we had no warrants to purchase shares of our common stock outstanding. We typically issue warrants to purchase shares of our common stock to investors as part of a financing transaction, or in connection with services rendered by placement agents and outside consultants.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common stock or any combination of the foregoing. We may issue warrants independently or together with any other securities we offer under a prospectus supplement. The warrants may be attached to or separate from the securities. We will issue each series of warrants under a separate warrant agreement to be entered into between a warrant agent and us. The warrant agent will act solely as our agent in connection with the warrants and will not have any obligations or relationship of agency or trust for or with holders or beneficial owners of warrants. The following outlines some of the general terms and provisions of the warrants that we may issue from time to time. When we issue warrants, we will provide the specific terms of the warrants and the applicable warrant agreement in a prospectus supplement and any related free writing prospectuses and such terms may differ from those described below. To the extent the information contained in the prospectus supplement differs from this summary description, you should rely on the information in the prospectus supplement. The following description, and any description of the warrants included in a prospectus supplement, may not be complete and is subject to and qualified in its entirety by reference to the terms and provisions of the applicable warrant agreement.</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will describe in the applicable prospectus supplement and any related free writing prospectuses the terms of the preferred stock warrants or common stock warrants being offered, the warrant agreement relating to the preferred stock warrants or common stock warrants and the warrant certificates representing the preferred stock warrants or common stock warrants, including, as applicable:</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for which the warrants are exercisable;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number of warrants issued with each share of preferred stock or share of common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preferred stock or common stock will be separately transferable;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or minimum number of warrants which may be exercised at any time;</w:t>
      </w:r>
    </w:p>
    <w:p>
      <w:pPr>
        <w:spacing w:after="0" w:line="252" w:lineRule="exact"/>
        <w:rPr>
          <w:sz w:val="20"/>
          <w:szCs w:val="20"/>
          <w:color w:val="auto"/>
        </w:rPr>
      </w:pPr>
    </w:p>
    <w:p>
      <w:pPr>
        <w:ind w:left="340" w:right="1340" w:hanging="8"/>
        <w:spacing w:after="0" w:line="532" w:lineRule="auto"/>
        <w:tabs>
          <w:tab w:leader="none" w:pos="6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 · information with respect to book-entry procedures, if any;</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discussion of the material U.S. federal income tax considerations applicable to exercise of the warrants; and</w:t>
      </w:r>
    </w:p>
    <w:p>
      <w:pPr>
        <w:spacing w:after="0" w:line="25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other terms of the warrants, including terms, procedures and limitations relating to the exchange and exercise of the warrants.</w:t>
      </w:r>
    </w:p>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warrant agreement and corresponding prospectus supplement or any related free writing prospectuses, holders of equity warrants will not be entitled, by virtue of being such holders, to vote, consent, receive dividends, receive notice as stockholders with respect to any meeting of stockholders for the election of our directors or any other matter, or to exercise any rights whatsoever as stockholders.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Except as provided in the applicable warrant agreement and corresponding prospectus supplement or any related free writing prospectuses, the exercise price payable and the number of shares of common stock or preferred stock purchasable upon the exercise of each warrant will be subject to adjustment in certain events, including the issuance of a stock dividend to holders of common stock or preferred stock or a stock split, reverse stock split, combination, subdivision or reclassification of common stock or preferred stock. In lieu of adjusting the number of shares of common stock or preferred stock purchasable upon exercise of each warrant, we may elect to adjust the number of warrants. Unless otherwise provided in the applicable warrant agreement and corresponding prospectus supplement or any related free writing prospectuses, no adjustments in the number of shares purchasable upon exercise of the warrants will be required until all cumulative adjustments require an adjustment of at least 1% thereof. No fractional shares will be issued upon exercise of warrants, but we will pay the cash value of any fractional shares otherwise issuable. Notwithstanding the foregoing, except as otherwise provided in the applicable warrant agreement and corresponding prospectus supplement or any related free writing prospectuses, in case of any consolidation, merger, or sale or conveyance of our property as an entirety or substantially as an entirety, the holder of each outstanding warrant will have the right to the kind and amount of shares of stock and other securities and property, including cash, receivable by a holder of the number of shares of common stock or preferred stock into which each warrant was exercisable immediately prior to the particular triggering event.</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and any related free writing prospectuses the terms of the debt warrants being offered, the warrant agreement relating to the debt warrants and the debt warrant certificates representing the debt warrants, including, as applicable:</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debt warrants;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debt warrants will be issued;</w:t>
      </w:r>
    </w:p>
    <w:p>
      <w:pPr>
        <w:spacing w:after="0" w:line="252"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terms of the debt securities purchasable upon exercise of the debt warrants, and the procedures and conditions relating to the exercise of the debt warrants;</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related debt securities with which the debt warrants are issued, and the number of the debt warrants issued with each security;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debt warrants and the related debt securities will be separately transferable;</w:t>
      </w:r>
    </w:p>
    <w:p>
      <w:pPr>
        <w:spacing w:after="0" w:line="252"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purchasable upon exercise of each debt warrant, and the price at which the principal amount of the debt securities may be purchased upon exercise;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debt warrants will commence, and the date on which the right will expire;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or minimum number of the debt warrants that may be exercised at any time;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or adjustments in the exercise price of the debt warrants;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U.S. federal income tax considerations applicable to the exercise of the debt warrants;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warrants and terms, procedures and limitations relating to the exercise of the debt warrants.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may be permitted under the warrant agreement, holders may exchange debt warrant certificates for new debt warrant certificates of different denominations, and may exercise debt warrants at the corporate trust office of the warrant agent or any other office indicated in the applicable prospectus supplement and any related free writing prospectuses. Prior to the exercise of their debt warrants, holders of debt warrants will not have any of the rights of holders of the securities purchasable upon the exercise, and will not be entitled to payments of principal, premium or interest on the securities purchasable upon the exercise, of debt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of the warrant to purchase for cash at the exercise price provided in the applicable warrant agreement and corresponding prospectus supplement or any related free writing prospectuses the principal amount of debt securities or shares of preferred stock or shares of common stock being offered. Holders may exercise warrants at any time up to the close of business on the expiration date provided in the applicable warrant agreement and corresponding prospectus supplement or any related free writing prospectuses. After the close of business on the expiration date, unexercised warrants are void.</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4" w:name="page25"/>
    <w:bookmarkEnd w:id="24"/>
    <w:p>
      <w:pPr>
        <w:spacing w:after="0" w:line="256" w:lineRule="auto"/>
        <w:rPr>
          <w:sz w:val="20"/>
          <w:szCs w:val="20"/>
          <w:color w:val="auto"/>
        </w:rPr>
      </w:pPr>
      <w:r>
        <w:rPr>
          <w:rFonts w:ascii="Times New Roman" w:cs="Times New Roman" w:eastAsia="Times New Roman" w:hAnsi="Times New Roman"/>
          <w:sz w:val="18"/>
          <w:szCs w:val="18"/>
          <w:color w:val="auto"/>
        </w:rPr>
        <w:t>Holders may exercise warrants as described in the applicable warrant agreement and corresponding prospectus supplement or any free writing prospectuses relating to the warrants being offered. Upon receipt of payment and the warrant certificate properly completed and duly executed at the corporate trust office of the warrant agent or any other office indicated in the applicable warrant agreement and corresponding prospectus supplement or any related free writing prospectuses, we will, as soon as practicable, forward the debt securities, shares of preferred stock or shares of common stock purchasable upon the exercise of the warrant. If less than all of the warrants represented by the warrant certificate are exercised, we will issue a new warrant certificate for the remaining warrants.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RIGHTS WE MAY OFFER</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may issue rights to purchase shares of our common stock, preferred stock, or warrants in one or more series. Rights may be issued independently or together with any other offered security and may or may not be transferable by the person purchasing or receiving the subscription rights. In connection with any rights offering to our stockholders, we may enter into a standby underwriting arrangement with one or more underwriters pursuant to which the underwriters will purchase any of the offered securities remaining unsubscribed after the expiration of the rights offering. In connection with a rights offering to our stockholders, we will distribute certificates evidencing the rights and an applicable prospectus supplement to our stockholders on the record date that we set for receiving rights in the rights offering. An applicable prospectus supplement will describe the following terms of rights in respect of which this prospectus is being delivered:</w:t>
      </w:r>
    </w:p>
    <w:p>
      <w:pPr>
        <w:spacing w:after="0" w:line="189"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rights;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for which the rights are exercisable;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the rights;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the rights issued to each security holder;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9" w:lineRule="exact"/>
        <w:rPr>
          <w:rFonts w:ascii="Times New Roman" w:cs="Times New Roman" w:eastAsia="Times New Roman" w:hAnsi="Times New Roman"/>
          <w:sz w:val="18"/>
          <w:szCs w:val="18"/>
          <w:color w:val="auto"/>
        </w:rPr>
      </w:pPr>
    </w:p>
    <w:p>
      <w:pPr>
        <w:ind w:left="1300" w:right="280" w:hanging="644"/>
        <w:spacing w:after="0" w:line="250"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United States federal income tax considerations applicable to the issuance or exercise of the rights;</w:t>
      </w: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shall commence, and the date on which the rights shall expire (subject to any extension);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completion of the rights offering;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rights;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include an over-subscription privilege with respect to unsubscribed securities;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we may enter into in connection with the rights offering; and</w:t>
      </w: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limits relating to the exchange or exercise of the rights.</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right will entitle the holder to purchase an amount of securities for cash, at the exercise price. Rights may be exercised at any time up to the close of business on the expiration date of the rights. After the close of business on the expiration date, all unexercised rights will become void. The manner in which rights may be exercised will be described in an applicable prospectus supplement. We may, but are not be required to, permit the exercise of rights through the delivery of a notice of guaranteed delivery from a bank, a trust company, or a Nasdaq member guaranteeing delivery of (i) payment of the exercise price for the securities for which the rights are being exercised, and (ii) a properly completed and executed rights certificate. The notice of guaranteed delivery must be received by the rights agent before the expiration of the rights, and the rights agent will not honor a notice of guaranteed delivery unless a properly completed and executed rights certificate and full payment for the securities being purchased are received by the rights agent by the close of business on the third business day after the expiration time of the rights. Upon receipt of payment and the proper completion and due execution of the rights certificate at the designated office of the rights agent or any other office indicated in an applicable prospectus supplement, we or the transfer agent will forward, as soon as practicable, the securities purchased upon the exercise of the rights. We may determine to offer any unsubscribed offered securities directly to persons other than stockholders, to or through agents, underwriters or dealers or through a combination of the methods, including pursuant to standby underwriting arrangements, as set forth in an applicable prospectus supplement.</w:t>
      </w: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 WE MAY OFFER</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free writing prospectuses,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shares of common stock, shares of preferred stock, debt securities, warrants and/or rights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including:</w:t>
      </w:r>
    </w:p>
    <w:p>
      <w:pPr>
        <w:spacing w:after="0" w:line="225" w:lineRule="exact"/>
        <w:rPr>
          <w:sz w:val="20"/>
          <w:szCs w:val="20"/>
          <w:color w:val="auto"/>
        </w:rPr>
      </w:pPr>
    </w:p>
    <w:p>
      <w:pPr>
        <w:ind w:left="660" w:right="1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5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Capital Stock,” “Description of Preferred Stock,” “Description of Debt Securities,” “Description of Warrants” and “Description of Rights” will apply to each unit and to any common stock, preferred stock, debt security or warrant included in each unit,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numerous distinct series as we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6" w:name="page27"/>
    <w:bookmarkEnd w:id="26"/>
    <w:p>
      <w:pPr>
        <w:ind w:right="600"/>
        <w:spacing w:after="0" w:line="312" w:lineRule="auto"/>
        <w:rPr>
          <w:sz w:val="20"/>
          <w:szCs w:val="20"/>
          <w:color w:val="auto"/>
        </w:rPr>
      </w:pPr>
      <w:r>
        <w:rPr>
          <w:rFonts w:ascii="Times New Roman" w:cs="Times New Roman" w:eastAsia="Times New Roman" w:hAnsi="Times New Roman"/>
          <w:sz w:val="17"/>
          <w:szCs w:val="17"/>
          <w:color w:val="auto"/>
        </w:rPr>
        <w:t>We, the unit agents and any of their agents may treat the registered holder of any unit certificate as an absolute owner of the units evidenced by that certificate for any purpose and as the person entitled to exercise the rights attaching to the units so registered, despite any notice to the contrary.</w:t>
      </w:r>
    </w:p>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We may sell the securities being offered by us in this prospectus pursuant to underwritten public offerings, negotiated transactions, block trades or any combination of such methods. We may sell the securities to or through underwriters, dealers, agents or directly to one or more purchasers. We and our agents reserve the right to accept and to reject, in whole or in part, any proposed purchase of securities. A prospectus supplement or post-effective amendment, which we will file each time we effect an offering of any securities, will provide the names of any underwriters, dealers or agents, if any, involved in the sale of such securities, and any applicable fees, commissions, or discounts to which such persons shall be entitled to in connection with such offering.</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and our agents, dealers and underwriters, as applicable, may sell the securities being offered by us in this prospectus from time to time in one or more transactions at:</w:t>
      </w:r>
    </w:p>
    <w:p>
      <w:pPr>
        <w:spacing w:after="0" w:line="162" w:lineRule="exact"/>
        <w:rPr>
          <w:sz w:val="20"/>
          <w:szCs w:val="20"/>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prices determined at the time of sale; or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may determine the price or other terms of the securities offered under this prospectus by use of an electronic auction. We will describe how any auction will determine the price or any other terms, how potential investors may participate in the auction and the nature of the underwriters’ obligations, in the applicable prospectus supplement or amendment.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solicit directly offers to purchase securities. We may also designate agents from time to time to solicit offers to purchase securities. Any agent that we designate, who may be deemed to be an underwriter as such term is defined in the Securities Act, may then resell such securities to the public at varying prices to be determined by such agent at the time of resale.</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engage in at the market offerings of the Company’s common stock as defined in Rule 415(a)(4) under the Securities Act. An at the market offering is an offering of our common stock at other than a fixed price, and is conducted to or through a market maker. We shall name any underwriter or agent that the Company engages for an at the market offering in a post-effective amendment to the registration statement containing this prospectus. In the related prospectus supplement, we shall also describe any additional details of the Company’s arrangement with such underwriter or agent, including commissions or fees paid or discounts offered by the Company, and whether such underwriter is acting as principal or agent.</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we use underwriters to sell securities, we will enter into an underwriting agreement with the underwriters at the time of the sale to them, which agreement shall be filed as an exhibit to the related prospectus supplement. Underwriters may also receive commissions from purchasers of the securities. Underwriters may also use dealers to sell securities. In such an event, the dealers may receive compensation in the form of discounts, concessions or commissions from the underwriters and/or commissions from the purchasers for whom they may act as agents.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Under agreements that they may enter into with us, underwriters, dealers, agents and other persons may be entitled to (i) indemnification by the Company against certain civil liabilities, including liabilities under the Securities Act or (ii) contribution with respect to payments which they may be required to make in respect of such liabilities. Underwriters and agents may engage in transactions with, or perform services for, us in the ordinary course of business.</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7" w:name="page28"/>
    <w:bookmarkEnd w:id="27"/>
    <w:p>
      <w:pPr>
        <w:ind w:right="180"/>
        <w:spacing w:after="0" w:line="258"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may authorize underwriters, dealers or other persons to solicit offers by certain institutions to purchase the securities offered by us under this prospectus pursuant to contracts providing for payment and delivery on a future date or dates. The obligations of any purchaser under these contracts will be subject only to those conditions described in the applicable prospectus supplement, and the prospectus supplement will set forth the price to be paid for securities pursuant to those contracts and the commissions payable for solicitation of the contracts.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and syndicate short covering transactions and penalty bids in accordance with Regulation M of the Exchange Act. Over-allotment involves sales in excess of the offering size, which create a short position. Stabilizing transactions involve bids to purchase the underlying security so long as the stabilizing bids do not exceed a specified maximum. Syndicate short covering transactions involve purchases of securities in the open market after the distribution has been completed in order to cover syndicate short positions. Penalty bids permit the underwriters to reclaim selling concessions from dealers when the securities originally sold by such dealers are purchased in covering transactions to cover syndicate short positions. These transactions may cause the price of the securities sold in an offering to be higher than it would otherwise be. These transactions, if commenced, may be discontinued by the underwriters at any time without notice.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common stock is quoted on The Nasdaq Global Market under the trading symbol “ARCT” The other securities are not listed on any securities exchange or other stock market and, unless the Company states otherwise in the applicable prospectus supplement, the Company does not intend to apply for listing of the other securities on any securities exchange or other stock market. Any underwriters to whom we sell securities for public offering and sale may make a market in the securities that they purchase, but the underwriters will not be obligated to do so and may discontinue any market making at any time without notice. Accordingly, the Company gives you no assurance as to the development or liquidity of any trading market for the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anticipated date of delivery of the securities offered hereby will be set forth in the applicable prospectus supplement relating to each offering.</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order to comply with certain state securities laws, if applicable, the securities may be sold in such jurisdictions only through registered or licensed brokers or dealers. In certain states, the securities may not be sold unless the securities have been registered or qualified for sale in such state or an exemption from regulation or qualification is available and is complied with. Sales of securities must also be made by the Company in compliance with all other applicable state securities laws and regulations.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shall pay all expenses of the registration of the securities.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Arcturus Therapeutics Holdings Inc. and its Subsidiaries appearing in Arcturus Therapeutics Holdings Inc.’s Annual Report (Form 10-K) for the year ended December 31, 2021, and the effectiveness of Arcturus Therapeutics Holdings Inc. and its Subsidiaries’ internal control over financial reporting as of December 31, 2021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and when the securities being registered hereunder are issued, the validity of such issuance will be passed upon for the Company by Dentons US LLP, New York, New York.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file annual, quarterly and periodic reports, proxy statements and other information with the SEC. You may read and copy any materials that we file with the SEC at the SEC’s Public Reference Room at 100 F Street, N.E., Washington, D.C. 20549. You may obtain information on the operation of the Public Reference Room by calling the SEC at 1-800-SEC-0330. Our SEC filings are also available to the public from the SEC’s Website at www.sec.gov. We make available free of charge its annual, quarterly and current reports, proxy statements and other information upon request. To request such materials, please contact the Corporate Secretary at the following address or telephone number: Arcturus Therapeutics Holdings Inc., 10628 Science Center Drive, Suite 250, San Diego, California 92121, Attention: Investor Relations; (858) 900-2660. Exhibits to the documents will not be sent, unless those exhibits have specifically been incorporated by reference in this prospectus.</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maintain our website at https://arcturusrx.com. Our website and the information contained therein or connected thereto are not incorporated into this Registration Statement.</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relating to the securities we are offering by this prospectus. This prospectus does not contain all of the information set forth in the registration statement and the exhibits and schedules to the registration statement. Please refer to the registration statement and its exhibits and schedules for further information with respect to the Company and our securities. Statements contained in this prospectus as to the contents of any contract or other document are not necessarily complete and, in each instance, we refer you to the copy of that contract or document filed as an exhibit to, or incorporated by reference into, the registration statement. You may read and obtain a copy of the registration statement and its exhibits and schedules from the SEC, as described in the preceding paragraph.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this information. We incorporate by reference the documents filed with SEC listed below:</w:t>
      </w:r>
    </w:p>
    <w:p>
      <w:pPr>
        <w:spacing w:after="0" w:line="176"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2021, filed with the SEC on March 1, 2022;</w:t>
      </w:r>
    </w:p>
    <w:p>
      <w:pPr>
        <w:spacing w:after="0" w:line="27" w:lineRule="exact"/>
        <w:rPr>
          <w:rFonts w:ascii="Times New Roman" w:cs="Times New Roman" w:eastAsia="Times New Roman" w:hAnsi="Times New Roman"/>
          <w:sz w:val="18"/>
          <w:szCs w:val="18"/>
          <w:color w:val="auto"/>
        </w:rPr>
      </w:pPr>
    </w:p>
    <w:p>
      <w:pPr>
        <w:ind w:left="1300" w:right="160" w:hanging="644"/>
        <w:spacing w:after="0" w:line="260"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periods ended March 31, 2022, June 30, 2022 and September 30, 2022, filed with the SEC on May 9, 2022, August 9, 2022 and November 9, 2022, respectively.</w:t>
      </w:r>
    </w:p>
    <w:p>
      <w:pPr>
        <w:spacing w:after="0" w:line="181" w:lineRule="exact"/>
        <w:rPr>
          <w:rFonts w:ascii="Times New Roman" w:cs="Times New Roman" w:eastAsia="Times New Roman" w:hAnsi="Times New Roman"/>
          <w:sz w:val="18"/>
          <w:szCs w:val="18"/>
          <w:color w:val="auto"/>
        </w:rPr>
      </w:pPr>
    </w:p>
    <w:p>
      <w:pPr>
        <w:ind w:left="1300" w:right="38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specifically incorporated by reference into our Annual Report on Form 10-K for the year ended December 31, 2021 from our Definitive Proxy Statement on Schedule 14A, filed with the SEC on May 2, 2022;</w:t>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29" w:name="page30"/>
    <w:bookmarkEnd w:id="29"/>
    <w:p>
      <w:pPr>
        <w:ind w:left="1300" w:right="120" w:hanging="644"/>
        <w:spacing w:after="0" w:line="266"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Reports on Form 8-K filed with the SEC on February 11, 2022, February 17, 2022, April 20, 2022, June 24, 2022, September 1, 2022, November 2, 2022, November 4, 2022, and December 13, 2022, respectively (in each case, except for information contained therein which is furnished rather than filed); and</w:t>
      </w:r>
    </w:p>
    <w:p>
      <w:pPr>
        <w:spacing w:after="0" w:line="35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in our Current Report on Form 8-K12B filed with the SEC on June 14, 2019.</w:t>
      </w:r>
    </w:p>
    <w:p>
      <w:pPr>
        <w:spacing w:after="0" w:line="25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the applicable prospectus supplement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18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Telephone: (858) 900-2660</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Statements contained in this prospectus as to the contents of any contract or other documents are not necessarily complete, and in each instance investors are referred to the copy of the contract or other document filed as an exhibit to the registration statement or to a document incorporated by reference, each such statement being qualified in all respects by such reference and the exhibits and schedules thereto.</w:t>
      </w:r>
    </w:p>
    <w:p>
      <w:pPr>
        <w:spacing w:after="0" w:line="2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729" w:right="479" w:bottom="1440" w:gutter="0" w:footer="0" w:header="0"/>
        </w:sectPr>
      </w:pPr>
    </w:p>
    <w:bookmarkStart w:id="30" w:name="page31"/>
    <w:bookmarkEnd w:id="30"/>
    <w:p>
      <w:pPr>
        <w:ind w:right="420"/>
        <w:spacing w:after="0" w:line="268" w:lineRule="auto"/>
        <w:rPr>
          <w:sz w:val="20"/>
          <w:szCs w:val="20"/>
          <w:color w:val="auto"/>
        </w:rPr>
      </w:pPr>
      <w:r>
        <w:rPr>
          <w:rFonts w:ascii="Times New Roman" w:cs="Times New Roman" w:eastAsia="Times New Roman" w:hAnsi="Times New Roman"/>
          <w:sz w:val="18"/>
          <w:szCs w:val="18"/>
          <w:b w:val="1"/>
          <w:bCs w:val="1"/>
          <w:color w:val="EB0029"/>
        </w:rPr>
        <w:t>The information in this preliminary prospectus is not complete and may be changed. The Registrant may not sell these securities until the registration statement filed with the Securities and Exchange Commission is effective. This preliminary prospectus is not an offer to sell these securities and it is not soliciting an offer to buy these securities in any state where an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EB0029"/>
        </w:rPr>
        <w:t>SUBJECT TO COMPLETION, DATED DECEMBER 23,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$200,000,000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142875</wp:posOffset>
            </wp:positionV>
            <wp:extent cx="1885950" cy="634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595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200" w:lineRule="exact"/>
        <w:rPr>
          <w:sz w:val="20"/>
          <w:szCs w:val="20"/>
          <w:color w:val="auto"/>
        </w:rPr>
      </w:pPr>
    </w:p>
    <w:p>
      <w:pPr>
        <w:ind w:right="140"/>
        <w:spacing w:after="0" w:line="228" w:lineRule="exact"/>
        <w:rPr>
          <w:sz w:val="20"/>
          <w:szCs w:val="20"/>
          <w:color w:val="auto"/>
        </w:rPr>
      </w:pPr>
      <w:r>
        <w:rPr>
          <w:rFonts w:ascii="Times New Roman" w:cs="Times New Roman" w:eastAsia="Times New Roman" w:hAnsi="Times New Roman"/>
          <w:sz w:val="18"/>
          <w:szCs w:val="18"/>
          <w:color w:val="auto"/>
        </w:rPr>
        <w:t>We have entered into a Controlled Equity Offering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Sales Agreement (the “Sales Agreement”) with Cantor Fitzgerald &amp; Co. (“Cantor”) and Wells Fargo Securities, LLC (“Wells Fargo”), relating to shares of our common stock, par value $0.001 per share, offered by this prospectus. In accordance with the terms of the Sales Agreement, we may offer and sell shares of our common stock having an aggregate offering price of up to $200,000,000 from time to time through Cantor or Wells Fargo, each acting as our sales agent.</w:t>
      </w:r>
    </w:p>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“ARCT.” On December 19, 2022, the last reported sale price of our common stock was $16.76 per share.</w:t>
      </w:r>
    </w:p>
    <w:p>
      <w:pPr>
        <w:spacing w:after="0" w:line="16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Sales of our common stock, if any, under this prospectus may be made in sales deemed to be “at the market offerings” as defined in Rule 415(a)(4) under the Securities Act of 1933, as amended (the “Securities Act”). Cantor and Wells Fargo are not required to sell any specific number or dollar amount of securities, but will act as sales agents using commercially reasonable efforts consistent with their normal trading and sales practices, on mutually agreed terms between Cantor, Wells Fargo and us. There is no arrangement for funds to be received in any escrow, trust or similar arrangement.</w:t>
      </w:r>
    </w:p>
    <w:p>
      <w:pPr>
        <w:spacing w:after="0" w:line="1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compensation to the sales agents for sales of common stock sold pursuant to the Sales Agreement will be equal to 3% of the gross proceeds of any shares of common stock sold under the Sales Agreement. In connection with the sale of the common stock on our behalf, the sales agents will be deemed to be “underwriters” within the meaning of the Securities Act and the compensation of the sales agents will be deemed to be underwriting commissions or discounts. We have also agreed to provide indemnification and contribution to the sales agents with respect to certain liabilities, including liabilities under the Securities Act or the Securities Exchange Act of 1934, as amended (the “Exchange Act”). See “Plan of Distribution” beginning on page S-10 for additional information regarding compensation payable to the sales agents.</w:t>
      </w:r>
    </w:p>
    <w:p>
      <w:pPr>
        <w:spacing w:after="0" w:line="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203" w:lineRule="exact"/>
        <w:rPr>
          <w:sz w:val="20"/>
          <w:szCs w:val="20"/>
          <w:color w:val="auto"/>
        </w:rPr>
      </w:pPr>
    </w:p>
    <w:p>
      <w:pPr>
        <w:ind w:right="90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REVIEW CAREFULLY THE “RISK FACTORS” ON PAGE S-5 OF THIS PROSPECTUS, AND IN THE DOCUMENTS INCORPORATED BY REFERENCE IN THIS PROSPECTUS AND ACCOMPANYING BASE PROSPECTUS BEFORE INVESTING IN OUR COMMON STOCK.</w:t>
      </w:r>
    </w:p>
    <w:p>
      <w:pPr>
        <w:spacing w:after="0" w:line="171"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jc w:val="right"/>
              <w:ind w:right="84"/>
              <w:spacing w:after="0"/>
              <w:rPr>
                <w:sz w:val="20"/>
                <w:szCs w:val="20"/>
                <w:color w:val="auto"/>
              </w:rPr>
            </w:pPr>
            <w:r>
              <w:rPr>
                <w:rFonts w:ascii="Times New Roman" w:cs="Times New Roman" w:eastAsia="Times New Roman" w:hAnsi="Times New Roman"/>
                <w:sz w:val="18"/>
                <w:szCs w:val="18"/>
                <w:b w:val="1"/>
                <w:bCs w:val="1"/>
                <w:color w:val="auto"/>
              </w:rPr>
              <w:t>___________________</w:t>
            </w:r>
          </w:p>
        </w:tc>
        <w:tc>
          <w:tcPr>
            <w:tcW w:w="4560" w:type="dxa"/>
            <w:vAlign w:val="bottom"/>
          </w:tcPr>
          <w:p>
            <w:pPr>
              <w:spacing w:after="0"/>
              <w:rPr>
                <w:sz w:val="20"/>
                <w:szCs w:val="20"/>
                <w:color w:val="auto"/>
              </w:rPr>
            </w:pPr>
          </w:p>
        </w:tc>
      </w:tr>
      <w:tr>
        <w:trPr>
          <w:trHeight w:val="665"/>
        </w:trPr>
        <w:tc>
          <w:tcPr>
            <w:tcW w:w="6680" w:type="dxa"/>
            <w:vAlign w:val="bottom"/>
          </w:tcPr>
          <w:p>
            <w:pPr>
              <w:jc w:val="right"/>
              <w:ind w:right="3444"/>
              <w:spacing w:after="0"/>
              <w:rPr>
                <w:sz w:val="20"/>
                <w:szCs w:val="20"/>
                <w:color w:val="auto"/>
              </w:rPr>
            </w:pPr>
            <w:r>
              <w:rPr>
                <w:rFonts w:ascii="Times New Roman" w:cs="Times New Roman" w:eastAsia="Times New Roman" w:hAnsi="Times New Roman"/>
                <w:sz w:val="22"/>
                <w:szCs w:val="22"/>
                <w:b w:val="1"/>
                <w:bCs w:val="1"/>
                <w:color w:val="auto"/>
              </w:rPr>
              <w:t>Cantor</w:t>
            </w:r>
          </w:p>
        </w:tc>
        <w:tc>
          <w:tcPr>
            <w:tcW w:w="4560" w:type="dxa"/>
            <w:vAlign w:val="bottom"/>
          </w:tcPr>
          <w:p>
            <w:pPr>
              <w:jc w:val="right"/>
              <w:ind w:right="1681"/>
              <w:spacing w:after="0"/>
              <w:rPr>
                <w:sz w:val="20"/>
                <w:szCs w:val="20"/>
                <w:color w:val="auto"/>
              </w:rPr>
            </w:pPr>
            <w:r>
              <w:rPr>
                <w:rFonts w:ascii="Times New Roman" w:cs="Times New Roman" w:eastAsia="Times New Roman" w:hAnsi="Times New Roman"/>
                <w:sz w:val="22"/>
                <w:szCs w:val="22"/>
                <w:b w:val="1"/>
                <w:bCs w:val="1"/>
                <w:color w:val="auto"/>
              </w:rPr>
              <w:t>Wells Fargo Securities</w:t>
            </w:r>
          </w:p>
        </w:tc>
      </w:tr>
      <w:tr>
        <w:trPr>
          <w:trHeight w:val="636"/>
        </w:trPr>
        <w:tc>
          <w:tcPr>
            <w:tcW w:w="6680" w:type="dxa"/>
            <w:vAlign w:val="bottom"/>
          </w:tcPr>
          <w:p>
            <w:pPr>
              <w:jc w:val="right"/>
              <w:ind w:right="484"/>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560" w:type="dxa"/>
            <w:vAlign w:val="bottom"/>
          </w:tcPr>
          <w:p>
            <w:pPr>
              <w:jc w:val="right"/>
              <w:ind w:right="3781"/>
              <w:spacing w:after="0"/>
              <w:rPr>
                <w:sz w:val="20"/>
                <w:szCs w:val="20"/>
                <w:color w:val="auto"/>
              </w:rPr>
            </w:pPr>
            <w:r>
              <w:rPr>
                <w:rFonts w:ascii="Times New Roman" w:cs="Times New Roman" w:eastAsia="Times New Roman" w:hAnsi="Times New Roman"/>
                <w:sz w:val="18"/>
                <w:szCs w:val="18"/>
                <w:b w:val="1"/>
                <w:bCs w:val="1"/>
                <w:color w:val="auto"/>
              </w:rPr>
              <w:t>, 2022.</w:t>
            </w:r>
          </w:p>
        </w:tc>
      </w:tr>
      <w:tr>
        <w:trPr>
          <w:trHeight w:val="567"/>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40" w:type="dxa"/>
            <w:vAlign w:val="bottom"/>
          </w:tcPr>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PROSPECTUS SUMMARY</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OFFERING</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EXPERTS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INCORPORATED BY REFERENCE</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BASE PROSPECTUS</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PROSPECTUS SUMMARY</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CAPITAL STOCK WE MAY OFFER</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DEBT SECURITIES WE MAY OFFER</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WARRANTS WE MAY OFFER</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RIGHTS WE MAY OFFER</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UNITS WE MAY OFFER</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EXPERTS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INCORPORATED BY REFERENCE</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prospectus and the accompanying base prospectus are part of a registration statement on Form S-3 that we filed with the Securities and Exchange Commission (the “SEC”) utilizing a “shelf” registration process. Under this shelf registration process, we may from time to time offer shares of our common stock having an aggregate offering price of up to $200,000,000 under this prospectus at prices and on terms to be determined by market conditions at the time of each such offering.</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providing information to you about this offering of our common stock in two parts. The second part is this prospectus, which provides you with specific information regarding the terms of this offering and our common stock, and also adds to and updates information contained in the accompanying base prospectus and the documents incorporated by reference in this prospectus and the accompanying base prospectus. The first part is the accompanying base prospectus, which provides more general information, some of which does not apply to this offering of our common stock.</w:t>
      </w:r>
    </w:p>
    <w:p>
      <w:pPr>
        <w:spacing w:after="0" w:line="18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Before buying any of the common stock that we are offering, we urge you to carefully read this prospectus and all of the information incorporated by reference herein, as well as the additional information described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Incorporated by Reference.</w:t>
      </w:r>
      <w:r>
        <w:rPr>
          <w:rFonts w:ascii="Times New Roman" w:cs="Times New Roman" w:eastAsia="Times New Roman" w:hAnsi="Times New Roman"/>
          <w:sz w:val="18"/>
          <w:szCs w:val="18"/>
          <w:color w:val="auto"/>
        </w:rPr>
        <w:t>” These documents contain important information that you should consider when making your investment decision.</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document incorporated by reference in this prospectus that was filed with the SEC before the date of this prospectus, on the other hand, you should rely on the information in this prospectus.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not, and Cantor and Wells Fargo have not, authorized anyone to provide you with any information other than that contained or incorporated by reference in this prospectus and in the accompanying base prospectus or in any related free writing prospectus that we authorize for use in connection with this offering and to which we have referred you. We take no responsibility for, and can provide no assurance as to the reliability of, any other information that others may give you. You should assume that the information appearing in this prospectus, the documents incorporated by reference and the accompanying base prospectus or free writing prospectus is accurate only as of their respective dates. Our business, financial condition, results of operations and prospects may have changed materially since those dates.</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this prospectus and the accompanying prospectus, unless otherwise stated or the context otherwise indicates, references to “ARCT,” “Arcturus,” “the Company,” “we,” “us,” “our” and similar references refer to Arcturus Therapeutics Holdings Inc., a Delaware corporation, and its predecessors and consolidated subsidiaries..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The Arcturus logo and other trademarks of Arcturus appearing in this prospectus and the accompanying prospectus are the property of Arcturus. All other trademarks, service marks and trade names in this prospectus and the accompanying prospectus are the property of their respective owners. Solely for convenience, trademarks and trade names referred to in this prospectus and the accompanying base prospectus may appear without the ® or ™ symbols.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summary highlights selected information appearing elsewhere in this prospectus or accompany prospectus, or incorporated by reference in herein or therein, and does not contain all of the information that you need to consider in making your investment decision. You should carefully read the entire prospectus and accompanying base prospectus and any related free writing prospectus, including the risks of investing in our securities discussed under the heading “Risk Factors” herein and therein, and any related free writing prospectus, and under similar headings in the other documents that are incorporated by reference into this prospectus or accompanying base prospectus. You should also carefully read the information incorporated by reference into this prospectus and accompanying base prospectus, including our financial statements, and the exhibits to the registration statement of which this prospectus is a part.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Arcturus is a global late-stage clinical messenger RNA medicines company focused on the development of infectious disease vaccines and significant opportunities within liver and respiratory rare diseases. In addition to our messenger RNA (“mRNA”) platform, our proprietary lipid nanoparticle delivery</w:t>
      </w:r>
    </w:p>
    <w:p>
      <w:pPr>
        <w:spacing w:after="0" w:line="1" w:lineRule="exact"/>
        <w:rPr>
          <w:sz w:val="20"/>
          <w:szCs w:val="20"/>
          <w:color w:val="auto"/>
        </w:rPr>
      </w:pPr>
    </w:p>
    <w:p>
      <w:pPr>
        <w:ind w:right="160"/>
        <w:spacing w:after="0" w:line="219" w:lineRule="auto"/>
        <w:rPr>
          <w:sz w:val="20"/>
          <w:szCs w:val="20"/>
          <w:color w:val="auto"/>
        </w:rPr>
      </w:pPr>
      <w:r>
        <w:rPr>
          <w:rFonts w:ascii="Times New Roman" w:cs="Times New Roman" w:eastAsia="Times New Roman" w:hAnsi="Times New Roman"/>
          <w:sz w:val="17"/>
          <w:szCs w:val="17"/>
          <w:color w:val="auto"/>
        </w:rPr>
        <w:t>system, LUNAR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has the potential to enable multiple nucleic acid medicines, and our proprietary self-amplifying mRNA technology (Self-Transcribing and Replicating RNA or STARR™) technology has the potential to provide longer-lasting RNA and sustained protein expression at lower dose levels.</w:t>
      </w:r>
    </w:p>
    <w:p>
      <w:pPr>
        <w:spacing w:after="0" w:line="202" w:lineRule="exact"/>
        <w:rPr>
          <w:sz w:val="20"/>
          <w:szCs w:val="20"/>
          <w:color w:val="auto"/>
        </w:rPr>
      </w:pPr>
    </w:p>
    <w:p>
      <w:pPr>
        <w:ind w:right="360"/>
        <w:spacing w:after="0" w:line="225" w:lineRule="auto"/>
        <w:rPr>
          <w:sz w:val="20"/>
          <w:szCs w:val="20"/>
          <w:color w:val="auto"/>
        </w:rPr>
      </w:pPr>
      <w:r>
        <w:rPr>
          <w:rFonts w:ascii="Times New Roman" w:cs="Times New Roman" w:eastAsia="Times New Roman" w:hAnsi="Times New Roman"/>
          <w:sz w:val="17"/>
          <w:szCs w:val="17"/>
          <w:color w:val="auto"/>
        </w:rPr>
        <w:t>We are leveraging our proprietary platform relating to LUNAR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our nucleic acid technologies to develop and advance a pipeline of mRNA-based vaccines and therapeutics for the prevention of infectious diseases and treatment of rare genetic disorders with significant unmet medical needs. We</w:t>
      </w:r>
    </w:p>
    <w:p>
      <w:pPr>
        <w:spacing w:after="0" w:line="2"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continue to expand this platform with innovative delivery solutions that allow us to expand our discovery efforts. Our proprietary LUNAR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technology is intended to address major hurdles in RNA drug development, such as the effective and safe delivery of RNA therapeutics to disease-relevant target tissues and for RNA vaccines the mitigation of challenges associated with cold chain storage and distribution via lyophilization. We believe the versatility of our platform to target multiple tissues, its compatibility with various nucleic acid therapeutics, and our expertise in developing scalable manufacturing processes will allow us to deliver on the next generation of nucleic acid medicines.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and commenced trading on Nasdaq under the symbol “ARCT.” On June 17, 2019, we redomiciled to the United States and changed our name to Arcturus Therapeutics Holdings Inc.</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10628 Science Center Drive, Suite 250, San Diego, California 92121, and our telephone number is (858) 900-2660. Our website is located at https://arcturusrx.com. We do not incorporate by reference into this prospectus or the accompanying base prospectus the information on, or accessible through, our website. Our common stock trades on The Nasdaq Global Market under the symbol “ARCT”.</w:t>
      </w: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220"/>
          </w:cols>
          <w:pgMar w:left="320" w:top="1008" w:right="35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Shares of our common stock having an aggregate offering price of up to $200 million.</w:t>
      </w:r>
    </w:p>
    <w:p>
      <w:pPr>
        <w:spacing w:after="0" w:line="121" w:lineRule="exact"/>
        <w:rPr>
          <w:sz w:val="20"/>
          <w:szCs w:val="20"/>
          <w:color w:val="auto"/>
        </w:rPr>
      </w:pPr>
    </w:p>
    <w:p>
      <w:pPr>
        <w:sectPr>
          <w:pgSz w:w="11900" w:h="16838" w:orient="portrait"/>
          <w:cols w:equalWidth="0" w:num="2">
            <w:col w:w="4900" w:space="720"/>
            <w:col w:w="5600"/>
          </w:cols>
          <w:pgMar w:left="320" w:top="100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Plan of Distribution</w:t>
      </w:r>
    </w:p>
    <w:p>
      <w:pPr>
        <w:spacing w:after="0" w:line="20" w:lineRule="exact"/>
        <w:rPr>
          <w:sz w:val="20"/>
          <w:szCs w:val="20"/>
          <w:color w:val="auto"/>
        </w:rPr>
      </w:pPr>
      <w:r>
        <w:rPr>
          <w:sz w:val="20"/>
          <w:szCs w:val="20"/>
          <w:color w:val="auto"/>
        </w:rPr>
        <w:br w:type="column"/>
      </w:r>
    </w:p>
    <w:p>
      <w:pPr>
        <w:ind w:right="80"/>
        <w:spacing w:after="0" w:line="266" w:lineRule="auto"/>
        <w:rPr>
          <w:sz w:val="20"/>
          <w:szCs w:val="20"/>
          <w:color w:val="auto"/>
        </w:rPr>
      </w:pPr>
      <w:r>
        <w:rPr>
          <w:rFonts w:ascii="Times New Roman" w:cs="Times New Roman" w:eastAsia="Times New Roman" w:hAnsi="Times New Roman"/>
          <w:sz w:val="18"/>
          <w:szCs w:val="18"/>
          <w:color w:val="auto"/>
        </w:rPr>
        <w:t>This is an “at-the-market” offering that may be made from time to time through our sales agents, Cantor and Wells Fargo. See “Plan of Distribution” on page S-10 of this prospectus.</w:t>
      </w:r>
    </w:p>
    <w:p>
      <w:pPr>
        <w:spacing w:after="0" w:line="135" w:lineRule="exact"/>
        <w:rPr>
          <w:sz w:val="20"/>
          <w:szCs w:val="20"/>
          <w:color w:val="auto"/>
        </w:rPr>
      </w:pPr>
    </w:p>
    <w:p>
      <w:pPr>
        <w:sectPr>
          <w:pgSz w:w="11900" w:h="16838" w:orient="portrait"/>
          <w:cols w:equalWidth="0" w:num="2">
            <w:col w:w="4900" w:space="720"/>
            <w:col w:w="5600"/>
          </w:cols>
          <w:pgMar w:left="320" w:top="100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if any, from the sale of shares of our common stock for general corporate purposes, working capital and other general corporate purposes. See “Use of Proceeds” on page S-7 of this prospectus.</w:t>
      </w:r>
    </w:p>
    <w:p>
      <w:pPr>
        <w:spacing w:after="0" w:line="139" w:lineRule="exact"/>
        <w:rPr>
          <w:sz w:val="20"/>
          <w:szCs w:val="20"/>
          <w:color w:val="auto"/>
        </w:rPr>
      </w:pPr>
    </w:p>
    <w:p>
      <w:pPr>
        <w:sectPr>
          <w:pgSz w:w="11900" w:h="16838" w:orient="portrait"/>
          <w:cols w:equalWidth="0" w:num="2">
            <w:col w:w="4900" w:space="720"/>
            <w:col w:w="5600"/>
          </w:cols>
          <w:pgMar w:left="320" w:top="100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Global Market Symbol</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See the information contained in or incorporated by reference under the heading “Risk Factors” beginning on page S-5 of this prospectus, and under similar headings in the documents incorporated by reference into this prospectus. “ARCT”</w:t>
      </w:r>
    </w:p>
    <w:p>
      <w:pPr>
        <w:spacing w:after="0" w:line="377" w:lineRule="exact"/>
        <w:rPr>
          <w:sz w:val="20"/>
          <w:szCs w:val="20"/>
          <w:color w:val="auto"/>
        </w:rPr>
      </w:pPr>
    </w:p>
    <w:p>
      <w:pPr>
        <w:sectPr>
          <w:pgSz w:w="11900" w:h="16838" w:orient="portrait"/>
          <w:cols w:equalWidth="0" w:num="2">
            <w:col w:w="4900" w:space="720"/>
            <w:col w:w="5600"/>
          </w:cols>
          <w:pgMar w:left="320" w:top="1008" w:right="359" w:bottom="1440" w:gutter="0" w:footer="0" w:header="0"/>
          <w:type w:val="continuous"/>
        </w:sectPr>
      </w:pPr>
    </w:p>
    <w:p>
      <w:pPr>
        <w:spacing w:after="0" w:line="2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outstanding after this offering is based on 26, 555,483 shares of our common stock outstanding as of December 19, 2022, and excludes:</w:t>
      </w:r>
    </w:p>
    <w:p>
      <w:pPr>
        <w:spacing w:after="0" w:line="162"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5,024,481 shares issuable upon exercise of our issued and outstanding stock options;</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29,576,357 shares reserved for issuance, but not subject to outstanding options or restricted stock awards, under our incentive equity plan; and</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565,106 shares reserved for issuance under our employee stock purchase plan.</w:t>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type w:val="continuous"/>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and certain information incorporated herein by reference contains forward-looking statements that involve risks and uncertainties. Our actual results could differ materially from those discussed in the forward-looking statements. The statements contained in this prospectus that are not purely historical are forward-looking statements within the meaning of Section 27A of the Securities Act of 1933, as amended (the “Securities Act”), and Section 21E of the Securities Exchange Act of 1934, as amended (the “Exchange Act”). Forward-looking statements are often identified by the use of words such as, but not limited to, “anticipate,” “believe,” “can,” “continue,” “could,” “estimate,” “expect,” “intend,” “may,” “plan,” “project,” “seek,” “should,” “strategy,”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might cause these differences include the following:</w:t>
      </w:r>
    </w:p>
    <w:p>
      <w:pPr>
        <w:spacing w:after="0" w:line="225" w:lineRule="exact"/>
        <w:rPr>
          <w:sz w:val="20"/>
          <w:szCs w:val="20"/>
          <w:color w:val="auto"/>
        </w:rPr>
      </w:pPr>
    </w:p>
    <w:p>
      <w:pPr>
        <w:ind w:left="660" w:right="100" w:hanging="328"/>
        <w:spacing w:after="0" w:line="257"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spacing w:after="0" w:line="1" w:lineRule="exact"/>
        <w:rPr>
          <w:rFonts w:ascii="Times New Roman" w:cs="Times New Roman" w:eastAsia="Times New Roman" w:hAnsi="Times New Roman"/>
          <w:sz w:val="18"/>
          <w:szCs w:val="18"/>
          <w:color w:val="auto"/>
        </w:rPr>
      </w:pPr>
    </w:p>
    <w:p>
      <w:pPr>
        <w:ind w:left="660" w:right="7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success and benefits of our arrangements with private and governmental entities, some of which are subject to termination for convenience by our counterparties;</w:t>
      </w:r>
    </w:p>
    <w:p>
      <w:pPr>
        <w:ind w:left="660" w:right="14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filings, submissions and notices related to our commercial arrangements, including those made to the U.S. Federal Trade Commission and Department of Justice pursuant to the Hart-Scott-Rodino Antitrust Improvements Act of 1976;</w:t>
      </w:r>
    </w:p>
    <w:p>
      <w:pPr>
        <w:ind w:left="660" w:right="1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and benefits of our technologies and product candidates on their own and in comparison to technologies, drugs or courses of treatment currently available or that may be developed by competitors;</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clinical data will be sufficient for regulatory approval;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for receipt of data or results of a study or clinical trial, including the anticipated data for our ARCT-810 trial;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or timing of any regulatory approval;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administration regimen or dosage, or ability to administer multiple doses of, any of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and/or warnings in the label of an approved product candidate;</w:t>
      </w:r>
    </w:p>
    <w:p>
      <w:pPr>
        <w:ind w:left="660" w:right="8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our expectations regarding future therapeutic and commercial potential with respect to, our product candidates;</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with regulatory authorities in the United States and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experienced and seasoned scientific and management professionals to lead the Company;</w:t>
      </w:r>
    </w:p>
    <w:p>
      <w:pPr>
        <w:spacing w:after="0" w:line="9"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 partners’ election to pursue development and commercialization of any programs or product candidates that are subject to our collaboration and license agreements with such partners;</w:t>
      </w:r>
    </w:p>
    <w:p>
      <w:pPr>
        <w:ind w:left="660" w:right="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and success of our collaboration agreement with CSL Seqirus related to the licensure of our STARR™ mRNA technology and LUNAR® lipid-mediated delivery, including our timely receipt of potential royalty and other payments thereunder;</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collaborators with relevant development, regulatory and commercialization expertise;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activities to be undertaken by our strategic alliance partners, collaborators and other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 whether alone or with potential future collaborators;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36" w:name="page37"/>
    <w:bookmarkEnd w:id="36"/>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settle or be victorious at costly litigation with shareholders, former executives or others, should these situations arise;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deploy funding for our operations and to efficiently use our financial and other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any proceeds from this offering;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future expenses, future revenues, capital requirements and need for additional financing; and</w:t>
      </w:r>
    </w:p>
    <w:p>
      <w:pPr>
        <w:spacing w:after="0" w:line="9" w:lineRule="exact"/>
        <w:rPr>
          <w:rFonts w:ascii="Times New Roman" w:cs="Times New Roman" w:eastAsia="Times New Roman" w:hAnsi="Times New Roman"/>
          <w:sz w:val="18"/>
          <w:szCs w:val="18"/>
          <w:color w:val="auto"/>
        </w:rPr>
      </w:pPr>
    </w:p>
    <w:p>
      <w:pPr>
        <w:ind w:left="660" w:right="320" w:hanging="328"/>
        <w:spacing w:after="0" w:line="290" w:lineRule="auto"/>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factors (i) included in our annual report on Form 10-K for the fiscal year ended December 31, 2021, (ii) contained in our other SEC reports described under “Risk Factors,” (iii) described elsewhere in this prospectus, and (iv) that we may publicly disclose from time to time.</w:t>
      </w:r>
    </w:p>
    <w:p>
      <w:pPr>
        <w:spacing w:after="0" w:line="3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urge you to consider these factors carefully in evaluating the forward-looking statements contained in this prospectus and accompanying prospectus. All subsequent written or oral forward-looking statements attributable to our company or persons acting on our behalf are expressly qualified in their entirety by these cautionary statements. The forward-looking statements included in this prospectus are made only as of the date of this prospectus. We undertake no obligation to update publicly any forward-looking statements, whether as a result of new information, future events or otherwise, except to the extent that we are required to do so by law.</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making a decision to invest in our securities, in addition to carefully considering the other information contained in this prospectus, in the accompanying base prospectus and incorporated by reference herein or therein, you should carefully consider the risks described under the caption “Risk Factors” contained in the accompanying base prospectus, and any related free writing prospectus, and the risks discussed under the caption “Risk Factors” contained in our most recent annual report on Form 10-K and in our most recent quarterly reports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and “Incorporation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 in the net tangible book value per share of the common stock you purchase.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net tangible book value per share of our common stock outstanding prior to this offering. Assuming that an aggregate 11,933,174 shares of our common stock are sold in this offering at an assumed offering price of $16.76 per share, which was the last reported sale price of our common stock on the Nasdaq Global Market on December 19, 2022, for aggregate gross proceeds of $200,000,000, and after deducting commissions and estimated aggregate offering expenses payable by us, you would experience immediate dilution of $8.08 per share, representing the difference between our net tangible book value per share as of September 30, 2022, on an unaudited as adjusted basis after giving effect to this offering. Because the offering price per share will vary based on the market for our common stock and our net tangible book value per share will change over the course of the offering, the actual dilution experienced by you may be more or less than this amount.</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Issuances by the Company or sales by stockholders of a substantial number of shares of our common stock in the public market could cause our stock price to fall.</w:t>
      </w:r>
    </w:p>
    <w:p>
      <w:pPr>
        <w:spacing w:after="0" w:line="15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As of December 19, 2022, we had 26, 555,483 shares of our common stock outstanding. If our stockholders sell, or the market perceives that our stockholders intend to sell, substantial amount of our common stock in the public market, the market price of our common stock could decline significantly.</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spacing w:after="0" w:line="17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to use the net proceeds from this offering and its investment of these proceeds may not yield a favorable return.</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management team will have broad discretion in the application of the net proceeds from this offering and could spend or invest the proceeds in ways that may not yield a favorable return or enhance the value of our common stock. Accordingly, investors will need to rely on our management team’s judgment with respect to the use of these proceeds. We intend to use the proceeds from this offering in the manner described in the section titled “</w:t>
      </w:r>
      <w:r>
        <w:rPr>
          <w:rFonts w:ascii="Times New Roman" w:cs="Times New Roman" w:eastAsia="Times New Roman" w:hAnsi="Times New Roman"/>
          <w:sz w:val="18"/>
          <w:szCs w:val="18"/>
          <w:i w:val="1"/>
          <w:iCs w:val="1"/>
          <w:color w:val="auto"/>
        </w:rPr>
        <w:t>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 The failure by management to apply these funds effectively could negatively affect our ability to operate and grow our business. We cannot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specify with certainty all of the particular uses for the net proceeds to be received upon the completion of this offering, and the uses will depend on how much of the maximum $200 million of shares are actually sold in this offering. In addition, the amount, allocation and timing of our actual expenditures will depend upon numerous factors, including any milestone payments received from our collaboration with CSL Seqirus and any future strategic partnerships. Accordingly, we will have broad discretion in using these proceeds. Until the net proceeds are used, they may be placed in investments that do not produce significant income or that may lose value.</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share appreciation for any return on their investment.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As a result, capital appreciation, if any, of our common stock will be your sole source of gain on your investment for the foreseeable future. Investors seeking cash dividends should not invest in our common stock.</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including purchasers of our common stock in this offering, restrict our operations or require us to relinquish substantial rights.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9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and the terms of the Sales Agreement,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sales proceeds of up to $200,000,000 from time to time. Because there is no minimum offering amount required as a condition to any sales in this offering, the actual total public offering amount, commissions and proceeds to us, if any, are not determinable at this time. There can be no assurance that we will sell any shares under or fully utilize the Sales Agreement with Cantor and Wells Fargo as a source of financing.</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if any, from the sale of our common stock in this offering for working capital and general corporate purposes. We have not identified the amounts we will spend on any specific purpose. The amounts actually expended for any purpose may vary significantly depending upon numerous factors, including assessments of potential market opportunities, the results of clinical trials and regulatory developments. In the event any net proceeds are not immediately applied, we may temporarily deposit them in our bank accounts as cash and cash equivalents or purchase short-term investments.</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you invest in our shares, your ownership interest will be diluted to the extent of the difference between the price you paid per share of common stock in this offering and the net tangible book value per share of our common stock after this offering. Net tangible book value per share represents total tangible assets less total liabilities, divided by the number of shares of our common stock outstanding.</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net tangible book value as of September 30, 2022 was approximately $145.7 million, or approximately $5.50 per share of our common stock issued and outstanding, on an unaudited historical actual basis as of such date.</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net tangible book value as of September 30, 2022 would have been approximately $333.5 million, or approximately $8.68 per share of our common stock issued and outstanding, on an unaudited as adjusted basis as of such date, after giving effect to the sale by us of 11,933,174 shares of our common stock in this offering at an assumed offering price of $16.76 per share, which was the last reported sale price of our common stock on the Nasdaq Global Market on December 19, 2022, for aggregate gross proceeds of $200.0 million, and after deducting commissions and estimated aggregate offering expenses payable by us. This represents an immediate increase in net tangible book value of $3.18 per share of our common stock to existing stockholders and an immediate dilution of $8.08 per share of our common stock to new investors purchasing shares of our common stock in this offering at the assumed offering price.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the dilution on a per share of common stock basis for investors purchasing shares of our common stock in this offering: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1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16.76</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2022</w:t>
            </w:r>
          </w:p>
        </w:tc>
        <w:tc>
          <w:tcPr>
            <w:tcW w:w="1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attributable to this offering</w:t>
            </w:r>
          </w:p>
        </w:tc>
        <w:tc>
          <w:tcPr>
            <w:tcW w:w="1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as of September 30, 2022</w:t>
            </w:r>
          </w:p>
        </w:tc>
        <w:tc>
          <w:tcPr>
            <w:tcW w:w="13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7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8.68</w:t>
            </w: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value per share to new investors</w:t>
            </w:r>
          </w:p>
        </w:tc>
        <w:tc>
          <w:tcPr>
            <w:tcW w:w="1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8.08</w:t>
            </w: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per share calculations above are based on the number of shares of our common stock issued and outstanding as of September 30, 2022, as follows: 26,492,324 shares on an unaudited historical actual basis and 38,425,498 shares on an unaudited as adjusted basis (in each case, excluding 5,024,481 shares issuable upon exercise of options issued under our equity and stock incentive plans).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11,933,174 shares of our common stock are sold at an offering price of $16.76 per share, the last reported sale price of our common stock on the Nasdaq Global Market on December 19, 2022, for aggregate gross proceeds of $200.0 million. However, the shares sold in this offering, if any, will be sold from time to time at various prices. Presented below, solely for illustrative purposes only, is the effect of each of an increase and a decrease of the assumed offering price by $1.00 per share.</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Assuming that an aggregate of 11,261,261 shares of our common stock are sold at an offering price of $17.76 per share, representing an increase of $1.00 per share from the assumed offering price above, for aggregate gross proceeds of $200.0 million, after deducting commissions and estimated aggregate offering expenses payable by us, our net tangible book value per share on an as adjusted basis would be $8.83 per share and the dilution in net tangible book value per share to new investors would be $8.93 per share.</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Assuming that an aggregate of 12,690,355 shares of our common stock are sold at an offering price of $15.76 per share, representing a decrease of $1.00 per share from the assumed offering price above, for aggregate gross proceeds of $200.0 million, after deducting commissions and estimated aggregate offering expenses payable by us, our net tangible book value per share on an unaudited as adjusted basis would be $8.51 per share and the dilution in net tangible book value per share to new investors would be $7.25 per share.</w:t>
      </w: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spacing w:after="0" w:line="256" w:lineRule="auto"/>
        <w:rPr>
          <w:sz w:val="20"/>
          <w:szCs w:val="20"/>
          <w:color w:val="auto"/>
        </w:rPr>
      </w:pPr>
      <w:r>
        <w:rPr>
          <w:rFonts w:ascii="Times New Roman" w:cs="Times New Roman" w:eastAsia="Times New Roman" w:hAnsi="Times New Roman"/>
          <w:sz w:val="18"/>
          <w:szCs w:val="18"/>
          <w:color w:val="auto"/>
        </w:rPr>
        <w:t>The foregoing information does not take into account (i) the exercise of our outstanding options or the issuance of shares under our equity plans or other arrangements, as set forth in “</w:t>
      </w:r>
      <w:r>
        <w:rPr>
          <w:rFonts w:ascii="Times New Roman" w:cs="Times New Roman" w:eastAsia="Times New Roman" w:hAnsi="Times New Roman"/>
          <w:sz w:val="18"/>
          <w:szCs w:val="18"/>
          <w:i w:val="1"/>
          <w:iCs w:val="1"/>
          <w:color w:val="auto"/>
        </w:rPr>
        <w:t>Prospectus Summary – The Offering</w:t>
      </w:r>
      <w:r>
        <w:rPr>
          <w:rFonts w:ascii="Times New Roman" w:cs="Times New Roman" w:eastAsia="Times New Roman" w:hAnsi="Times New Roman"/>
          <w:sz w:val="18"/>
          <w:szCs w:val="18"/>
          <w:color w:val="auto"/>
        </w:rPr>
        <w:t>” or (ii) the receipt from CSL Seqirus of an aggregate of $200.0 million in December 2022. To the extent that other shares are issued,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those securities could result in further dilution to investors in this offering.</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entered into the Sales Agreement with Cantor and Wells Fargo relating to the sale of our common stock offered by this prospectus and the accompanying base prospectus. In accordance with the terms of the Sales Agreement, from time to time, we may offer and sell shares of our common stock having an aggregate gross sales price of up to $200,000,000 to or through Cantor or Wells Fargo, acting as sales agent or principal. The Sales Agreement has been filed as an exhibit to the registration statement of which this prospectus forms a part.</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Each time that we wish to issue and sell shares, we will notify Cantor or Wells Fargo as to the number of shares to be issued, the time period during which sales are requested to be made, any limitation on the number of shares that may be sold in any one day and any minimum price below which sales may not be made. Cantor or Wells Fargo may decline to accept any such notice for any reason.</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Following the delivery and acceptance of such a notice, and subject to the terms and conditions of the Sales Agreement and applicable laws, rules and regulations, Cantor or Wells Fargo (as applicable) will use commercially reasonable efforts consistent with its normal trading and sales practices to sell shares in an amount and otherwise on terms specified by us from time to time and accepted by Cantor or Wells Fargo. Sales of our common stock by Cantor and Wells Fargo, if any, under this prospectus and the accompanying base prospectus may be made by any method permitted by law and deemed to be an “at the market offering” as defined in Rule 415(a)(4) promulgated under the Securities Act. Cantor and Wells Fargo are not required to sell or purchase any specific number or dollar amounts of securities. There is no arrangement for funds to be received in any escrow, trust or similar arrangement. We, Cantor or Wells Fargo may suspend the offering of common stock upon notice and subject to other conditions.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will pay Cantor or Wells Fargo commissions, in cash, for services in acting as agent in the sale of our common stock. Pursuant to the Sales Agreement, we will furnish to Cantor or Wells Fargo a “placement notice” and the recipient of such notice will be deemed the “designated agent” for such placement. Cantor or Wells Fargo, as designated agent, will be entitled to compensation at a commission rate of 3.0% of the gross sales price per share sold in any such placement. Because there is no minimum offering amount required as a condition to close this offering, the actual total public offering amount, commissions and proceeds to us, if any, are not determinable at this time. We have also agreed to reimburse Cantor and Wells Fargo for certain specified fees and documented expenses, including the fees and documented expenses of its legal counsel in an aggregate amount not to exceed $75,000 and certain on-going expenses. We estimate that the total expenses for the offering, excluding commissions and reimbursements payable to Cantor and Wells Fargo under the terms of the Sales Agreement, will be approximately $0.1 million.</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Settlement for sales of common stock will occur on the second trading day following the date on which any sales are made, or on some other date that is agreed upon by us and Cantor or Wells Fargo (as applicable) in connection with a particular transaction, in return for payment of the net proceeds to us. Sales of our common stock as contemplated in this prospectus will be settled through the facilities of The Depository Trust Company or by such other means as we, Cantor and Wells Fargo may agree upon. In connection with the sale of the common stock on our behalf, Cantor and Wells Fargo will be deemed to be “underwriters” within the meaning of the Securities Act and the compensation of Cantor and Wells Fargo will be deemed to be underwriting commissions or discounts. We have agreed to provide indemnification and contribution to Cantor and Wells Fargo against certain civil liabilities, including liabilities under the Securities Act.</w:t>
      </w:r>
    </w:p>
    <w:p>
      <w:pPr>
        <w:spacing w:after="0" w:line="18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offering of our common stock pursuant to the sales agreement will terminate as permitted therein. We, Cantor and Wells Fargo may each terminate the Sales Agreement at any time upon five days’ prior notice.</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Cantor, Wells Fargo, and their respective affiliates may in the future provide various investment banking, commercial banking and other financial services for us and our affiliates, for which services they may in the future receive customary fees. To the extent required by Regulation M, Cantor and Wells Fargo will not engage in any market making activities involving our common stock while the offering is ongoing under this prospectus.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prospectus in electronic format may be made available on a website maintained by Cantor and Wells Fargo, and each may distribute this prospectus electronically.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trading symbol “ARCT.”</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stock to be issued in this offering is Continental Stock Transfer &amp; Trust Company, located at 1 State Street, 30th Floor, New York, NY 10004.</w:t>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Arcturus Therapeutics Holdings Inc. and its Subsidiaries appearing in Arcturus Therapeutics Holdings Inc.’s Annual Report (Form 10-K) for the year ended December 31, 2021, and the effectiveness of Arcturus Therapeutics Holdings Inc. and its Subsidiaries’ internal control over financial reporting as of December 31, 2021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Dentons US LLP, New York, New York. Certain legal matters in connection with this offering will be passed upon for the agent by Goodwin Proctor LLP, New York, New York.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file annual, quarterly and periodic reports, proxy statements and other information with the SEC. You may read and copy any materials that we file with the SEC at the SEC’s Public Reference Room at 100 F Street, N.E., Washington, D.C. 20549. You may obtain information on the operation of the Public Reference Room by calling the SEC at 1-800-SEC-0330. Our SEC filings are also available to the public from the SEC’s Website at www.sec.gov. We make available free of charge its annual, quarterly and current reports, proxy statements and other information upon request. To request such materials, please contact the Corporate Secretary at the following address or telephone number: Arcturus Therapeutics Holdings Inc., 10628 Science Center Drive, Suite 250, San Diego, California 92121, Attention: Investor Relations; (858) 900-2660. Exhibits to the documents will not be sent, unless those exhibits have specifically been incorporated by reference in this prospectus.</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maintain our website at https://arcturusrx.com. Our website and the information contained therein or connected thereto are not incorporated into this Registration Statement.</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relating to the securities we are offering by this prospectus and the accompanying base prospectus. This prospectus and accompanying base prospectus do not contain all of the information set forth in the registration statement and the exhibits and schedules to the registration statement. Please refer to the registration statement and its exhibits and schedules for further information with respect to the Company and its securities. Statements contained in this prospectus and accompanying base prospectus as to the contents of any contract or other document are not necessarily complete and, in each instance, we refer you to the copy of that contract or document filed as an exhibit to the registration statement or to a document incorporated by reference therein. You may read and obtain a copy of the registration statement and its exhibits and schedules from the SEC, as described in the preceding paragraph.</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this information. We incorporate by reference the documents filed with SEC listed below:</w:t>
      </w:r>
    </w:p>
    <w:p>
      <w:pPr>
        <w:spacing w:after="0" w:line="176"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2021, filed with the SEC on March 1, 2022;</w:t>
      </w:r>
    </w:p>
    <w:p>
      <w:pPr>
        <w:spacing w:after="0" w:line="252"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periods ended March 31, 2022, June 30, 2022 and September 30, 2022, filed with the SEC on May 9, 2022, August 9, 2022 and November 9, 2022, respectively;</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specifically incorporated by reference into our Annual Report on Form 10-K for the year ended December 31, 2021 from our Definitive Proxy Statement on Schedule 14A, filed with the SEC on May 2, 2022;</w:t>
      </w:r>
    </w:p>
    <w:p>
      <w:pPr>
        <w:spacing w:after="0" w:line="18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February 11, 2022, February 17, 2022, April 20, 2022, June 24, 2022, September 1, 2022, November 2, 2022, November 4, 2022, and December 13, 2022, respectively (in each case, except for information contained therein which is furnished rather than filed); and</w:t>
      </w:r>
    </w:p>
    <w:p>
      <w:pPr>
        <w:spacing w:after="0" w:line="39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in our Form 8-K12B filed with the SEC on June 14, 2019.</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44" w:name="page45"/>
    <w:bookmarkEnd w:id="44"/>
    <w:p>
      <w:pPr>
        <w:ind w:right="36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6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Telephone: (858) 900-2660</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Statements contained in this prospectus as to the contents of any contract or other documents are not necessarily complete, and in each instance investors are referred to the copy of the contract or other document filed as an exhibit to the registration statement or to documents incorporated by reference therein, each such statement being qualified in all respects by such reference and the exhibits and schedules thereto.</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400"/>
                    </a:xfrm>
                    <a:prstGeom prst="rect">
                      <a:avLst/>
                    </a:prstGeom>
                    <a:noFill/>
                  </pic:spPr>
                </pic:pic>
              </a:graphicData>
            </a:graphic>
          </wp:anchor>
        </w:drawing>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156845</wp:posOffset>
            </wp:positionV>
            <wp:extent cx="1885950" cy="6343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8595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72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38"/>
        </w:trPr>
        <w:tc>
          <w:tcPr>
            <w:tcW w:w="3960" w:type="dxa"/>
            <w:vAlign w:val="bottom"/>
          </w:tcPr>
          <w:p>
            <w:pPr>
              <w:spacing w:after="0"/>
              <w:rPr>
                <w:sz w:val="20"/>
                <w:szCs w:val="20"/>
                <w:color w:val="auto"/>
              </w:rPr>
            </w:pPr>
          </w:p>
        </w:tc>
        <w:tc>
          <w:tcPr>
            <w:tcW w:w="7280" w:type="dxa"/>
            <w:vAlign w:val="bottom"/>
          </w:tcPr>
          <w:p>
            <w:pPr>
              <w:jc w:val="center"/>
              <w:ind w:right="3867"/>
              <w:spacing w:after="0"/>
              <w:rPr>
                <w:sz w:val="20"/>
                <w:szCs w:val="20"/>
                <w:color w:val="auto"/>
              </w:rPr>
            </w:pPr>
            <w:r>
              <w:rPr>
                <w:rFonts w:ascii="Times New Roman" w:cs="Times New Roman" w:eastAsia="Times New Roman" w:hAnsi="Times New Roman"/>
                <w:sz w:val="18"/>
                <w:szCs w:val="18"/>
                <w:b w:val="1"/>
                <w:bCs w:val="1"/>
                <w:color w:val="auto"/>
              </w:rPr>
              <w:t>___________________</w:t>
            </w:r>
          </w:p>
        </w:tc>
      </w:tr>
      <w:tr>
        <w:trPr>
          <w:trHeight w:val="410"/>
        </w:trPr>
        <w:tc>
          <w:tcPr>
            <w:tcW w:w="3960" w:type="dxa"/>
            <w:vAlign w:val="bottom"/>
          </w:tcPr>
          <w:p>
            <w:pPr>
              <w:spacing w:after="0"/>
              <w:rPr>
                <w:sz w:val="24"/>
                <w:szCs w:val="24"/>
                <w:color w:val="auto"/>
              </w:rPr>
            </w:pPr>
          </w:p>
        </w:tc>
        <w:tc>
          <w:tcPr>
            <w:tcW w:w="728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PROSPECTUS</w:t>
            </w:r>
          </w:p>
        </w:tc>
      </w:tr>
      <w:tr>
        <w:trPr>
          <w:trHeight w:val="238"/>
        </w:trPr>
        <w:tc>
          <w:tcPr>
            <w:tcW w:w="3960" w:type="dxa"/>
            <w:vAlign w:val="bottom"/>
          </w:tcPr>
          <w:p>
            <w:pPr>
              <w:spacing w:after="0"/>
              <w:rPr>
                <w:sz w:val="20"/>
                <w:szCs w:val="20"/>
                <w:color w:val="auto"/>
              </w:rPr>
            </w:pPr>
          </w:p>
        </w:tc>
        <w:tc>
          <w:tcPr>
            <w:tcW w:w="7280" w:type="dxa"/>
            <w:vAlign w:val="bottom"/>
          </w:tcPr>
          <w:p>
            <w:pPr>
              <w:jc w:val="center"/>
              <w:ind w:right="3867"/>
              <w:spacing w:after="0"/>
              <w:rPr>
                <w:sz w:val="20"/>
                <w:szCs w:val="20"/>
                <w:color w:val="auto"/>
              </w:rPr>
            </w:pPr>
            <w:r>
              <w:rPr>
                <w:rFonts w:ascii="Times New Roman" w:cs="Times New Roman" w:eastAsia="Times New Roman" w:hAnsi="Times New Roman"/>
                <w:sz w:val="18"/>
                <w:szCs w:val="18"/>
                <w:b w:val="1"/>
                <w:bCs w:val="1"/>
                <w:color w:val="auto"/>
              </w:rPr>
              <w:t>___________________</w:t>
            </w:r>
          </w:p>
        </w:tc>
      </w:tr>
      <w:tr>
        <w:trPr>
          <w:trHeight w:val="687"/>
        </w:trPr>
        <w:tc>
          <w:tcPr>
            <w:tcW w:w="3960" w:type="dxa"/>
            <w:vAlign w:val="bottom"/>
          </w:tcPr>
          <w:p>
            <w:pPr>
              <w:ind w:left="2480"/>
              <w:spacing w:after="0"/>
              <w:rPr>
                <w:sz w:val="20"/>
                <w:szCs w:val="20"/>
                <w:color w:val="auto"/>
              </w:rPr>
            </w:pPr>
            <w:r>
              <w:rPr>
                <w:rFonts w:ascii="Times New Roman" w:cs="Times New Roman" w:eastAsia="Times New Roman" w:hAnsi="Times New Roman"/>
                <w:sz w:val="22"/>
                <w:szCs w:val="22"/>
                <w:b w:val="1"/>
                <w:bCs w:val="1"/>
                <w:color w:val="auto"/>
              </w:rPr>
              <w:t>Cantor</w:t>
            </w:r>
          </w:p>
        </w:tc>
        <w:tc>
          <w:tcPr>
            <w:tcW w:w="7280" w:type="dxa"/>
            <w:vAlign w:val="bottom"/>
          </w:tcPr>
          <w:p>
            <w:pPr>
              <w:ind w:left="3440"/>
              <w:spacing w:after="0"/>
              <w:rPr>
                <w:sz w:val="20"/>
                <w:szCs w:val="20"/>
                <w:color w:val="auto"/>
              </w:rPr>
            </w:pPr>
            <w:r>
              <w:rPr>
                <w:rFonts w:ascii="Times New Roman" w:cs="Times New Roman" w:eastAsia="Times New Roman" w:hAnsi="Times New Roman"/>
                <w:sz w:val="22"/>
                <w:szCs w:val="22"/>
                <w:b w:val="1"/>
                <w:bCs w:val="1"/>
                <w:color w:val="auto"/>
              </w:rPr>
              <w:t>Wells Fargo Securities</w:t>
            </w:r>
          </w:p>
        </w:tc>
      </w:tr>
      <w:tr>
        <w:trPr>
          <w:trHeight w:val="420"/>
        </w:trPr>
        <w:tc>
          <w:tcPr>
            <w:tcW w:w="3960" w:type="dxa"/>
            <w:vAlign w:val="bottom"/>
          </w:tcPr>
          <w:p>
            <w:pPr>
              <w:spacing w:after="0"/>
              <w:rPr>
                <w:sz w:val="24"/>
                <w:szCs w:val="24"/>
                <w:color w:val="auto"/>
              </w:rPr>
            </w:pPr>
          </w:p>
        </w:tc>
        <w:tc>
          <w:tcPr>
            <w:tcW w:w="7280" w:type="dxa"/>
            <w:vAlign w:val="bottom"/>
          </w:tcPr>
          <w:p>
            <w:pPr>
              <w:jc w:val="center"/>
              <w:ind w:right="3867"/>
              <w:spacing w:after="0"/>
              <w:rPr>
                <w:sz w:val="20"/>
                <w:szCs w:val="20"/>
                <w:color w:val="auto"/>
              </w:rPr>
            </w:pPr>
            <w:r>
              <w:rPr>
                <w:rFonts w:ascii="Times New Roman" w:cs="Times New Roman" w:eastAsia="Times New Roman" w:hAnsi="Times New Roman"/>
                <w:sz w:val="18"/>
                <w:szCs w:val="18"/>
                <w:b w:val="1"/>
                <w:bCs w:val="1"/>
                <w:color w:val="auto"/>
                <w:w w:val="97"/>
              </w:rPr>
              <w:t>, 2022</w:t>
            </w:r>
          </w:p>
        </w:tc>
      </w:tr>
      <w:tr>
        <w:trPr>
          <w:trHeight w:val="466"/>
        </w:trPr>
        <w:tc>
          <w:tcPr>
            <w:tcW w:w="396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r>
        <w:trPr>
          <w:trHeight w:val="608"/>
        </w:trPr>
        <w:tc>
          <w:tcPr>
            <w:tcW w:w="396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19" w:right="339" w:bottom="1440" w:gutter="0" w:footer="0" w:header="0"/>
        </w:sectPr>
      </w:pPr>
    </w:p>
    <w:bookmarkStart w:id="46" w:name="page47"/>
    <w:bookmarkEnd w:id="4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expenses, other than the underwriting discounts and commissions, payable by the registrant in connection with the sale of the securities being registered. All of such fees expenses, except for the registration fee, are estimates: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Amount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7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55,100</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7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7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27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25" w:lineRule="exact"/>
        <w:rPr>
          <w:sz w:val="20"/>
          <w:szCs w:val="20"/>
          <w:color w:val="auto"/>
        </w:rPr>
      </w:pPr>
    </w:p>
    <w:p>
      <w:pPr>
        <w:ind w:left="380" w:right="380" w:hanging="318"/>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these fees and expenses is dependent on the number of issuances and amount of securities offered and, accordingly, cannot be estimated at this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bear all expenses in connection with the issuance and distribution of the securities being offered hereby.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incorporated under the laws of the state of Delaware. Section 145(a) of the Delaware General Corporation Law, or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his or her conduct was unlawful.</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was serving at the request of the corporation as a director, officer, employee or agent of another corporation, joint venture, trust or other enterprise, against expenses (including attorneys’ fees) actually and reasonably incurred by such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indemnity for such expenses which the court shall deem proper.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subsections of DGCL Section 145 provide that:</w:t>
      </w:r>
    </w:p>
    <w:p>
      <w:pPr>
        <w:spacing w:after="0" w:line="225" w:lineRule="exact"/>
        <w:rPr>
          <w:sz w:val="20"/>
          <w:szCs w:val="20"/>
          <w:color w:val="auto"/>
        </w:rPr>
      </w:pPr>
    </w:p>
    <w:p>
      <w:pPr>
        <w:ind w:right="120" w:firstLine="8"/>
        <w:spacing w:after="0" w:line="266"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present or former director or officer of a corporation has been successful on the merits or otherwise in the defense of any action, suit or proceeding referred to in subsections (a) and (b) of Section 145 or in the defense of any claim, issue or matter therein, such person shall be indemnified against expenses, including attorneys’ fees, actually and reasonably incurred by such person in connection therewith;</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698" w:right="419" w:bottom="1440" w:gutter="0" w:footer="0" w:header="0"/>
        </w:sectPr>
      </w:pPr>
    </w:p>
    <w:bookmarkStart w:id="47" w:name="page48"/>
    <w:bookmarkEnd w:id="47"/>
    <w:p>
      <w:pPr>
        <w:ind w:firstLine="8"/>
        <w:spacing w:after="0" w:line="266"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for pursuant to Section 145 shall not be deemed exclusive of any other rights to which those seeking indemnification or advancement of expenses may be entitled under any bylaw, agreement, vote of stockholders or disinterested directors or otherwise; and</w:t>
      </w:r>
    </w:p>
    <w:p>
      <w:pPr>
        <w:spacing w:after="0" w:line="175" w:lineRule="exact"/>
        <w:rPr>
          <w:rFonts w:ascii="Times New Roman" w:cs="Times New Roman" w:eastAsia="Times New Roman" w:hAnsi="Times New Roman"/>
          <w:sz w:val="18"/>
          <w:szCs w:val="18"/>
          <w:color w:val="auto"/>
        </w:rPr>
      </w:pPr>
    </w:p>
    <w:p>
      <w:pPr>
        <w:ind w:right="80" w:firstLine="8"/>
        <w:spacing w:after="0" w:line="261"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Section 145 of the DGCL makes provision for the indemnification of officers and directors in terms sufficiently broad to indemnify our officers and directors under certain circumstances from liabilities (including reimbursement for expenses incurred) arising under the Securities Act of 1933, as amended (the “Securities Act”). Our bylaws provide, in effect, that, to the fullest extent and under the circumstances permitted by Section 145 of the DGCL, we will indemnify any person (and the estate of any person) who was or is a party or is threatened to be made a party to any threatened, pending or completed action, suit or proceeding, whether civil, criminal, administrative or investigative, by reason of the fact that he or she is or was a director or officer of our company or is or was serving at our request as a director or officer of another corporation or enterprise. We may, in our discretion, similarly indemnify its employees and agents.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indemnification agreements with our officers and directors.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as amended, relieves our directors from monetary damages to us or our stockholders for breach of such director’s fiduciary duty as a director to the fullest extent permitted by the DGCL. Under Section 102(b)(7) of the DGCL, a corporation may relieve its directors from personal liability to such corporation or its stockholders for monetary damages for any breach of their fiduciary duty as directors except (i) for a breach of the duty of loyalty, (ii) for acts or omissions not in good faith, or which involve intentional misconduct or a knowing violation of law, (iii) for willful or negligent violations of certain provisions in the DGCL imposing certain requirements with respect to stock repurchases, redemptions and dividends, or (iv) for any transactions from which the director derived an improper personal benefit.</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currently maintain an insurance policy which, within the limits and subject to the terms and conditions thereof, covers certain expenses and liabilities that may be incurred by directors and officers in connection with proceedings that may be brought against them as a result of an act or omission committed or suffered while acting as a director or officer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attached to this registration statement and incorporated herein by this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660" w:right="260" w:hanging="4"/>
        <w:spacing w:after="0" w:line="255" w:lineRule="auto"/>
        <w:tabs>
          <w:tab w:leader="none" w:pos="925"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48" w:name="page49"/>
    <w:bookmarkEnd w:id="48"/>
    <w:p>
      <w:pPr>
        <w:ind w:left="660" w:right="520" w:hanging="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(1)(ii) and (1)(iii) of this section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ind w:left="340" w:right="20" w:hanging="8"/>
        <w:spacing w:after="0" w:line="266" w:lineRule="auto"/>
        <w:tabs>
          <w:tab w:leader="none" w:pos="5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right="80" w:hanging="8"/>
        <w:spacing w:after="0" w:line="282" w:lineRule="auto"/>
        <w:tabs>
          <w:tab w:leader="none" w:pos="5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87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660" w:hanging="4"/>
        <w:spacing w:after="0" w:line="253" w:lineRule="auto"/>
        <w:tabs>
          <w:tab w:leader="none" w:pos="101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ind w:left="340" w:right="360" w:hanging="8"/>
        <w:spacing w:after="0" w:line="282" w:lineRule="auto"/>
        <w:tabs>
          <w:tab w:leader="none" w:pos="5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162"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sz w:val="20"/>
          <w:szCs w:val="20"/>
          <w:color w:val="auto"/>
        </w:rPr>
      </w:pPr>
    </w:p>
    <w:p>
      <w:pPr>
        <w:ind w:left="880" w:hanging="224"/>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660" w:right="640" w:hanging="4"/>
        <w:spacing w:after="0" w:line="282" w:lineRule="auto"/>
        <w:tabs>
          <w:tab w:leader="none" w:pos="9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49" w:name="page50"/>
    <w:bookmarkEnd w:id="49"/>
    <w:p>
      <w:pPr>
        <w:ind w:left="660" w:right="20" w:hanging="4"/>
        <w:spacing w:after="0" w:line="282" w:lineRule="auto"/>
        <w:tabs>
          <w:tab w:leader="none" w:pos="97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firstLine="8"/>
        <w:spacing w:after="0" w:line="281" w:lineRule="auto"/>
        <w:tabs>
          <w:tab w:leader="none" w:pos="25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4" w:lineRule="exact"/>
        <w:rPr>
          <w:sz w:val="20"/>
          <w:szCs w:val="20"/>
          <w:color w:val="auto"/>
        </w:rPr>
      </w:pPr>
    </w:p>
    <w:p>
      <w:pPr>
        <w:ind w:right="80" w:firstLine="8"/>
        <w:spacing w:after="0" w:line="273" w:lineRule="auto"/>
        <w:tabs>
          <w:tab w:leader="none" w:pos="25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1" w:lineRule="exact"/>
        <w:rPr>
          <w:sz w:val="20"/>
          <w:szCs w:val="20"/>
          <w:color w:val="auto"/>
        </w:rPr>
      </w:pPr>
    </w:p>
    <w:p>
      <w:pPr>
        <w:ind w:firstLine="8"/>
        <w:spacing w:after="0" w:line="282" w:lineRule="auto"/>
        <w:tabs>
          <w:tab w:leader="none" w:pos="2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Act.</w:t>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60" w:type="dxa"/>
            <w:vAlign w:val="bottom"/>
            <w:gridSpan w:val="11"/>
          </w:tcPr>
          <w:p>
            <w:pPr>
              <w:ind w:left="1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48"/>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82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39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Pr>
          <w:p>
            <w:pPr>
              <w:spacing w:after="0"/>
              <w:rPr>
                <w:sz w:val="24"/>
                <w:szCs w:val="24"/>
                <w:color w:val="auto"/>
              </w:rPr>
            </w:pPr>
          </w:p>
        </w:tc>
        <w:tc>
          <w:tcPr>
            <w:tcW w:w="9760" w:type="dxa"/>
            <w:vAlign w:val="bottom"/>
            <w:gridSpan w:val="14"/>
          </w:tcPr>
          <w:p>
            <w:pPr>
              <w:spacing w:after="0" w:line="207" w:lineRule="exact"/>
              <w:rPr>
                <w:sz w:val="20"/>
                <w:szCs w:val="20"/>
                <w:color w:val="auto"/>
              </w:rPr>
            </w:pPr>
            <w:r>
              <w:rPr>
                <w:rFonts w:ascii="Times New Roman" w:cs="Times New Roman" w:eastAsia="Times New Roman" w:hAnsi="Times New Roman"/>
                <w:sz w:val="18"/>
                <w:szCs w:val="18"/>
                <w:color w:val="0000EE"/>
              </w:rPr>
              <w:t>Controlled Equity Offering</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 xml:space="preserve"> Sales Agreement, dated as of December 23, 2022 by and between Cantor Fitzgerald &amp; Co, Wells Fargo</w:t>
            </w:r>
          </w:p>
        </w:tc>
      </w:tr>
      <w:tr>
        <w:trPr>
          <w:trHeight w:val="196"/>
        </w:trPr>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LLC and Arcturus Therapeutics Holdings Inc.</w:t>
            </w:r>
          </w:p>
        </w:tc>
        <w:tc>
          <w:tcPr>
            <w:tcW w:w="5480" w:type="dxa"/>
            <w:vAlign w:val="bottom"/>
            <w:tcBorders>
              <w:top w:val="single" w:sz="8" w:color="0000EE"/>
            </w:tcBorders>
            <w:gridSpan w:val="8"/>
          </w:tcPr>
          <w:p>
            <w:pPr>
              <w:spacing w:after="0"/>
              <w:rPr>
                <w:sz w:val="17"/>
                <w:szCs w:val="17"/>
                <w:color w:val="auto"/>
              </w:rPr>
            </w:pPr>
          </w:p>
        </w:tc>
        <w:tc>
          <w:tcPr>
            <w:tcW w:w="160" w:type="dxa"/>
            <w:vAlign w:val="bottom"/>
          </w:tcPr>
          <w:p>
            <w:pPr>
              <w:spacing w:after="0"/>
              <w:rPr>
                <w:sz w:val="17"/>
                <w:szCs w:val="17"/>
                <w:color w:val="auto"/>
              </w:rPr>
            </w:pPr>
          </w:p>
        </w:tc>
      </w:tr>
      <w:tr>
        <w:trPr>
          <w:trHeight w:val="58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tcPr>
          <w:p>
            <w:pPr>
              <w:spacing w:after="0"/>
              <w:rPr>
                <w:sz w:val="24"/>
                <w:szCs w:val="24"/>
                <w:color w:val="auto"/>
              </w:rPr>
            </w:pPr>
          </w:p>
        </w:tc>
        <w:tc>
          <w:tcPr>
            <w:tcW w:w="9760" w:type="dxa"/>
            <w:vAlign w:val="bottom"/>
            <w:gridSpan w:val="14"/>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Certificate of Incorporation. Incorporated by reference to Annex B to the proxy statement/prospectus which forms part of the</w:t>
              </w:r>
            </w:hyperlink>
          </w:p>
        </w:tc>
      </w:tr>
      <w:tr>
        <w:trPr>
          <w:trHeight w:val="196"/>
        </w:trPr>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Registration Statement on Form S-4 filed on March 18, 2019 (File No. 333-230353).</w:t>
              </w:r>
            </w:hyperlink>
          </w:p>
        </w:tc>
        <w:tc>
          <w:tcPr>
            <w:tcW w:w="760" w:type="dxa"/>
            <w:vAlign w:val="bottom"/>
            <w:gridSpan w:val="4"/>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60" w:type="dxa"/>
            <w:vAlign w:val="bottom"/>
          </w:tcPr>
          <w:p>
            <w:pPr>
              <w:spacing w:after="0"/>
              <w:rPr>
                <w:sz w:val="24"/>
                <w:szCs w:val="24"/>
                <w:color w:val="auto"/>
              </w:rPr>
            </w:pPr>
          </w:p>
        </w:tc>
        <w:tc>
          <w:tcPr>
            <w:tcW w:w="9760" w:type="dxa"/>
            <w:vAlign w:val="bottom"/>
            <w:gridSpan w:val="14"/>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Certificate of Amendment, dated November 25, 2020. Incorporated by reference to Exhibit 3.1 to Form 8-K filed on November 25,</w:t>
              </w:r>
            </w:hyperlink>
          </w:p>
        </w:tc>
      </w:tr>
      <w:tr>
        <w:trPr>
          <w:trHeight w:val="196"/>
        </w:trPr>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2020 (File No. 001-38942).</w:t>
              </w:r>
            </w:hyperlink>
          </w:p>
        </w:tc>
        <w:tc>
          <w:tcPr>
            <w:tcW w:w="320" w:type="dxa"/>
            <w:vAlign w:val="bottom"/>
            <w:gridSpan w:val="3"/>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tcPr>
          <w:p>
            <w:pPr>
              <w:spacing w:after="0"/>
              <w:rPr>
                <w:sz w:val="24"/>
                <w:szCs w:val="24"/>
                <w:color w:val="auto"/>
              </w:rPr>
            </w:pPr>
          </w:p>
        </w:tc>
        <w:tc>
          <w:tcPr>
            <w:tcW w:w="9760" w:type="dxa"/>
            <w:vAlign w:val="bottom"/>
            <w:gridSpan w:val="14"/>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Bylaws of Arcturus Therapeutics Holdings Inc. Incorporated by reference to Exhibit 3.2 to the Company’s Registration Statement on</w:t>
              </w:r>
            </w:hyperlink>
          </w:p>
        </w:tc>
      </w:tr>
      <w:tr>
        <w:trPr>
          <w:trHeight w:val="196"/>
        </w:trPr>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5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Form S-3, filed with the SEC on May 8, 2020 (File No. 333-238139).</w:t>
              </w:r>
            </w:hyperlink>
          </w:p>
        </w:tc>
        <w:tc>
          <w:tcPr>
            <w:tcW w:w="200" w:type="dxa"/>
            <w:vAlign w:val="bottom"/>
            <w:gridSpan w:val="2"/>
          </w:tcPr>
          <w:p>
            <w:pPr>
              <w:spacing w:after="0"/>
              <w:rPr>
                <w:sz w:val="17"/>
                <w:szCs w:val="17"/>
                <w:color w:val="auto"/>
              </w:rPr>
            </w:pPr>
          </w:p>
        </w:tc>
      </w:tr>
      <w:tr>
        <w:trPr>
          <w:trHeight w:val="45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60" w:type="dxa"/>
            <w:vAlign w:val="bottom"/>
          </w:tcPr>
          <w:p>
            <w:pPr>
              <w:spacing w:after="0"/>
              <w:rPr>
                <w:sz w:val="24"/>
                <w:szCs w:val="24"/>
                <w:color w:val="auto"/>
              </w:rPr>
            </w:pPr>
          </w:p>
        </w:tc>
        <w:tc>
          <w:tcPr>
            <w:tcW w:w="50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Form of Specimen Certificate Representing Preferred Stock.</w:t>
            </w:r>
          </w:p>
        </w:tc>
        <w:tc>
          <w:tcPr>
            <w:tcW w:w="4760" w:type="dxa"/>
            <w:vAlign w:val="bottom"/>
            <w:gridSpan w:val="7"/>
          </w:tcPr>
          <w:p>
            <w:pPr>
              <w:spacing w:after="0"/>
              <w:rPr>
                <w:sz w:val="24"/>
                <w:szCs w:val="24"/>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6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Form of Indenture.</w:t>
            </w:r>
          </w:p>
        </w:tc>
      </w:tr>
      <w:tr>
        <w:trPr>
          <w:trHeight w:val="20"/>
        </w:trPr>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r>
      <w:tr>
        <w:trPr>
          <w:trHeight w:val="45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6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Subordinated Debt Securities Indenture.</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6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Senior Debt Securities Indenture.</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6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Warrant.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66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66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39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660" w:type="dxa"/>
            <w:vAlign w:val="bottom"/>
          </w:tcPr>
          <w:p>
            <w:pPr>
              <w:spacing w:after="0"/>
              <w:rPr>
                <w:sz w:val="24"/>
                <w:szCs w:val="24"/>
                <w:color w:val="auto"/>
              </w:rPr>
            </w:pPr>
          </w:p>
        </w:tc>
        <w:tc>
          <w:tcPr>
            <w:tcW w:w="2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Opinion of Dentons US LLP.</w:t>
            </w:r>
          </w:p>
        </w:tc>
        <w:tc>
          <w:tcPr>
            <w:tcW w:w="7660" w:type="dxa"/>
            <w:vAlign w:val="bottom"/>
            <w:gridSpan w:val="11"/>
          </w:tcPr>
          <w:p>
            <w:pPr>
              <w:spacing w:after="0"/>
              <w:rPr>
                <w:sz w:val="24"/>
                <w:szCs w:val="24"/>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6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Dentons US LLP (included in Exhibit 5.1).</w:t>
            </w:r>
          </w:p>
        </w:tc>
      </w:tr>
      <w:tr>
        <w:trPr>
          <w:trHeight w:val="20"/>
        </w:trPr>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20" w:type="dxa"/>
            <w:vAlign w:val="bottom"/>
            <w:gridSpan w:val="4"/>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6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20"/>
        </w:trPr>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0" w:type="dxa"/>
            <w:vAlign w:val="bottom"/>
            <w:gridSpan w:val="6"/>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6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Powers of Attorney (incorporated by reference to the signature page hereto).</w:t>
            </w:r>
          </w:p>
        </w:tc>
      </w:tr>
      <w:tr>
        <w:trPr>
          <w:trHeight w:val="20"/>
        </w:trPr>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500" w:type="dxa"/>
            <w:vAlign w:val="bottom"/>
            <w:gridSpan w:val="8"/>
            <w:shd w:val="clear" w:color="auto" w:fill="0000EE"/>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r>
      <w:tr>
        <w:trPr>
          <w:trHeight w:val="4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66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Statement of Eligibility on Form T-1 under the Trust Indenture Act of 1939, as amended, of Debt Trustee (to be filed prior to any</w:t>
            </w:r>
          </w:p>
        </w:tc>
      </w:tr>
      <w:tr>
        <w:trPr>
          <w:trHeight w:val="234"/>
        </w:trPr>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issuance of Debt Securities).</w:t>
            </w:r>
          </w:p>
        </w:tc>
      </w:tr>
    </w:tbl>
    <w:p>
      <w:pPr>
        <w:spacing w:after="0" w:line="198" w:lineRule="exact"/>
        <w:rPr>
          <w:sz w:val="20"/>
          <w:szCs w:val="20"/>
          <w:color w:val="auto"/>
        </w:rPr>
      </w:pPr>
    </w:p>
    <w:p>
      <w:pPr>
        <w:ind w:left="1480" w:hanging="1472"/>
        <w:spacing w:after="0"/>
        <w:tabs>
          <w:tab w:leader="none" w:pos="1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52" w:lineRule="exact"/>
        <w:rPr>
          <w:sz w:val="20"/>
          <w:szCs w:val="20"/>
          <w:color w:val="auto"/>
        </w:rPr>
      </w:pPr>
    </w:p>
    <w:p>
      <w:pPr>
        <w:jc w:val="both"/>
        <w:ind w:right="3280" w:firstLine="8"/>
        <w:spacing w:after="0" w:line="282" w:lineRule="auto"/>
        <w:tabs>
          <w:tab w:leader="none" w:pos="4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incorporated by reference in connection with the offering of the securities. ** To be filed in accordance with the requirements of Section 305(b)(2) of the Trust Indenture Act of 1939.</w:t>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Pursuant to the requirement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this 23rd day of December 2022.</w:t>
      </w:r>
    </w:p>
    <w:p>
      <w:pPr>
        <w:spacing w:after="0" w:line="17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22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By: /s/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27774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Joseph E. Payne</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Joseph E. Payne and Andy Sassine, and each of them, as his/her true and lawful attorney-in-fact and agent, each acting alone, with full power of substitution and resubstitution, for him/her and in his/her name, place and stead, in any and all capacities, to sign any or all amendments (including post-effective amendments) to this Registration Statement on Form S-3,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substitute or substitutes, may lawfully do or cause to be done by virtue hereof.</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64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96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32"/>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Joseph E. Payne</w:t>
            </w:r>
          </w:p>
        </w:tc>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December 23, 2022</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Joseph E. Payne</w:t>
            </w:r>
          </w:p>
        </w:tc>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Dr. Padmanabh Chivukula</w:t>
            </w:r>
          </w:p>
        </w:tc>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Scientific Officer, Chief Operating Officer and</w:t>
            </w: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December 23, 2022</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Dr. Padmanabh Chivukula</w:t>
            </w:r>
          </w:p>
        </w:tc>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Secretary</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Dr. Peter Farrell</w:t>
            </w:r>
          </w:p>
        </w:tc>
        <w:tc>
          <w:tcPr>
            <w:tcW w:w="46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Chairman of the Board</w:t>
            </w: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December 23, 2022</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Dr. Peter Farrell</w:t>
            </w:r>
          </w:p>
        </w:tc>
        <w:tc>
          <w:tcPr>
            <w:tcW w:w="464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Andy Sassine</w:t>
            </w:r>
          </w:p>
        </w:tc>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 Director (</w:t>
            </w:r>
            <w:r>
              <w:rPr>
                <w:rFonts w:ascii="Times New Roman" w:cs="Times New Roman" w:eastAsia="Times New Roman" w:hAnsi="Times New Roman"/>
                <w:sz w:val="18"/>
                <w:szCs w:val="18"/>
                <w:i w:val="1"/>
                <w:iCs w:val="1"/>
                <w:color w:val="auto"/>
              </w:rPr>
              <w:t>Principal Financial</w:t>
            </w: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December 23, 2022</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Andy Sassine</w:t>
            </w:r>
          </w:p>
        </w:tc>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Dr. Magda Marquet</w:t>
            </w:r>
          </w:p>
        </w:tc>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December 23, 2022</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Dr. Magda Marquet</w:t>
            </w:r>
          </w:p>
        </w:tc>
        <w:tc>
          <w:tcPr>
            <w:tcW w:w="4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James Barlow</w:t>
            </w:r>
          </w:p>
        </w:tc>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December 23, 2022</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James Barlow</w:t>
            </w:r>
          </w:p>
        </w:tc>
        <w:tc>
          <w:tcPr>
            <w:tcW w:w="4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Dr. Edward Holmes</w:t>
            </w:r>
          </w:p>
        </w:tc>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December 23, 2022</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Dr. Edward Holmes</w:t>
            </w:r>
          </w:p>
        </w:tc>
        <w:tc>
          <w:tcPr>
            <w:tcW w:w="4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Dr. Jing L. Marantz</w:t>
            </w:r>
          </w:p>
        </w:tc>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December 23, 2022</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Dr. Jing L. Marantz</w:t>
            </w:r>
          </w:p>
        </w:tc>
        <w:tc>
          <w:tcPr>
            <w:tcW w:w="4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Dr. John Markels</w:t>
            </w:r>
          </w:p>
        </w:tc>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December 23, 2022</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Dr. John Markels</w:t>
            </w:r>
          </w:p>
        </w:tc>
        <w:tc>
          <w:tcPr>
            <w:tcW w:w="4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Keith C. Kummerfeld</w:t>
            </w:r>
          </w:p>
        </w:tc>
        <w:tc>
          <w:tcPr>
            <w:tcW w:w="46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Senior Vice President of Finance and Corporate</w:t>
            </w: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December 23, 2022</w:t>
            </w:r>
          </w:p>
        </w:tc>
        <w:tc>
          <w:tcPr>
            <w:tcW w:w="0" w:type="dxa"/>
            <w:vAlign w:val="bottom"/>
          </w:tcPr>
          <w:p>
            <w:pPr>
              <w:spacing w:after="0"/>
              <w:rPr>
                <w:sz w:val="1"/>
                <w:szCs w:val="1"/>
                <w:color w:val="auto"/>
              </w:rPr>
            </w:pPr>
          </w:p>
        </w:tc>
      </w:tr>
      <w:tr>
        <w:trPr>
          <w:trHeight w:val="189"/>
        </w:trPr>
        <w:tc>
          <w:tcPr>
            <w:tcW w:w="39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Keith C. Kummerfeld</w:t>
            </w:r>
          </w:p>
        </w:tc>
        <w:tc>
          <w:tcPr>
            <w:tcW w:w="4640" w:type="dxa"/>
            <w:vAlign w:val="bottom"/>
            <w:vMerge w:val="continue"/>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40" w:type="dxa"/>
            <w:vAlign w:val="bottom"/>
          </w:tcPr>
          <w:p>
            <w:pPr>
              <w:spacing w:after="0"/>
              <w:rPr>
                <w:sz w:val="20"/>
                <w:szCs w:val="20"/>
                <w:color w:val="auto"/>
              </w:rPr>
            </w:pPr>
          </w:p>
        </w:tc>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Controller (</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$0.001 per share)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Equity Offering</w:t>
      </w:r>
      <w:r>
        <w:rPr>
          <w:rFonts w:ascii="Times New Roman" w:cs="Times New Roman" w:eastAsia="Times New Roman" w:hAnsi="Times New Roman"/>
          <w:sz w:val="29"/>
          <w:szCs w:val="29"/>
          <w:b w:val="1"/>
          <w:bCs w:val="1"/>
          <w:u w:val="single" w:color="auto"/>
          <w:color w:val="auto"/>
          <w:vertAlign w:val="superscript"/>
        </w:rPr>
        <w:t>SM</w:t>
      </w: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05"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December 23,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499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5" w:lineRule="auto"/>
        <w:rPr>
          <w:sz w:val="20"/>
          <w:szCs w:val="20"/>
          <w:color w:val="auto"/>
        </w:rPr>
      </w:pPr>
      <w:r>
        <w:rPr>
          <w:rFonts w:ascii="Times New Roman" w:cs="Times New Roman" w:eastAsia="Times New Roman" w:hAnsi="Times New Roman"/>
          <w:sz w:val="18"/>
          <w:szCs w:val="18"/>
          <w:color w:val="auto"/>
        </w:rPr>
        <w:t>500 West 33rd Street,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Arcturus Therapeutics Holdings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Cantor Fitzgerald &amp; Co.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Wells Fargo Securities, LLC (each an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u w:val="single" w:color="auto"/>
          <w:color w:val="auto"/>
        </w:rPr>
        <w:t>Agents</w:t>
      </w:r>
      <w:r>
        <w:rPr>
          <w:rFonts w:ascii="Times New Roman" w:cs="Times New Roman" w:eastAsia="Times New Roman" w:hAnsi="Times New Roman"/>
          <w:sz w:val="18"/>
          <w:szCs w:val="18"/>
          <w:color w:val="auto"/>
        </w:rPr>
        <w:t>”), as follows:</w:t>
      </w:r>
    </w:p>
    <w:p>
      <w:pPr>
        <w:spacing w:after="0" w:line="207" w:lineRule="exact"/>
        <w:rPr>
          <w:sz w:val="20"/>
          <w:szCs w:val="20"/>
          <w:color w:val="auto"/>
        </w:rPr>
      </w:pPr>
    </w:p>
    <w:p>
      <w:pPr>
        <w:ind w:right="80" w:firstLine="656"/>
        <w:spacing w:after="0" w:line="252" w:lineRule="auto"/>
        <w:tabs>
          <w:tab w:leader="none" w:pos="163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to or through an Agent that the Company shall from time to time designate, as sales agent or principal (the “</w:t>
      </w:r>
      <w:r>
        <w:rPr>
          <w:rFonts w:ascii="Times New Roman" w:cs="Times New Roman" w:eastAsia="Times New Roman" w:hAnsi="Times New Roman"/>
          <w:sz w:val="18"/>
          <w:szCs w:val="18"/>
          <w:b w:val="1"/>
          <w:bCs w:val="1"/>
          <w:u w:val="single" w:color="auto"/>
          <w:color w:val="auto"/>
        </w:rPr>
        <w:t>Designated Agent</w:t>
      </w:r>
      <w:r>
        <w:rPr>
          <w:rFonts w:ascii="Times New Roman" w:cs="Times New Roman" w:eastAsia="Times New Roman" w:hAnsi="Times New Roman"/>
          <w:sz w:val="18"/>
          <w:szCs w:val="18"/>
          <w:color w:val="auto"/>
        </w:rPr>
        <w:t>”), shares of common stock (the “</w:t>
      </w:r>
      <w:r>
        <w:rPr>
          <w:rFonts w:ascii="Times New Roman" w:cs="Times New Roman" w:eastAsia="Times New Roman" w:hAnsi="Times New Roman"/>
          <w:sz w:val="18"/>
          <w:szCs w:val="18"/>
          <w:b w:val="1"/>
          <w:bCs w:val="1"/>
          <w:u w:val="single" w:color="auto"/>
          <w:color w:val="auto"/>
        </w:rPr>
        <w:t>Placement Shares</w:t>
      </w:r>
      <w:r>
        <w:rPr>
          <w:rFonts w:ascii="Times New Roman" w:cs="Times New Roman" w:eastAsia="Times New Roman" w:hAnsi="Times New Roman"/>
          <w:sz w:val="18"/>
          <w:szCs w:val="18"/>
          <w:color w:val="auto"/>
        </w:rPr>
        <w:t>”) of the Company, par value $0.001 per share (the “</w:t>
      </w:r>
      <w:r>
        <w:rPr>
          <w:rFonts w:ascii="Times New Roman" w:cs="Times New Roman" w:eastAsia="Times New Roman" w:hAnsi="Times New Roman"/>
          <w:sz w:val="18"/>
          <w:szCs w:val="18"/>
          <w:b w:val="1"/>
          <w:bCs w:val="1"/>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Stock</w:t>
      </w:r>
      <w:r>
        <w:rPr>
          <w:rFonts w:ascii="Times New Roman" w:cs="Times New Roman" w:eastAsia="Times New Roman" w:hAnsi="Times New Roman"/>
          <w:sz w:val="18"/>
          <w:szCs w:val="18"/>
          <w:color w:val="auto"/>
        </w:rPr>
        <w:t>”) for aggregate gross sales price of up to $200,000,000;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the Company issue or sell through the Agents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or dollar amount of Placement Shares that would (a) exceed the number or dollar amount of shares of Common Stock registered on the effective Registration Statement (defined below) pursuant to which the offering is being made, (b) exceed the number of authorized but unissued shares of Common Stock (less shares of Common Stock issuable upon exercise, conversion or exchange of any outstanding securities of the Company or otherwise reserved from the Company’s authorized capital stock), (c) exceed the number or dollar amount of shares of Common Stock permitted to be sold under Form S-3 (including General Instruction I.B.6 thereof, if applicable) or (d) exceed the number or dollar amount of shares of Common Stock for which the Company has filed a Prospectus Supplement (defined below) (the lesser of (a), (b), (c) and (d), the “</w:t>
      </w:r>
      <w:r>
        <w:rPr>
          <w:rFonts w:ascii="Times New Roman" w:cs="Times New Roman" w:eastAsia="Times New Roman" w:hAnsi="Times New Roman"/>
          <w:sz w:val="18"/>
          <w:szCs w:val="18"/>
          <w:b w:val="1"/>
          <w:bCs w:val="1"/>
          <w:u w:val="single" w:color="auto"/>
          <w:color w:val="auto"/>
        </w:rPr>
        <w:t>Maximum Amount</w:t>
      </w:r>
      <w:r>
        <w:rPr>
          <w:rFonts w:ascii="Times New Roman" w:cs="Times New Roman" w:eastAsia="Times New Roman" w:hAnsi="Times New Roman"/>
          <w:sz w:val="18"/>
          <w:szCs w:val="18"/>
          <w:color w:val="auto"/>
        </w:rPr>
        <w:t xml:space="preserve">”). Notwithstanding anything to the contrary contained herein, the parties hereto agree that compliance with the limitations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on the aggregate gross sales price or amount of Placement Shares that may be issued and sold under this Agreement shall be the sole responsibility of the Company and that the Agents shall have no obligation in connection with such compliance. The offer and sale of Placement Shares through the Agents will be effected pursuant to the Registration Statement (as defined below) filed by the Company and declared effective by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although nothing in this Agreement shall be construed as requiring the Company to use the Registration Statement to issue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ind w:right="120"/>
        <w:spacing w:after="0" w:line="252" w:lineRule="auto"/>
        <w:rPr>
          <w:sz w:val="20"/>
          <w:szCs w:val="20"/>
          <w:color w:val="auto"/>
        </w:rPr>
      </w:pPr>
      <w:r>
        <w:rPr>
          <w:rFonts w:ascii="Times New Roman" w:cs="Times New Roman" w:eastAsia="Times New Roman" w:hAnsi="Times New Roman"/>
          <w:sz w:val="18"/>
          <w:szCs w:val="18"/>
          <w:color w:val="auto"/>
        </w:rPr>
        <w:t>The Company has filed, in accordance with the provisions of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and the rules and regulations thereunder (the “</w:t>
      </w:r>
      <w:r>
        <w:rPr>
          <w:rFonts w:ascii="Times New Roman" w:cs="Times New Roman" w:eastAsia="Times New Roman" w:hAnsi="Times New Roman"/>
          <w:sz w:val="18"/>
          <w:szCs w:val="18"/>
          <w:b w:val="1"/>
          <w:bCs w:val="1"/>
          <w:u w:val="single" w:color="auto"/>
          <w:color w:val="auto"/>
        </w:rPr>
        <w:t>Securities Act Regulations</w:t>
      </w:r>
      <w:r>
        <w:rPr>
          <w:rFonts w:ascii="Times New Roman" w:cs="Times New Roman" w:eastAsia="Times New Roman" w:hAnsi="Times New Roman"/>
          <w:sz w:val="18"/>
          <w:szCs w:val="18"/>
          <w:color w:val="auto"/>
        </w:rPr>
        <w:t>”), with the Commission a registration statement on Form S-3,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and the rules and regulations thereunder. The Company has prepared a prospectus or a prospectus supplement to the base prospectus included as part of the registration statement, which prospectus or prospectus supplement relates to the Placement Shares to be issued from time to time by the Company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Supplement</w:t>
      </w:r>
      <w:r>
        <w:rPr>
          <w:rFonts w:ascii="Times New Roman" w:cs="Times New Roman" w:eastAsia="Times New Roman" w:hAnsi="Times New Roman"/>
          <w:sz w:val="18"/>
          <w:szCs w:val="18"/>
          <w:color w:val="auto"/>
        </w:rPr>
        <w:t>”). The Company will furnish to the Agents, for use by the Agents, copies of the prospectus included as part of such registration statement,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by the Prospectus Supplement, relating to the Placement Shares to be issued from time to time by the Company.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of the Securities Act Regulations, and any one or more additional effective registration statements on Form S-3 from time to time that will contain a base prospectus and related prospectus or prospectus supplement, if applicable (which shall be a Prospectus Supplement), with respect to the Placement Shares, is herein called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The base prospectus or base prospectuses, including all documents incorporated therein by reference, included in the Registration Statement, as it may be supplemented, if necessary, by the Prospectus Supplement, in the form in which such prospectus or prospectuses and/or Prospectus Supplement have most recently been filed by the Company with the Commission pursuant to Rule 424(b) under the Securities Act Regulations, together with the then issued Issuer Free Writing Prospectus(es) (as defined below),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reference herein to the Registration Statement, any Prospectus Supplement, the Prospectus or any Issuer Free Writing Prospectus shall be deemed to refer to and include the documents, if any, incorporated by reference therein (the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20" w:firstLine="656"/>
        <w:spacing w:after="0" w:line="254" w:lineRule="auto"/>
        <w:tabs>
          <w:tab w:leader="none" w:pos="163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Placement Shares hereunder (each, a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it will notify the Designated Agent by email notice (or other method mutually agreed to in writing by the parties) of the number or dollar amount of Placement Shares to be issued, the time period during which sales are requested to be made, any limitation on the number or dollar amount of Placement Shares that may be sold in any one day and any minimum price below which sales may not be made (a “</w:t>
      </w:r>
      <w:r>
        <w:rPr>
          <w:rFonts w:ascii="Times New Roman" w:cs="Times New Roman" w:eastAsia="Times New Roman" w:hAnsi="Times New Roman"/>
          <w:sz w:val="18"/>
          <w:szCs w:val="18"/>
          <w:b w:val="1"/>
          <w:bCs w:val="1"/>
          <w:u w:val="single" w:color="auto"/>
          <w:color w:val="auto"/>
        </w:rPr>
        <w:t>Placement Notice</w:t>
      </w:r>
      <w:r>
        <w:rPr>
          <w:rFonts w:ascii="Times New Roman" w:cs="Times New Roman" w:eastAsia="Times New Roman" w:hAnsi="Times New Roman"/>
          <w:sz w:val="18"/>
          <w:szCs w:val="18"/>
          <w:color w:val="auto"/>
        </w:rPr>
        <w:t xml:space="preserve">”), the form of which is attached hereto as </w:t>
      </w:r>
      <w:r>
        <w:rPr>
          <w:rFonts w:ascii="Times New Roman" w:cs="Times New Roman" w:eastAsia="Times New Roman" w:hAnsi="Times New Roman"/>
          <w:sz w:val="18"/>
          <w:szCs w:val="18"/>
          <w:b w:val="1"/>
          <w:bCs w:val="1"/>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1</w:t>
      </w:r>
      <w:r>
        <w:rPr>
          <w:rFonts w:ascii="Times New Roman" w:cs="Times New Roman" w:eastAsia="Times New Roman" w:hAnsi="Times New Roman"/>
          <w:sz w:val="18"/>
          <w:szCs w:val="18"/>
          <w:color w:val="auto"/>
        </w:rPr>
        <w:t>. The Placement Notice shall originate from any of the authorized individuals from the Company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copy to each of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individuals from the Company listed on such schedule), and shall be addressed to each of the individuals from the Designated Agent set forth on </w:t>
      </w:r>
      <w:r>
        <w:rPr>
          <w:rFonts w:ascii="Times New Roman" w:cs="Times New Roman" w:eastAsia="Times New Roman" w:hAnsi="Times New Roman"/>
          <w:sz w:val="18"/>
          <w:szCs w:val="18"/>
          <w:b w:val="1"/>
          <w:bCs w:val="1"/>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2</w:t>
      </w:r>
      <w:r>
        <w:rPr>
          <w:rFonts w:ascii="Times New Roman" w:cs="Times New Roman" w:eastAsia="Times New Roman" w:hAnsi="Times New Roman"/>
          <w:sz w:val="18"/>
          <w:szCs w:val="18"/>
          <w:color w:val="auto"/>
        </w:rPr>
        <w:t>,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amended from time to time. The Placement Notice shall be effective upon receipt by the Designated Agent, unless and until</w:t>
      </w:r>
    </w:p>
    <w:p>
      <w:pPr>
        <w:ind w:right="160" w:firstLine="8"/>
        <w:spacing w:after="0" w:line="250" w:lineRule="auto"/>
        <w:tabs>
          <w:tab w:leader="none" w:pos="2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Designated Agent declines to accept the terms contained therein for any reason, in its sole discretion, which shall be communicated by the Designated Agent to the Company within two (2) Trading Days (defined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from the date the Designated Agent receives the Placement Notice,</w:t>
      </w:r>
    </w:p>
    <w:p>
      <w:pPr>
        <w:ind w:right="40" w:firstLine="8"/>
        <w:spacing w:after="0" w:line="251" w:lineRule="auto"/>
        <w:tabs>
          <w:tab w:leader="none" w:pos="2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entire amount of the Placement Shares thereunder have been sold, (iii) the Company suspends sales under or terminates the Placement Notice for any reason, in its sole discretion, (iv) the Company issues a subsequent Placement Notice and explicitly indicates that the parameters of the subsequent Placement Notice supersede those parameters contained in the earlier dated Placement Notice or (v) this Agreement has been terminated under the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The amount of any discount, commission or other compensation to be paid by the Company to the Designated Agent in connection with the sale of the Placement Shares shall be calculated in accordance with the terms set forth in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It is expressly acknowledged and agreed that neither the Company nor any Designated Agent will have any obligation whatsoever with respect to a Placement or any Placement Shares unless and until the Company delivers a Placement Notice to the Designated Agent and the Designated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4" w:name="page55"/>
    <w:bookmarkEnd w:id="54"/>
    <w:p>
      <w:pPr>
        <w:ind w:left="-20" w:right="60" w:firstLine="656"/>
        <w:spacing w:after="0" w:line="253" w:lineRule="auto"/>
        <w:tabs>
          <w:tab w:leader="none" w:pos="161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Designated Agent</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the Designated Agent, for the period specified in the Placement Notice, will use its commercially reasonable efforts consistent with its normal trading and sales practices and applicable state and federal laws, rules and regulations and the rules of the Nasdaq Global Market (the “</w:t>
      </w:r>
      <w:r>
        <w:rPr>
          <w:rFonts w:ascii="Times New Roman" w:cs="Times New Roman" w:eastAsia="Times New Roman" w:hAnsi="Times New Roman"/>
          <w:sz w:val="18"/>
          <w:szCs w:val="18"/>
          <w:b w:val="1"/>
          <w:bCs w:val="1"/>
          <w:u w:val="single" w:color="auto"/>
          <w:color w:val="auto"/>
        </w:rPr>
        <w:t>Exchange</w:t>
      </w:r>
      <w:r>
        <w:rPr>
          <w:rFonts w:ascii="Times New Roman" w:cs="Times New Roman" w:eastAsia="Times New Roman" w:hAnsi="Times New Roman"/>
          <w:sz w:val="18"/>
          <w:szCs w:val="18"/>
          <w:color w:val="auto"/>
        </w:rPr>
        <w:t xml:space="preserve">”) to sell the Placement Shares up to the number or amount specified in, and otherwise in accordance with the terms of, such Placement Notice. Each Designated Agent will provide written confirmation to the Company no later than the opening of the Trading Day (as defined below) immediately following the Trading Day on which it has made sales of Placement Shares hereunder setting forth the number or amount of Placement Shares sold on such day, the compensation payable by the Company to the Designated Agent pursuant to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xml:space="preserve"> with respect to such sales and the Net Proceeds (as defined below) payable to the Company, with an itemization of the deductions made by the Designated Agent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from the gross proceeds that it receives from such sales. Unless otherwise specified by the Company in a Placement Notice, the Designated Agent may sell Placement Shares by any method permitted by law deemed to be an “at the market offering” as defined in Rule 415(a)(4) of the Securities Act Regulations.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Common Stock is traded on the Exchange.</w:t>
      </w:r>
    </w:p>
    <w:p>
      <w:pPr>
        <w:spacing w:after="0" w:line="191" w:lineRule="exact"/>
        <w:rPr>
          <w:rFonts w:ascii="Times New Roman" w:cs="Times New Roman" w:eastAsia="Times New Roman" w:hAnsi="Times New Roman"/>
          <w:sz w:val="18"/>
          <w:szCs w:val="18"/>
          <w:color w:val="auto"/>
        </w:rPr>
      </w:pPr>
    </w:p>
    <w:p>
      <w:pPr>
        <w:ind w:left="-20" w:firstLine="656"/>
        <w:spacing w:after="0" w:line="253" w:lineRule="auto"/>
        <w:tabs>
          <w:tab w:leader="none" w:pos="161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The Company or the Designated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suspend any sale of Placement Shares (a “</w:t>
      </w:r>
      <w:r>
        <w:rPr>
          <w:rFonts w:ascii="Times New Roman" w:cs="Times New Roman" w:eastAsia="Times New Roman" w:hAnsi="Times New Roman"/>
          <w:sz w:val="18"/>
          <w:szCs w:val="18"/>
          <w:b w:val="1"/>
          <w:bCs w:val="1"/>
          <w:u w:val="single" w:color="auto"/>
          <w:color w:val="auto"/>
        </w:rPr>
        <w:t>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Suspension shall not affect or impair any party’s obligations with respect to any Placement Shares sold hereunder prior to the receipt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notice. While a Suspension is in effect any obligation under </w:t>
      </w:r>
      <w:r>
        <w:rPr>
          <w:rFonts w:ascii="Times New Roman" w:cs="Times New Roman" w:eastAsia="Times New Roman" w:hAnsi="Times New Roman"/>
          <w:sz w:val="18"/>
          <w:szCs w:val="18"/>
          <w:u w:val="single" w:color="auto"/>
          <w:color w:val="auto"/>
        </w:rPr>
        <w:t>Sections 7(l)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7(o)</w:t>
      </w:r>
      <w:r>
        <w:rPr>
          <w:rFonts w:ascii="Times New Roman" w:cs="Times New Roman" w:eastAsia="Times New Roman" w:hAnsi="Times New Roman"/>
          <w:sz w:val="18"/>
          <w:szCs w:val="18"/>
          <w:color w:val="auto"/>
        </w:rPr>
        <w:t xml:space="preserve"> with respect to the delivery of certificates, opinions, or comfort letters to the Agents, shall be waived.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effective against any other party unless it is made to one of the individuals named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hereto, as such schedule may be amended from time to time. Notwithstanding any other provision of this Agreement, during any period in which the Company is in possession of material non-public information, the Company and the Agents agree that (i) no sale of Placement Shares will take place, (ii) the Company shall not request the sale of any Placement Shares, and (iii) the Agents shall not be obligated to sell or offer to sell any Placement Shares.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40" w:top="796" w:right="399" w:bottom="1440" w:gutter="0" w:footer="0" w:header="0"/>
        </w:sectPr>
      </w:pPr>
    </w:p>
    <w:bookmarkStart w:id="55" w:name="page56"/>
    <w:bookmarkEnd w:id="55"/>
    <w:p>
      <w:pPr>
        <w:ind w:left="1640" w:hanging="984"/>
        <w:spacing w:after="0"/>
        <w:tabs>
          <w:tab w:leader="none" w:pos="16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and Delivery to the Designated Agents; Settlement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737"/>
        <w:spacing w:after="0" w:line="268" w:lineRule="auto"/>
        <w:tabs>
          <w:tab w:leader="none" w:pos="1243" w:val="left"/>
        </w:tabs>
        <w:numPr>
          <w:ilvl w:val="2"/>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Sale of Placement Shares</w:t>
      </w:r>
      <w:r>
        <w:rPr>
          <w:rFonts w:ascii="Times New Roman" w:cs="Times New Roman" w:eastAsia="Times New Roman" w:hAnsi="Times New Roman"/>
          <w:sz w:val="17"/>
          <w:szCs w:val="17"/>
          <w:color w:val="auto"/>
        </w:rPr>
        <w:t xml:space="preserve">. On the basis of the representations and warranties herein contained and subject to the terms and conditions herein set forth, upon the Designated Agent’s acceptance of the terms of a Placement Notice, and unless the sale of the Placement Shares described therein has been declined, suspended, or otherwise terminated in accordance with the terms of this Agreement, the Designated Agent, for the period specified in the Placement Notice, will use its commercially reasonable efforts consistent with its normal trading and sales practices and applicable law and regulations to sell such Placement Shares up to the amount specified, and otherwise in accordance with the terms of such Placement Notice. The Designated Agent shall provide written confirmation of such acceptance and sales under a Placement Notice in accord with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The Company acknowledges and agrees that</w:t>
      </w:r>
    </w:p>
    <w:p>
      <w:pPr>
        <w:spacing w:after="0" w:line="4" w:lineRule="exact"/>
        <w:rPr>
          <w:rFonts w:ascii="Times New Roman" w:cs="Times New Roman" w:eastAsia="Times New Roman" w:hAnsi="Times New Roman"/>
          <w:sz w:val="17"/>
          <w:szCs w:val="17"/>
          <w:color w:val="auto"/>
        </w:rPr>
      </w:pPr>
    </w:p>
    <w:p>
      <w:pPr>
        <w:ind w:right="160" w:firstLine="8"/>
        <w:spacing w:after="0" w:line="253" w:lineRule="auto"/>
        <w:tabs>
          <w:tab w:leader="none" w:pos="2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Designated Agent will be successful in selling Placement Shares, (ii) the Designated Agent will incur no liability or obligation to the Company or any other person or entity if it does not sell Placement Shares for any reason other than a failure by the Designated Agent to use its commercially reasonable efforts consistent with its normal trading and sales practices and applicable law and regulations to sell such Placement Shares as required under this Agreement and (iii) the Designated Agent shall be under no obligation to purchase Placement Shares on a principal basis pursuant to this Agreement, except as otherwise agreed by the Designated Agent and the Company.</w:t>
      </w:r>
    </w:p>
    <w:p>
      <w:pPr>
        <w:spacing w:after="0" w:line="186" w:lineRule="exact"/>
        <w:rPr>
          <w:rFonts w:ascii="Times New Roman" w:cs="Times New Roman" w:eastAsia="Times New Roman" w:hAnsi="Times New Roman"/>
          <w:sz w:val="18"/>
          <w:szCs w:val="18"/>
          <w:color w:val="auto"/>
        </w:rPr>
      </w:pPr>
    </w:p>
    <w:p>
      <w:pPr>
        <w:ind w:right="40" w:firstLine="737"/>
        <w:spacing w:after="0" w:line="254" w:lineRule="auto"/>
        <w:tabs>
          <w:tab w:leader="none" w:pos="1254"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color w:val="auto"/>
        </w:rPr>
        <w:t>. Unless otherwise specified in the applicable Placement Notice, settlement for sales of Placement Shares will occur on the second (2nd) Trading Day (or such earlier day as is industry practice for regular-way trading) following the date on which such sales are made (each, a “</w:t>
      </w:r>
      <w:r>
        <w:rPr>
          <w:rFonts w:ascii="Times New Roman" w:cs="Times New Roman" w:eastAsia="Times New Roman" w:hAnsi="Times New Roman"/>
          <w:sz w:val="18"/>
          <w:szCs w:val="18"/>
          <w:b w:val="1"/>
          <w:bCs w:val="1"/>
          <w:u w:val="single" w:color="auto"/>
          <w:color w:val="auto"/>
        </w:rPr>
        <w:t>Settlement Date</w:t>
      </w:r>
      <w:r>
        <w:rPr>
          <w:rFonts w:ascii="Times New Roman" w:cs="Times New Roman" w:eastAsia="Times New Roman" w:hAnsi="Times New Roman"/>
          <w:sz w:val="18"/>
          <w:szCs w:val="18"/>
          <w:color w:val="auto"/>
        </w:rPr>
        <w:t>”). The Designated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xml:space="preserve">”) will be equal to the aggregate gross sales price at which such Placement Shares were sold and received by the Designated Agent, after deduction of (i) the Agents’ commission, discount or other compensation for such sales payable by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and (ii) any transaction fees imposed by any Governmental Authority (as defined below) in respect of such sales.</w:t>
      </w:r>
    </w:p>
    <w:p>
      <w:pPr>
        <w:spacing w:after="0" w:line="191" w:lineRule="exact"/>
        <w:rPr>
          <w:rFonts w:ascii="Times New Roman" w:cs="Times New Roman" w:eastAsia="Times New Roman" w:hAnsi="Times New Roman"/>
          <w:sz w:val="18"/>
          <w:szCs w:val="18"/>
          <w:color w:val="auto"/>
        </w:rPr>
      </w:pPr>
    </w:p>
    <w:p>
      <w:pPr>
        <w:ind w:right="20" w:firstLine="737"/>
        <w:spacing w:after="0" w:line="253" w:lineRule="auto"/>
        <w:tabs>
          <w:tab w:leader="none" w:pos="1243"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On or before each Settlement Date, the Company will, or will cause its transfer agent to, electronically transfer the Placement Shares being sold by crediting the Designated Agent’s or its designee’s account (provided the Designated Agent shall have given the Company written notice of such designee at least one Trading Day prior to the Settlement Date) at The Depository Trust Company through its Deposit and Withdrawal at Custodian System (“</w:t>
      </w:r>
      <w:r>
        <w:rPr>
          <w:rFonts w:ascii="Times New Roman" w:cs="Times New Roman" w:eastAsia="Times New Roman" w:hAnsi="Times New Roman"/>
          <w:sz w:val="18"/>
          <w:szCs w:val="18"/>
          <w:b w:val="1"/>
          <w:bCs w:val="1"/>
          <w:u w:val="single" w:color="auto"/>
          <w:color w:val="auto"/>
        </w:rPr>
        <w:t>DWAC</w:t>
      </w:r>
      <w:r>
        <w:rPr>
          <w:rFonts w:ascii="Times New Roman" w:cs="Times New Roman" w:eastAsia="Times New Roman" w:hAnsi="Times New Roman"/>
          <w:sz w:val="18"/>
          <w:szCs w:val="18"/>
          <w:color w:val="auto"/>
        </w:rPr>
        <w:t>”) or by such other means of delivery as may be mutually agreed upon by the parties hereto which in all cases shall be freely tradable, transferable, registered shares in good deliverable form. On each Settlement Date, the Designated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(other than as a result of a failure by the Designated Agent to provide instructions for delivery), the Company will (i) hold the Designated Agent harmless against any loss, claim, damage, or expense (including reasonable and documented legal fees and expenses), as incurred, arising out of or in connection with such default by the Company or its transfer agent (if applicable) and (ii) pay to the Designated Agent (without duplication) any commission, discount, or other compensation to which they would otherwise have been entitled absent such default.</w:t>
      </w:r>
    </w:p>
    <w:p>
      <w:pPr>
        <w:spacing w:after="0" w:line="192" w:lineRule="exact"/>
        <w:rPr>
          <w:sz w:val="20"/>
          <w:szCs w:val="20"/>
          <w:color w:val="auto"/>
        </w:rPr>
      </w:pPr>
    </w:p>
    <w:p>
      <w:pPr>
        <w:ind w:right="20" w:firstLine="656"/>
        <w:spacing w:after="0" w:line="261" w:lineRule="auto"/>
        <w:tabs>
          <w:tab w:leader="none" w:pos="11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Registration</w:t>
      </w:r>
      <w:r>
        <w:rPr>
          <w:rFonts w:ascii="Times New Roman" w:cs="Times New Roman" w:eastAsia="Times New Roman" w:hAnsi="Times New Roman"/>
          <w:sz w:val="18"/>
          <w:szCs w:val="18"/>
          <w:color w:val="auto"/>
        </w:rPr>
        <w:t>. Certificates for the Placement Shares, if any, shall be in such denominations and registered in such names as the Designated Agent may request in writing at least one full Business Day (as defined below) before the applicable Settlement Date. The certificates for the Placement Shares, if any, will be made available by the Company for examination and packaging by the Designated Agent in The City of New York not later than noon (New York time) on the Business Day prior to the applicable Settlement Date.</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6" w:name="page57"/>
    <w:bookmarkEnd w:id="56"/>
    <w:p>
      <w:pPr>
        <w:ind w:firstLine="656"/>
        <w:spacing w:after="0" w:line="254" w:lineRule="auto"/>
        <w:tabs>
          <w:tab w:leader="none" w:pos="116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color w:val="auto"/>
        </w:rPr>
        <w:t>.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the Agents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Further, under no circumstances shall the Company cause or permit the aggregate offering amount of Placement Shares sold pursuant to this Agreement to exceed the Maximum Amount.</w:t>
      </w:r>
    </w:p>
    <w:p>
      <w:pPr>
        <w:spacing w:after="0" w:line="192" w:lineRule="exact"/>
        <w:rPr>
          <w:sz w:val="20"/>
          <w:szCs w:val="20"/>
          <w:color w:val="auto"/>
        </w:rPr>
      </w:pPr>
    </w:p>
    <w:p>
      <w:pPr>
        <w:ind w:firstLine="656"/>
        <w:spacing w:after="0" w:line="258" w:lineRule="auto"/>
        <w:tabs>
          <w:tab w:leader="none" w:pos="109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The Company represents and warrants to, and agrees with, each Agent that as of the date of this Agreement (except for those representations, warranties and agreements that speak solely as of a specified date or time, in which case as of such date or time), and as of (i) each Representation Date (as defined in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(other than a Representation date occurring at a time at which no Placement Notice is pending), (ii) each date on which a Placement Notice is given, (iii) the date and time of each sale of any Placement Shares pursuant to this Agreement and (iv) each Settlement Date (each such time or date referred to in clauses (i) through (iv), an “</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656"/>
        <w:spacing w:after="0" w:line="253" w:lineRule="auto"/>
        <w:tabs>
          <w:tab w:leader="none" w:pos="156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meets the requirements for the use of Form S-3 under the Securities Act. The Company has prepared and filed with the Commission a “shelf registration statement” as defined in Rule 405 under the Securities Act on Form S-3, and the Placement Shares have been and remain eligible for registration by the Company on such automatic shelf registration statement. The Registration Statement meets, and the offering and sale of Placement Shares as contemplated hereby comply with, the requirements of Rule 415(a)(1)(x) under the Securities Act. Each Agent is named as the agents engaged by the Company in the section entitled “Plan of Distribution” in the Prospectus Supplement. The Company has not received, and has no notice from the Commission of, any notice pursuant to Rule 401(g)(2) under the Securities Act objecting to the use of the shelf registration statement form. No stop order of the Commission preventing or suspending the use of the base prospectus, the Prospectus Supplement or the Prospectus, or the effectiveness of the Registration Statement, has been issued, and no proceedings for such purpose have been instituted or are pending before or, to the knowledge of the Company, threatened by the Commission. At the time of the filing of the Prospectus Supplement, the Company will pay the required Commission filing fees relating to the Placement Shares that may be sold pursuant to this Agreement, in accordance with Rules 456(b) and 457(r) under the Securities Act. Copies of the Registration Statement, the Prospectus, any such amendments or supplements to any of the foregoing and all Incorporated Documents that were filed with the Commission on or prior to the date of this Agreement have been delivered, or are available through EDGAR, to the Agents and their counsel.</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color w:val="auto"/>
        </w:rPr>
        <w:t>s</w:t>
      </w:r>
    </w:p>
    <w:p>
      <w:pPr>
        <w:spacing w:after="0" w:line="27" w:lineRule="exact"/>
        <w:rPr>
          <w:sz w:val="20"/>
          <w:szCs w:val="20"/>
          <w:color w:val="auto"/>
        </w:rPr>
      </w:pPr>
    </w:p>
    <w:p>
      <w:pPr>
        <w:ind w:firstLine="656"/>
        <w:spacing w:after="0" w:line="250" w:lineRule="auto"/>
        <w:tabs>
          <w:tab w:leader="none" w:pos="157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Registration Statement and any post-effective amendment thereto, at the time it became or becomes effective, at each deemed effective date with respect to the Agents pursuant to Rule 430B(f)(2) under the Securities Act and as of each Applicable Time, complied, complies and will comply in all material respects with the requirements of the Securities Act and did not, does not and will not contain any untrue statement of a material fact or omit to state a material fact required to be stated therein or necessary to make the statements therein not misleading, except that the representations and warranties set forth in this sentence do not apply to Agents’ Information (as defined below). The Prospectus and any amendment or supplement thereto, when so filed with the Commission under Rule 424(b) under the Securities Act, complied, complies and as of each Applicable Time will comply in all material respects with the requirements of the Securities Act, and each Prospectus Supplement, Prospectus or issuer free writing prospectus (or any amendments or supplements to any of the foregoing) furnished to the Agents for use in connection with the offering of the Placement Shares was identical to the electronically transmitted copies thereof filed with the Commission pursuant to EDGAR, except to the extent permitted by Regulation S-T. Neither the Prospectus nor any amendment or supplement thereto, as of its date and as of each Applicable Time,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conformed in all material respects with the requirements of the Exchange Act and was filed on a timely basis with the Commission, and any further Incorporated Documents so filed and incorporated after the date of this Agreement will be filed on a timely basis and, when so filed, will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w:t>
      </w:r>
    </w:p>
    <w:p>
      <w:pPr>
        <w:spacing w:after="0" w:line="205" w:lineRule="exact"/>
        <w:rPr>
          <w:rFonts w:ascii="Times New Roman" w:cs="Times New Roman" w:eastAsia="Times New Roman" w:hAnsi="Times New Roman"/>
          <w:sz w:val="18"/>
          <w:szCs w:val="18"/>
          <w:color w:val="auto"/>
        </w:rPr>
      </w:pPr>
    </w:p>
    <w:p>
      <w:pPr>
        <w:ind w:right="160" w:firstLine="656"/>
        <w:spacing w:after="0" w:line="266" w:lineRule="auto"/>
        <w:tabs>
          <w:tab w:leader="none" w:pos="156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 the time of filing the Registration Statement and (ii) at the time of the execution of this Agreement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175" w:lineRule="exact"/>
        <w:rPr>
          <w:rFonts w:ascii="Times New Roman" w:cs="Times New Roman" w:eastAsia="Times New Roman" w:hAnsi="Times New Roman"/>
          <w:sz w:val="18"/>
          <w:szCs w:val="18"/>
          <w:color w:val="auto"/>
        </w:rPr>
      </w:pPr>
    </w:p>
    <w:p>
      <w:pPr>
        <w:ind w:right="260" w:firstLine="656"/>
        <w:spacing w:after="0" w:line="258" w:lineRule="auto"/>
        <w:tabs>
          <w:tab w:leader="none" w:pos="157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as of its issue date and as of each Applicable Time,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Each issuer free writing prospectus that the Company has filed, or is required to file, pursuant to Rule 433 or that was prepared by or on behalf of or used by the Company complies or will comply in all material respects with the requirements of the Securities Act.</w:t>
      </w:r>
    </w:p>
    <w:p>
      <w:pPr>
        <w:spacing w:after="0" w:line="183"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56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distributed and, prior to the later to occur of each Settlement Date and completion of an Agent’s distribution of the Placement Shares under this Agreement, will not distribute any offering material in connection with the offering and sale of the Placement Shares other than the Registration Statement, the Prospectus or any Permitted Free Writing Prospectus (as defined below).</w:t>
      </w:r>
    </w:p>
    <w:p>
      <w:pPr>
        <w:spacing w:after="0" w:line="175" w:lineRule="exact"/>
        <w:rPr>
          <w:rFonts w:ascii="Times New Roman" w:cs="Times New Roman" w:eastAsia="Times New Roman" w:hAnsi="Times New Roman"/>
          <w:sz w:val="18"/>
          <w:szCs w:val="18"/>
          <w:color w:val="auto"/>
        </w:rPr>
      </w:pPr>
    </w:p>
    <w:p>
      <w:pPr>
        <w:ind w:right="100" w:firstLine="656"/>
        <w:spacing w:after="0" w:line="256" w:lineRule="auto"/>
        <w:tabs>
          <w:tab w:leader="none" w:pos="15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and in compliance in all material respects with the reporting requirements of Section 13 or Section 15(d) of the Exchange Act. The Common Stock is registered pursuant to Section 12(b) of the Exchange Act and is listed on the Exchange, and the Company has taken no action designed to, or reasonably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 The Company is in compliance with the current listing standards of the Exchange. The Company has filed a Notification of Listing of Additional Shares with the Exchange with respect to the Placement Shares.</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8" w:name="page59"/>
    <w:bookmarkEnd w:id="58"/>
    <w:p>
      <w:pPr>
        <w:ind w:left="-20" w:right="480" w:firstLine="656"/>
        <w:spacing w:after="0" w:line="266" w:lineRule="auto"/>
        <w:tabs>
          <w:tab w:leader="none" w:pos="155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contemplated by this Agreement and except as disclosed in the Registration Statement and in the Prospectus, the Company has not incurred any liability for any brokerage or finder’s fee or other fee or financial advisory or agent’s commission as a result of any transactions contemplated by this Agreement.</w:t>
      </w:r>
    </w:p>
    <w:p>
      <w:pPr>
        <w:spacing w:after="0" w:line="175" w:lineRule="exact"/>
        <w:rPr>
          <w:rFonts w:ascii="Times New Roman" w:cs="Times New Roman" w:eastAsia="Times New Roman" w:hAnsi="Times New Roman"/>
          <w:sz w:val="18"/>
          <w:szCs w:val="18"/>
          <w:color w:val="auto"/>
        </w:rPr>
      </w:pPr>
    </w:p>
    <w:p>
      <w:pPr>
        <w:ind w:left="-20" w:right="400" w:firstLine="656"/>
        <w:spacing w:after="0" w:line="282" w:lineRule="auto"/>
        <w:tabs>
          <w:tab w:leader="none" w:pos="155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well-known seasoned issuer (as defined in Rule 405 under the Securities Act) eligible to use the Registration Statement as an automatic shelf registration statement.</w:t>
      </w:r>
    </w:p>
    <w:p>
      <w:pPr>
        <w:spacing w:after="0" w:line="161" w:lineRule="exact"/>
        <w:rPr>
          <w:rFonts w:ascii="Times New Roman" w:cs="Times New Roman" w:eastAsia="Times New Roman" w:hAnsi="Times New Roman"/>
          <w:sz w:val="18"/>
          <w:szCs w:val="18"/>
          <w:color w:val="auto"/>
        </w:rPr>
      </w:pPr>
    </w:p>
    <w:p>
      <w:pPr>
        <w:ind w:left="-20" w:right="160" w:firstLine="656"/>
        <w:spacing w:after="0" w:line="266" w:lineRule="auto"/>
        <w:tabs>
          <w:tab w:leader="none" w:pos="156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“forward-looking statement” (within the meaning of Section 27A of the Securities Act or Section 21E of the Exchange Act) contained or incorporated by reference in the Registration Statement or the Prospectus has been made or reaffirmed with a reasonable basis and has been disclosed in good faith.</w:t>
      </w:r>
    </w:p>
    <w:p>
      <w:pPr>
        <w:spacing w:after="0" w:line="175" w:lineRule="exact"/>
        <w:rPr>
          <w:rFonts w:ascii="Times New Roman" w:cs="Times New Roman" w:eastAsia="Times New Roman" w:hAnsi="Times New Roman"/>
          <w:sz w:val="18"/>
          <w:szCs w:val="18"/>
          <w:color w:val="auto"/>
        </w:rPr>
      </w:pPr>
    </w:p>
    <w:p>
      <w:pPr>
        <w:ind w:left="-20" w:right="80" w:firstLine="656"/>
        <w:spacing w:after="0" w:line="256" w:lineRule="auto"/>
        <w:tabs>
          <w:tab w:leader="none" w:pos="156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which has expressed its opinion with respect to the financial statements (which term as used in this Agreement includes the related notes thereto) filed with the Commission as a part of the Registration Statement or the Prospectus, is (i) 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8"/>
          <w:szCs w:val="18"/>
          <w:b w:val="1"/>
          <w:bCs w:val="1"/>
          <w:u w:val="single" w:color="auto"/>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87" w:lineRule="exact"/>
        <w:rPr>
          <w:rFonts w:ascii="Times New Roman" w:cs="Times New Roman" w:eastAsia="Times New Roman" w:hAnsi="Times New Roman"/>
          <w:sz w:val="18"/>
          <w:szCs w:val="18"/>
          <w:color w:val="auto"/>
        </w:rPr>
      </w:pPr>
    </w:p>
    <w:p>
      <w:pPr>
        <w:ind w:left="-20" w:firstLine="656"/>
        <w:spacing w:after="0" w:line="254" w:lineRule="auto"/>
        <w:tabs>
          <w:tab w:leader="none" w:pos="155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in the Prospectus, and all of the issued and outstanding shares of capital stock of the Company are fully paid and non-assessable and have been duly authorized and validly issued, in compliance with all applicable state, federal and foreign securities laws and not in violation of or subject to any preemptive or similar right that entitles any person to acquire from the Company or any Subsidiary any Common Stock or other security of the Company or any security convertible into, or exercisable or exchangeable for, Common Stock or any other such security of the Company (any “</w:t>
      </w:r>
      <w:r>
        <w:rPr>
          <w:rFonts w:ascii="Times New Roman" w:cs="Times New Roman" w:eastAsia="Times New Roman" w:hAnsi="Times New Roman"/>
          <w:sz w:val="18"/>
          <w:szCs w:val="18"/>
          <w:b w:val="1"/>
          <w:bCs w:val="1"/>
          <w:u w:val="single" w:color="auto"/>
          <w:color w:val="auto"/>
        </w:rPr>
        <w:t>Relevant Security</w:t>
      </w:r>
      <w:r>
        <w:rPr>
          <w:rFonts w:ascii="Times New Roman" w:cs="Times New Roman" w:eastAsia="Times New Roman" w:hAnsi="Times New Roman"/>
          <w:sz w:val="18"/>
          <w:szCs w:val="18"/>
          <w:color w:val="auto"/>
        </w:rPr>
        <w:t>”), except for such rights as may have been fully satisfied or waived prior to the effectiveness of the Registration Statement. No holder of any Relevant Security has any rights to require registration under the Securities Act of any Relevant Security in connection with the offer and sale of the Placement Shares contemplated hereby, except for any such rights that have either been fully complied with by the Company or effectively waived by the holders thereof.</w:t>
      </w:r>
    </w:p>
    <w:p>
      <w:pPr>
        <w:spacing w:after="0" w:line="191" w:lineRule="exact"/>
        <w:rPr>
          <w:rFonts w:ascii="Times New Roman" w:cs="Times New Roman" w:eastAsia="Times New Roman" w:hAnsi="Times New Roman"/>
          <w:sz w:val="18"/>
          <w:szCs w:val="18"/>
          <w:color w:val="auto"/>
        </w:rPr>
      </w:pPr>
    </w:p>
    <w:p>
      <w:pPr>
        <w:ind w:left="-20" w:right="80" w:firstLine="656"/>
        <w:spacing w:after="0" w:line="256" w:lineRule="auto"/>
        <w:tabs>
          <w:tab w:leader="none" w:pos="156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Shares to be delivered on each Settlement Date, if any, have been duly authorized and, when issued and delivered in accordance with this Agreement, will be validly issued, fully paid and non-assessable, will have been issued in compliance with all applicable state and federal securities laws and will not have been issued in violation of or subject to any preemptive or similar right that entitles any person to acquire any Relevant Security from the Company. The Common Stock and the Placement Shares conform to the descriptions thereof contained in the Registration Statement and the Prospectus. Except as disclosed in the Registration Statement and the Prospectus, the Company has no outstanding warrants, options to purchase, or any preemptive rights or other rights to subscribe for or to purchase, or any contracts or commitments to issue or sell, any Relevant Security.</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40" w:top="796" w:right="419" w:bottom="1440" w:gutter="0" w:footer="0" w:header="0"/>
        </w:sectPr>
      </w:pPr>
    </w:p>
    <w:bookmarkStart w:id="59" w:name="page60"/>
    <w:bookmarkEnd w:id="59"/>
    <w:p>
      <w:pPr>
        <w:ind w:right="40" w:firstLine="656"/>
        <w:spacing w:after="0" w:line="254" w:lineRule="auto"/>
        <w:tabs>
          <w:tab w:leader="none" w:pos="153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consolidated subsidiaries (collectively,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has been duly organized and validly exist as corporations or other legal entities in good standing under the laws of their respective jurisdiction of organization (to the extent such good standing concept exists in such jurisdiction) and has power and authority (as the case may be) to own or lease its property and conduct its business as described in the Registration Statement and the Prospectus. The Company and each Subsidiary is qualified to do business in each jurisdiction in which the character or location of its properties (owned, leased or licensed) or the nature or conduct of its business makes such qualification necessary, except for those failures to be so qualified or in good standing which (individually and in the aggregate) would not reasonably be expected to have a material adverse effect on (i) the business, management, condition (financial or otherwise), results of operations, stockholders’ equity, properties or prospects of the Company and the Subsidiaries, taken as a whole; or (ii) the ability of the Company to consummate the sale of the Placement Shares or any other transaction contemplated by this Agreement or the Registration Statement and the Prospectus (any such effects described in clauses (i) or (ii) a “</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 The certificate or articles of incorporation, by-laws, partnership agreement, limited liability company agreement or other constitutive and organizational documents (as the case may be) of the Company and each Subsidiary comply with the requirements of applicable law and are in full force and effect.</w:t>
      </w:r>
    </w:p>
    <w:p>
      <w:pPr>
        <w:spacing w:after="0" w:line="186" w:lineRule="exact"/>
        <w:rPr>
          <w:rFonts w:ascii="Times New Roman" w:cs="Times New Roman" w:eastAsia="Times New Roman" w:hAnsi="Times New Roman"/>
          <w:sz w:val="18"/>
          <w:szCs w:val="18"/>
          <w:color w:val="auto"/>
        </w:rPr>
      </w:pPr>
    </w:p>
    <w:p>
      <w:pPr>
        <w:ind w:firstLine="656"/>
        <w:spacing w:after="0" w:line="254" w:lineRule="auto"/>
        <w:tabs>
          <w:tab w:leader="none" w:pos="157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 is in violation of its certificate or articles of incorporation, by-laws, certificate of formation, limited liability company agreement, partnership agreement or other organizational documents, (ii) is in default under, and no event has occurred which, with notice or lapse of time or both, would constitute a default under or result in the creation or imposition of any lien, charge, mortgage, pledge, security interest, claim, equity, trust or other encumbrance, preferential arrangement, defect or restriction of any kind whatsoever (“</w:t>
      </w:r>
      <w:r>
        <w:rPr>
          <w:rFonts w:ascii="Times New Roman" w:cs="Times New Roman" w:eastAsia="Times New Roman" w:hAnsi="Times New Roman"/>
          <w:sz w:val="18"/>
          <w:szCs w:val="18"/>
          <w:b w:val="1"/>
          <w:bCs w:val="1"/>
          <w:u w:val="single" w:color="auto"/>
          <w:color w:val="auto"/>
        </w:rPr>
        <w:t>Lien</w:t>
      </w:r>
      <w:r>
        <w:rPr>
          <w:rFonts w:ascii="Times New Roman" w:cs="Times New Roman" w:eastAsia="Times New Roman" w:hAnsi="Times New Roman"/>
          <w:sz w:val="18"/>
          <w:szCs w:val="18"/>
          <w:color w:val="auto"/>
        </w:rPr>
        <w:t>”) upon any property or assets of the Company or any Subsidiary pursuant to, any indenture, mortgage, deed of trust, note, lease, loan agreement or other agreement or instrument to which it is a party or by which it is bound or to which any of its property or assets is subject, or (iii) is in violation of any statute, law, rule, regulation, ordinance, directive, judgment, writ, decree or order of any court or judicial, regulatory or other legal or governmental agency or body, foreign or domestic, having jurisdiction over the Company or any Subsidiary except (in the case clauses (ii) and (iii) above) for violations or defaults that would not (individually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right="20" w:firstLine="656"/>
        <w:spacing w:after="0" w:line="255" w:lineRule="auto"/>
        <w:tabs>
          <w:tab w:leader="none" w:pos="157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Subsidiary has all requisite power and authority, and all necessary consents, approvals, authorizations, orders, registrations, qualifications, licenses, filings and permits of, with and from all judicial, regulatory and other legal or governmental agencies and bodies and all third parties, foreign and domestic (collectively, the “</w:t>
      </w:r>
      <w:r>
        <w:rPr>
          <w:rFonts w:ascii="Times New Roman" w:cs="Times New Roman" w:eastAsia="Times New Roman" w:hAnsi="Times New Roman"/>
          <w:sz w:val="18"/>
          <w:szCs w:val="18"/>
          <w:b w:val="1"/>
          <w:bCs w:val="1"/>
          <w:u w:val="single" w:color="auto"/>
          <w:color w:val="auto"/>
        </w:rPr>
        <w:t>Consents</w:t>
      </w:r>
      <w:r>
        <w:rPr>
          <w:rFonts w:ascii="Times New Roman" w:cs="Times New Roman" w:eastAsia="Times New Roman" w:hAnsi="Times New Roman"/>
          <w:sz w:val="18"/>
          <w:szCs w:val="18"/>
          <w:color w:val="auto"/>
        </w:rPr>
        <w:t>”), to own, lease and operate its properties and conduct its business as it is now being conducted and as disclosed in the Registration Statement and the Prospectus, and each such Consent is valid and in full force and effect, except in each case as would not reasonably be expected to have a Material Adverse Effect. Neither the Company nor any Subsidiary has received notice of any investigation or proceedings which, if decided adversely to the Company or any such Subsidiary, would reasonably be expected to result in the revocation of, or imposition of a materially burdensome restriction on, any such Consent.</w:t>
      </w:r>
    </w:p>
    <w:p>
      <w:pPr>
        <w:spacing w:after="0" w:line="188" w:lineRule="exact"/>
        <w:rPr>
          <w:rFonts w:ascii="Times New Roman" w:cs="Times New Roman" w:eastAsia="Times New Roman" w:hAnsi="Times New Roman"/>
          <w:sz w:val="18"/>
          <w:szCs w:val="18"/>
          <w:color w:val="auto"/>
        </w:rPr>
      </w:pPr>
    </w:p>
    <w:p>
      <w:pPr>
        <w:ind w:right="340" w:firstLine="656"/>
        <w:spacing w:after="0" w:line="282" w:lineRule="auto"/>
        <w:tabs>
          <w:tab w:leader="none" w:pos="157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authorized, executed and delivered by the Company and constitutes a valid and legally binding obligation of the Company.</w:t>
      </w:r>
    </w:p>
    <w:p>
      <w:pPr>
        <w:spacing w:after="0" w:line="161" w:lineRule="exact"/>
        <w:rPr>
          <w:rFonts w:ascii="Times New Roman" w:cs="Times New Roman" w:eastAsia="Times New Roman" w:hAnsi="Times New Roman"/>
          <w:sz w:val="18"/>
          <w:szCs w:val="18"/>
          <w:color w:val="auto"/>
        </w:rPr>
      </w:pPr>
    </w:p>
    <w:p>
      <w:pPr>
        <w:ind w:right="20" w:firstLine="656"/>
        <w:spacing w:after="0" w:line="253" w:lineRule="auto"/>
        <w:tabs>
          <w:tab w:leader="none" w:pos="157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the Placement Shares, the compliance by the Company with this Agreement and the consummation of the transactions contemplated hereby and by the Registration Statement and the Prospectus do not and will not (i) conflict with or result in a breach or violation of any of the terms and provisions of, or constitute a default (or an event which with notice or lapse of time, or both, would constitute a default) under, or result in the creation or imposition of any lien upon any property or assets of the Company or any Subsidiary pursuant to, any indenture, mortgage, deed of trust, note, lease, loan agreement or other agreement, instrument, franchise, license or permit to which the Company or any Subsidiary is a party or by which the Company or any Subsidiary or their respective properties, operations or assets may be bound, (ii) violate or conflict with any provision of the certificate or articles of incorporation, by-laws, certificate of formation, limited liability company agreement, partnership agreement or other organizational documents (as the case may be) of the Company or any Subsidiary, or (iii) violate or conflict with any statute, law, rule, regulation, ordinance, directive, judgment, writ, decree or order of any court or judicial, regulatory, administrative or other legal or governmental agency or body (including, without limitation, the United States Food and Drug Administration (the “</w:t>
      </w:r>
      <w:r>
        <w:rPr>
          <w:rFonts w:ascii="Times New Roman" w:cs="Times New Roman" w:eastAsia="Times New Roman" w:hAnsi="Times New Roman"/>
          <w:sz w:val="18"/>
          <w:szCs w:val="18"/>
          <w:b w:val="1"/>
          <w:bCs w:val="1"/>
          <w:u w:val="single" w:color="auto"/>
          <w:color w:val="auto"/>
        </w:rPr>
        <w:t>FDA</w:t>
      </w:r>
      <w:r>
        <w:rPr>
          <w:rFonts w:ascii="Times New Roman" w:cs="Times New Roman" w:eastAsia="Times New Roman" w:hAnsi="Times New Roman"/>
          <w:sz w:val="18"/>
          <w:szCs w:val="18"/>
          <w:color w:val="auto"/>
        </w:rPr>
        <w:t>”)), domestic or foreign, having jurisdiction over the Company or any Subsidiary, except (in the case of clauses (i) and (iii) above) as would not reasonably be expected to have a Material Adverse Effect.</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0" w:name="page61"/>
    <w:bookmarkEnd w:id="60"/>
    <w:p>
      <w:pPr>
        <w:ind w:right="140" w:firstLine="656"/>
        <w:spacing w:after="0" w:line="258" w:lineRule="auto"/>
        <w:tabs>
          <w:tab w:leader="none" w:pos="159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is required for the execution, delivery and performance by the Company of this Agreement, the issue and sale of the Placement Shares (including the use of proceeds from the sale of the Placement Shares as described in the Registration Statement and the Prospectus) and the consummation by the Company of the transactions contemplated hereby and by the Registration Statement and the Prospectus, except the registration under the Securities Act of the Placement Shares, such Consents as may be required by the Exchange in regards to the listing of the Placement Shares and under applicable state securities or blue sky laws and such other Consents as have been obtained.</w:t>
      </w:r>
    </w:p>
    <w:p>
      <w:pPr>
        <w:spacing w:after="0" w:line="183" w:lineRule="exact"/>
        <w:rPr>
          <w:rFonts w:ascii="Times New Roman" w:cs="Times New Roman" w:eastAsia="Times New Roman" w:hAnsi="Times New Roman"/>
          <w:sz w:val="18"/>
          <w:szCs w:val="18"/>
          <w:color w:val="auto"/>
        </w:rPr>
      </w:pPr>
    </w:p>
    <w:p>
      <w:pPr>
        <w:ind w:right="60" w:firstLine="656"/>
        <w:spacing w:after="0" w:line="256" w:lineRule="auto"/>
        <w:tabs>
          <w:tab w:leader="none" w:pos="160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judicial, regulatory, arbitral or other legal or governmental proceeding or other litigation or arbitration, domestic or foreign, pending to which the Company or any Subsidiary is a party or of which any property, operations or assets of the Company or any Subsidiary is the subject which, individually or in the aggregate, if determined adversely to the Company or any Subsidiary, would reasonably be expected to have a Material Adverse Effect; to the Company’s knowledge, no such proceeding, litigation or arbitration is threatened or contemplated; and the defense of all such proceedings, litigation and arbitration against or involving the Company or any Subsidiary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firstLine="656"/>
        <w:spacing w:after="0" w:line="252" w:lineRule="auto"/>
        <w:tabs>
          <w:tab w:leader="none" w:pos="158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the notes thereto, and the supporting schedules included or incorporated by reference in the Registration Statement and the Prospectus present fairly in all material respects the consolidated financial position as of the dates indicated and the cash flows and results of operations for the periods specified of the Company and its consolidated Subsidiaries; said financial statements have been prepared in conformity with United States generally accepted accounting principles (“</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color w:val="auto"/>
        </w:rPr>
        <w:t>”) applied on a consistent basis throughout the periods involved; and the supporting schedules, if any, included in the Registration Statement and the Prospectus present fairly in all material respects in accordance with GAAP the information required to be stated therein. No other historical or pro forma financial statements or supporting schedules are required to be included in the Registration Statement or the Prospectus by the Securities Act or the Exchange Act. The other financial and statistical information included or incorporated by reference in the Registration Statement and the Prospectus present fairly in all material respects the information included therein and have been prepared on a basis consistent with that of the financial statements that are included or incorporated by reference in the Registration Statement and the Prospectus and the books and records of the respective entities presented therein. All disclosures contained in the Registration Statement and the Prospectus, or incorporated by reference therein, regarding “non-GAAP financial measures” (as such term is defined by the rules and regulations of the Commission) comply with Regulation G of the Exchange Act and Item 10 of Regulation S-K of the Securities Act, to the extent applicable.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97" w:lineRule="exact"/>
        <w:rPr>
          <w:rFonts w:ascii="Times New Roman" w:cs="Times New Roman" w:eastAsia="Times New Roman" w:hAnsi="Times New Roman"/>
          <w:sz w:val="18"/>
          <w:szCs w:val="18"/>
          <w:color w:val="auto"/>
        </w:rPr>
      </w:pPr>
    </w:p>
    <w:p>
      <w:pPr>
        <w:ind w:right="80" w:firstLine="656"/>
        <w:spacing w:after="0" w:line="266" w:lineRule="auto"/>
        <w:tabs>
          <w:tab w:leader="none" w:pos="157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statistical, industry-related and market-related data included in the Registration Statement and the Prospectus are based on or derived from sources which the Company reasonably and in good faith believes are reliable and accurate, and such data agree with the sources from which they are derived.</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1" w:name="page62"/>
    <w:bookmarkEnd w:id="61"/>
    <w:p>
      <w:pPr>
        <w:ind w:right="20" w:firstLine="656"/>
        <w:spacing w:after="0" w:line="261" w:lineRule="auto"/>
        <w:tabs>
          <w:tab w:leader="none" w:pos="157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submitted a Listing of Additional Shares notification to the Exchange. The Company has not received an oral or written notification from the Exchange or any court or any other federal, state, local or foreign governmental or regulatory authority having jurisdiction over the Company or any of its Subsidiaries or any of their properties or assets (“</w:t>
      </w:r>
      <w:r>
        <w:rPr>
          <w:rFonts w:ascii="Times New Roman" w:cs="Times New Roman" w:eastAsia="Times New Roman" w:hAnsi="Times New Roman"/>
          <w:sz w:val="18"/>
          <w:szCs w:val="18"/>
          <w:b w:val="1"/>
          <w:bCs w:val="1"/>
          <w:u w:val="single" w:color="auto"/>
          <w:color w:val="auto"/>
        </w:rPr>
        <w:t>Governmental Authority</w:t>
      </w:r>
      <w:r>
        <w:rPr>
          <w:rFonts w:ascii="Times New Roman" w:cs="Times New Roman" w:eastAsia="Times New Roman" w:hAnsi="Times New Roman"/>
          <w:sz w:val="18"/>
          <w:szCs w:val="18"/>
          <w:color w:val="auto"/>
        </w:rPr>
        <w:t>”) of any inquiry or investigation or other action that would cause the Placement Shares to stop being quoted on the Exchange.</w:t>
      </w:r>
    </w:p>
    <w:p>
      <w:pPr>
        <w:spacing w:after="0" w:line="179" w:lineRule="exact"/>
        <w:rPr>
          <w:rFonts w:ascii="Times New Roman" w:cs="Times New Roman" w:eastAsia="Times New Roman" w:hAnsi="Times New Roman"/>
          <w:sz w:val="18"/>
          <w:szCs w:val="18"/>
          <w:color w:val="auto"/>
        </w:rPr>
      </w:pPr>
    </w:p>
    <w:p>
      <w:pPr>
        <w:ind w:right="160" w:firstLine="656"/>
        <w:spacing w:after="0" w:line="282" w:lineRule="auto"/>
        <w:tabs>
          <w:tab w:leader="none" w:pos="152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or documents which are required to be described in the Registration Statement or the Prospectus or to be filed as exhibits to the Registration Statement which have not been so described and filed as required.</w:t>
      </w:r>
    </w:p>
    <w:p>
      <w:pPr>
        <w:spacing w:after="0" w:line="161" w:lineRule="exact"/>
        <w:rPr>
          <w:rFonts w:ascii="Times New Roman" w:cs="Times New Roman" w:eastAsia="Times New Roman" w:hAnsi="Times New Roman"/>
          <w:sz w:val="18"/>
          <w:szCs w:val="18"/>
          <w:color w:val="auto"/>
        </w:rPr>
      </w:pPr>
    </w:p>
    <w:p>
      <w:pPr>
        <w:ind w:right="60" w:firstLine="656"/>
        <w:spacing w:after="0" w:line="255" w:lineRule="auto"/>
        <w:tabs>
          <w:tab w:leader="none" w:pos="157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maintain a system of internal accounting and other controls sufficient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accounting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88" w:lineRule="exact"/>
        <w:rPr>
          <w:rFonts w:ascii="Times New Roman" w:cs="Times New Roman" w:eastAsia="Times New Roman" w:hAnsi="Times New Roman"/>
          <w:sz w:val="18"/>
          <w:szCs w:val="18"/>
          <w:color w:val="auto"/>
        </w:rPr>
      </w:pPr>
    </w:p>
    <w:p>
      <w:pPr>
        <w:ind w:right="80" w:firstLine="656"/>
        <w:spacing w:after="0" w:line="255" w:lineRule="auto"/>
        <w:tabs>
          <w:tab w:leader="none" w:pos="157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GAAP. The Company’s internal control over financial reporting is effective and the Company is not aware of any material weaknesses in its internal control over financial reporting. Since the date of the latest audited financial statements included or incorporated by reference in the Prospectus, there has been no change in the Company’s internal control over financial reporting that has materially affected, or is reasonably likely to materially affect, the Company’s internal control over financial reporting.</w:t>
      </w:r>
    </w:p>
    <w:p>
      <w:pPr>
        <w:spacing w:after="0" w:line="188" w:lineRule="exact"/>
        <w:rPr>
          <w:rFonts w:ascii="Times New Roman" w:cs="Times New Roman" w:eastAsia="Times New Roman" w:hAnsi="Times New Roman"/>
          <w:sz w:val="18"/>
          <w:szCs w:val="18"/>
          <w:color w:val="auto"/>
        </w:rPr>
      </w:pPr>
    </w:p>
    <w:p>
      <w:pPr>
        <w:ind w:firstLine="656"/>
        <w:spacing w:after="0" w:line="261" w:lineRule="auto"/>
        <w:tabs>
          <w:tab w:leader="none" w:pos="156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80" w:lineRule="exact"/>
        <w:rPr>
          <w:sz w:val="20"/>
          <w:szCs w:val="20"/>
          <w:color w:val="auto"/>
        </w:rPr>
      </w:pPr>
    </w:p>
    <w:p>
      <w:pPr>
        <w:ind w:right="80" w:firstLine="656"/>
        <w:spacing w:after="0" w:line="266" w:lineRule="auto"/>
        <w:tabs>
          <w:tab w:leader="none" w:pos="151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(the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including Section 402 related to loans and Sections 302 and 906 related to certifications.</w:t>
      </w:r>
    </w:p>
    <w:p>
      <w:pPr>
        <w:spacing w:after="0" w:line="175" w:lineRule="exact"/>
        <w:rPr>
          <w:rFonts w:ascii="Times New Roman" w:cs="Times New Roman" w:eastAsia="Times New Roman" w:hAnsi="Times New Roman"/>
          <w:sz w:val="18"/>
          <w:szCs w:val="18"/>
          <w:color w:val="auto"/>
        </w:rPr>
      </w:pPr>
    </w:p>
    <w:p>
      <w:pPr>
        <w:ind w:right="20" w:firstLine="656"/>
        <w:spacing w:after="0" w:line="261" w:lineRule="auto"/>
        <w:tabs>
          <w:tab w:leader="none" w:pos="148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are registered pursuant to Section 12(b) or 12(g) of the Exchange Act and are listed on the Exchange, and the Company has taken no action designed to, or likely to have the effect of, terminating the registration of the shares of Common Stock under the Exchange Act or delisting the shares of Common Stock from the Exchange, nor has the Company received any notification that the Commission or the Exchange is contemplating terminating such registration or listing. The Company is in compliance with all applicable listing requirements of the Exchange.</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2" w:name="page63"/>
    <w:bookmarkEnd w:id="62"/>
    <w:p>
      <w:pPr>
        <w:ind w:right="40" w:firstLine="656"/>
        <w:spacing w:after="0" w:line="254" w:lineRule="auto"/>
        <w:tabs>
          <w:tab w:leader="none" w:pos="151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relationship, direct or indirect, exists between or among any of the Company or any affiliate of the Company, on the one hand, and any director, officer, shareholder, customer or supplier of the Company or any affiliate of the Company, on the other hand, which is required by the Securities Act or the Exchange Act to be described in the Registration Statement or the Prospectus that is not so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The Company has not, in violation of the Sarbanes-Oxley Act, directly or indirectly, including through any affiliate of the Company, extended or maintained credit, arranged for the extension of credit, or renewed an extension of credit, in the form of a personal loan to or for any director or executive officer of the Company.</w:t>
      </w:r>
    </w:p>
    <w:p>
      <w:pPr>
        <w:spacing w:after="0" w:line="191" w:lineRule="exact"/>
        <w:rPr>
          <w:rFonts w:ascii="Times New Roman" w:cs="Times New Roman" w:eastAsia="Times New Roman" w:hAnsi="Times New Roman"/>
          <w:sz w:val="18"/>
          <w:szCs w:val="18"/>
          <w:color w:val="auto"/>
        </w:rPr>
      </w:pPr>
    </w:p>
    <w:p>
      <w:pPr>
        <w:ind w:right="80" w:firstLine="656"/>
        <w:spacing w:after="0" w:line="261" w:lineRule="auto"/>
        <w:tabs>
          <w:tab w:leader="none" w:pos="14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affiliates (within the meaning of Rule 144 under the Securities Act) has taken, directly or indirectly, any action which constitutes or is designed to cause or result in, or which would reasonably be expected to constitute, cause or result in, the stabilization or manipulation of the price of any security of the Company to facilitate the sale or resale of the Placement Shares or to result in a violation of Regulation M under the Exchange Act.</w:t>
      </w:r>
    </w:p>
    <w:p>
      <w:pPr>
        <w:spacing w:after="0" w:line="179" w:lineRule="exact"/>
        <w:rPr>
          <w:rFonts w:ascii="Times New Roman" w:cs="Times New Roman" w:eastAsia="Times New Roman" w:hAnsi="Times New Roman"/>
          <w:sz w:val="18"/>
          <w:szCs w:val="18"/>
          <w:color w:val="auto"/>
        </w:rPr>
      </w:pPr>
    </w:p>
    <w:p>
      <w:pPr>
        <w:ind w:right="200" w:firstLine="656"/>
        <w:spacing w:after="0" w:line="266" w:lineRule="auto"/>
        <w:tabs>
          <w:tab w:leader="none" w:pos="151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affiliates (within the meaning of Rule 144 under the Securities Act) has, prior to the date hereof, made any offer or sale of any securities which could be “integrated” (within the meaning of the Securities Act) with the offer and sale of the Placement Shares pursuant to the Registration Statement and Prospectus.</w:t>
      </w:r>
    </w:p>
    <w:p>
      <w:pPr>
        <w:spacing w:after="0" w:line="175" w:lineRule="exact"/>
        <w:rPr>
          <w:rFonts w:ascii="Times New Roman" w:cs="Times New Roman" w:eastAsia="Times New Roman" w:hAnsi="Times New Roman"/>
          <w:sz w:val="18"/>
          <w:szCs w:val="18"/>
          <w:color w:val="auto"/>
        </w:rPr>
      </w:pPr>
    </w:p>
    <w:p>
      <w:pPr>
        <w:ind w:firstLine="656"/>
        <w:spacing w:after="0" w:line="256" w:lineRule="auto"/>
        <w:tabs>
          <w:tab w:leader="none" w:pos="155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information provided to the Agents or to counsel for the Agents by the Company, its officers and directors and to the Company’s knowledge the holders of any securities (debt or equity) or options to acquire any securities of the Company in connection with the offering of the Placement Shares is true, complete and correct in all material respects and compliant with Financial Industry Regulatory Authority, Inc.’s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 rules and any letters, filings or other supplemental information provided to FINRA pursuant to FINRA Rules or NASD Conduct Rules is true, complete and correct in all material respects. In accordance with FINRA Conduct Rule 5110(h)(1)(C), the Placement Shares have been registered with the Commission on Form S-3 under the Securities Act.</w:t>
      </w:r>
    </w:p>
    <w:p>
      <w:pPr>
        <w:spacing w:after="0" w:line="187" w:lineRule="exact"/>
        <w:rPr>
          <w:rFonts w:ascii="Times New Roman" w:cs="Times New Roman" w:eastAsia="Times New Roman" w:hAnsi="Times New Roman"/>
          <w:sz w:val="18"/>
          <w:szCs w:val="18"/>
          <w:color w:val="auto"/>
        </w:rPr>
      </w:pPr>
    </w:p>
    <w:p>
      <w:pPr>
        <w:ind w:right="300" w:firstLine="656"/>
        <w:spacing w:after="0" w:line="258" w:lineRule="auto"/>
        <w:tabs>
          <w:tab w:leader="none" w:pos="14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the Prospectus under the caption “Description of Capital Stock We May Offer”, insofar as it purports to constitute a summary of the terms of the Common Stock, are accurate and complete in all material respects. The statements set forth in the Company’s Annual Report on Form 10-K for the year ended December 31, 2021 under the caption “Business—Product Approval and Government Regulation” and “Risk Factors” and as set forth in the Prospectus under the caption “Risk Factors”, insofar as they purport to describe the provisions of the laws and documents referred to therein, are accurate and complete in all material respects.</w:t>
      </w:r>
    </w:p>
    <w:p>
      <w:pPr>
        <w:spacing w:after="0" w:line="183" w:lineRule="exact"/>
        <w:rPr>
          <w:rFonts w:ascii="Times New Roman" w:cs="Times New Roman" w:eastAsia="Times New Roman" w:hAnsi="Times New Roman"/>
          <w:sz w:val="18"/>
          <w:szCs w:val="18"/>
          <w:color w:val="auto"/>
        </w:rPr>
      </w:pPr>
    </w:p>
    <w:p>
      <w:pPr>
        <w:ind w:right="80" w:firstLine="656"/>
        <w:spacing w:after="0" w:line="261" w:lineRule="auto"/>
        <w:tabs>
          <w:tab w:leader="none" w:pos="14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at all times up to and including consummation of the transactions contemplated by this Agreement, and after giving effect to application of the net proceeds of the sale of the Placement Shares as described in the Prospectus, will not be, required to register as an “investment company” under the Investment Company Act of 1940, as amended, and is not and will not be an entity “controlled” by an “investment company” within the meaning of such act.</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3" w:name="page64"/>
    <w:bookmarkEnd w:id="63"/>
    <w:p>
      <w:pPr>
        <w:ind w:right="40" w:firstLine="656"/>
        <w:spacing w:after="0" w:line="258" w:lineRule="auto"/>
        <w:tabs>
          <w:tab w:leader="none" w:pos="154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and the Prospectus, there are no contracts, agreements or understandings between the Company and any person that would give rise to a valid claim against the Company or the Agents for a brokerage commission, finder’s fee or other like payment in connection with the transactions contemplated by this Agreement or, to the Company’s knowledge, any arrangements, agreements, understandings, payments or issuance with respect to the Company or any of its officers, directors, shareholders, partners, employees, Subsidiaries or affiliates that may affect the Agents’ compensation as determined by FINRA Rule 5110.</w:t>
      </w:r>
    </w:p>
    <w:p>
      <w:pPr>
        <w:spacing w:after="0" w:line="183" w:lineRule="exact"/>
        <w:rPr>
          <w:rFonts w:ascii="Times New Roman" w:cs="Times New Roman" w:eastAsia="Times New Roman" w:hAnsi="Times New Roman"/>
          <w:sz w:val="18"/>
          <w:szCs w:val="18"/>
          <w:color w:val="auto"/>
        </w:rPr>
      </w:pPr>
    </w:p>
    <w:p>
      <w:pPr>
        <w:ind w:right="20" w:firstLine="656"/>
        <w:spacing w:after="0" w:line="253" w:lineRule="auto"/>
        <w:tabs>
          <w:tab w:leader="none" w:pos="154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owns or leases all such properties as are necessary to the conduct of its business as presently operated and as proposed to be operated as described in the Registration Statement and the Prospectus. The Company and the Subsidiaries have good and marketable title in fee simple to all real property and good and marketable title to all personal property owned by them, in each case free and clear of any and all Liens except such as are described in the Registration Statement and the Prospectus or such as do not (individually or in the aggregate) materially affect the value of such property or materially interfere with the use made or proposed to be made of such property by the Company and the Subsidiaries; and any real property and buildings held under lease or sublease by the Company and the Subsidiaries are held by them under valid, subsisting and enforceable leases with such exceptions as are not material to, and do not materially interfere with, the use made and proposed to be made of such property and buildings by the Company and the Subsidiaries. Neither the Company nor any Subsidiary has received any notice of any claim adverse to its ownership of any real or personal property or of any claim against the continued possession of any real property, whether owned or held under lease or sublease by the Company or any Subsidiary.</w:t>
      </w:r>
    </w:p>
    <w:p>
      <w:pPr>
        <w:spacing w:after="0" w:line="194" w:lineRule="exact"/>
        <w:rPr>
          <w:rFonts w:ascii="Times New Roman" w:cs="Times New Roman" w:eastAsia="Times New Roman" w:hAnsi="Times New Roman"/>
          <w:sz w:val="18"/>
          <w:szCs w:val="18"/>
          <w:color w:val="auto"/>
        </w:rPr>
      </w:pPr>
    </w:p>
    <w:p>
      <w:pPr>
        <w:ind w:right="40" w:firstLine="656"/>
        <w:spacing w:after="0" w:line="268" w:lineRule="auto"/>
        <w:tabs>
          <w:tab w:leader="none" w:pos="1667"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their knowledge, the Company and each Subsidiary: (i) owns or possesses valid and adequate rights to use any and all patents and patent applications; trademarks, service marks, domain names, social media accounts and identifiers, trade names, brand names, trademark registrations, service mark registrations, and all goodwill arising from the foregoing; rights of publicity; copyrights, works of authorship, software, data, databases, systems, and technology, licenses, formulae, customer lists, know-how, trade secrets and other unpatented and/or unpatentable proprietary or confidential information, systems or procedures; and all other intellectual, industrial, or proprietary property or rights (collectively, “</w:t>
      </w:r>
      <w:r>
        <w:rPr>
          <w:rFonts w:ascii="Times New Roman" w:cs="Times New Roman" w:eastAsia="Times New Roman" w:hAnsi="Times New Roman"/>
          <w:sz w:val="17"/>
          <w:szCs w:val="17"/>
          <w:b w:val="1"/>
          <w:bCs w:val="1"/>
          <w:u w:val="single" w:color="auto"/>
          <w:color w:val="auto"/>
        </w:rPr>
        <w:t>Intellectual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Property</w:t>
      </w:r>
      <w:r>
        <w:rPr>
          <w:rFonts w:ascii="Times New Roman" w:cs="Times New Roman" w:eastAsia="Times New Roman" w:hAnsi="Times New Roman"/>
          <w:sz w:val="17"/>
          <w:szCs w:val="17"/>
          <w:color w:val="auto"/>
        </w:rPr>
        <w:t>”) used in or necessary for the conduct of their respective businesses as presently conducted and as described as proposed to be conducted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Registration Statement and the Prospectus (collectively, the “</w:t>
      </w:r>
      <w:r>
        <w:rPr>
          <w:rFonts w:ascii="Times New Roman" w:cs="Times New Roman" w:eastAsia="Times New Roman" w:hAnsi="Times New Roman"/>
          <w:sz w:val="17"/>
          <w:szCs w:val="17"/>
          <w:b w:val="1"/>
          <w:bCs w:val="1"/>
          <w:u w:val="single" w:color="auto"/>
          <w:color w:val="auto"/>
        </w:rPr>
        <w:t>Company Intellectual Property</w:t>
      </w:r>
      <w:r>
        <w:rPr>
          <w:rFonts w:ascii="Times New Roman" w:cs="Times New Roman" w:eastAsia="Times New Roman" w:hAnsi="Times New Roman"/>
          <w:sz w:val="17"/>
          <w:szCs w:val="17"/>
          <w:color w:val="auto"/>
        </w:rPr>
        <w:t>”), except, in each case, as would not reasonably be expected to have a Material Adverse Effect, and none of the foregoing will be adversely affected by the consummation of the transactions contemplated hereby; and</w:t>
      </w:r>
    </w:p>
    <w:p>
      <w:pPr>
        <w:ind w:firstLine="8"/>
        <w:spacing w:after="0" w:line="250" w:lineRule="auto"/>
        <w:tabs>
          <w:tab w:leader="none" w:pos="2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and the Prospectus, exclusively own free and clear of all Liens all right, title, and interest in and to all Intellectual Property described in the Prospectus as being owned by them or that is otherwise purported to be owned by them (collectively, the “</w:t>
      </w:r>
      <w:r>
        <w:rPr>
          <w:rFonts w:ascii="Times New Roman" w:cs="Times New Roman" w:eastAsia="Times New Roman" w:hAnsi="Times New Roman"/>
          <w:sz w:val="18"/>
          <w:szCs w:val="18"/>
          <w:b w:val="1"/>
          <w:bCs w:val="1"/>
          <w:u w:val="single" w:color="auto"/>
          <w:color w:val="auto"/>
        </w:rPr>
        <w:t>Owned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All material registrations and applications for Owned Intellectual Property are subsisting, unexpired and have not been abandoned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applicable jurisdiction. The Company and the Subsidiaries have not received any notice of any claim of infringement, misappropriation or violation of the Intellectual Property rights of others that would, individually or in the aggregate, reasonably be expected to have a Material Adverse Effect. The Company and Subsidiaries have taken reasonable measures consistent with industry standards to protect the confidentiality of their material trade secrets and confidential or proprietary information (including the source code for all material proprietary software). No such material trade secrets or information (including source code) has ever been disclosed or released to any third party (except pursuant to reasonable confidentiality obligations) and, to the Company’s knowledge, no event has occurred, and no circumstances or conditions exist (including the execution of this Agreement or the consummation of the transactions contemplated hereby) that (with or without notice or lapse of time, or both) will, or would reasonably be expected to, result in the disclosure or release thereof to a third party. To the Company’s knowledge, all such trade secrets and information (including source code) which has not been patented is and has been kept confidential. Except as disclosed in the Registration Statement and the Prospectus, neither the Company nor any Subsidiary has granted, licensed or assigned to any other person or entity any right to manufacture, have manufactured, assemble, offer to sell, or sell the current products and services of the Company and its Subsidiaries or those products and services described in the Registration Statement and the Prospectus, except for manufacturing services contracts in the ordinary course of business. To the knowledge of the Company and each Subsidiary, there is and has been no infringement, misappropriation, or other violation (i) by the Company or any Subsidiary (including by the operation of its respective business or its products or services) of any Intellectual Property rights of any third party or (ii) by third parties of any Owned Intellectual Property, except, in each case, as would not reasonably be expected to have a Material Adverse Effect. There is no pending or, to the Company’s knowledge, threatened action, suit, proceeding, or claim either (x) challenging (A) the Company’s or any Subsidiary’s rights in or to any Company Intellectual Property or (B) the validity, enforceability, scope, ownership, or use of any Owned Intellectual Property, or (y) alleging any infringement, misappropriation, or other violation by the Company or any Subsidiary of any patent, trademark, copyright, trade secret or other Intellectual Property right of any third party. None of the Company’s or any Subsidiary’s material proprietary software contains, incorporates, includes or is linked to, derived from, embedded with or distributed with any “copyleft” or similar software in any manner that would require that any source code for such material proprietary software to be disclosed, licensed, or distributed to others.</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4" w:name="page65"/>
    <w:bookmarkEnd w:id="64"/>
    <w:p>
      <w:pPr>
        <w:ind w:firstLine="656"/>
        <w:spacing w:after="0" w:line="253" w:lineRule="auto"/>
        <w:tabs>
          <w:tab w:leader="none" w:pos="15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u w:val="single" w:color="auto"/>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and to the best of the Company’s knowledge, are free and clear of all material bugs, errors, defects, viruses, worms, Trojan horses, time bombs, malware or other similar flaws, harmful programs or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18"/>
          <w:szCs w:val="18"/>
          <w:b w:val="1"/>
          <w:bCs w:val="1"/>
          <w:u w:val="single" w:color="auto"/>
          <w:color w:val="auto"/>
        </w:rPr>
        <w:t>Personal Data</w:t>
      </w:r>
      <w:r>
        <w:rPr>
          <w:rFonts w:ascii="Times New Roman" w:cs="Times New Roman" w:eastAsia="Times New Roman" w:hAnsi="Times New Roman"/>
          <w:sz w:val="18"/>
          <w:szCs w:val="18"/>
          <w:color w:val="auto"/>
        </w:rPr>
        <w:t>”))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89" w:lineRule="exact"/>
        <w:rPr>
          <w:rFonts w:ascii="Times New Roman" w:cs="Times New Roman" w:eastAsia="Times New Roman" w:hAnsi="Times New Roman"/>
          <w:sz w:val="18"/>
          <w:szCs w:val="18"/>
          <w:color w:val="auto"/>
        </w:rPr>
      </w:pPr>
    </w:p>
    <w:p>
      <w:pPr>
        <w:jc w:val="both"/>
        <w:ind w:right="280" w:firstLine="656"/>
        <w:spacing w:after="0" w:line="261" w:lineRule="auto"/>
        <w:tabs>
          <w:tab w:leader="none" w:pos="140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have been notified in writing, or have been required by applicable Law or a Governmental Authority to notify in writing, any person of any Personal Data or security-related incident. Neither the Company nor its Subsidiaries have received any notice of any claims, investigations, or alleged violations of Law with respect to Personal Data. To the best of the Company’s knowledge, no person has commenced any proceedings relating to the Company or its Subsidiaries’ information privacy or data security practices.</w:t>
      </w:r>
    </w:p>
    <w:p>
      <w:pPr>
        <w:spacing w:after="0" w:line="179" w:lineRule="exact"/>
        <w:rPr>
          <w:rFonts w:ascii="Times New Roman" w:cs="Times New Roman" w:eastAsia="Times New Roman" w:hAnsi="Times New Roman"/>
          <w:sz w:val="18"/>
          <w:szCs w:val="18"/>
          <w:color w:val="auto"/>
        </w:rPr>
      </w:pPr>
    </w:p>
    <w:p>
      <w:pPr>
        <w:ind w:right="60" w:firstLine="656"/>
        <w:spacing w:after="0" w:line="256" w:lineRule="auto"/>
        <w:tabs>
          <w:tab w:leader="none" w:pos="148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loss, damage, or unauthorized access, disclosure, use, or breach of security of any Company or Subsidiary information in their possession, custody, or control, or otherwise held or processed on their behalf that would reasonably be expected to have a Material Adverse Effect. The Company and its Subsidiaries have implemented, and required of their third party vendors, adequate policies and commercially reasonable security controls regarding the collection, use, disclosure, retention, confidentiality, integrity, and availability of personal and business sensitive information in their possession, custody, or control, or held or processed on their behalf, and regarding the integrity and availability of the information technology the Company and its Subsidiaries own, operate, or outsource.</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5" w:name="page66"/>
    <w:bookmarkEnd w:id="65"/>
    <w:p>
      <w:pPr>
        <w:ind w:right="20" w:firstLine="656"/>
        <w:spacing w:after="0" w:line="255" w:lineRule="auto"/>
        <w:tabs>
          <w:tab w:leader="none" w:pos="14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maintain insurance in such amounts and covering such risks as the Company reasonably considers adequate for the conduct of its business and the value of its properties and as is customary for companies engaged in similar businesses in similar industries, all of which insurance is in full force and effect, except where the failure to maintain such insurance would not reasonably be expected to have a Material Adverse Effect. There are no material claims by the Company or any Subsidiary under any such policy or instrument as to which any insurance company is denying liability or defending under a reservation of rights clause. The Company reasonably believes that it will be able to renew its existing insurance as and when such coverage expires or will be able to obtain replacement insurance adequate for the conduct of the business and the value of its properties at a cost that would not have a Material Adverse Effect.</w:t>
      </w:r>
    </w:p>
    <w:p>
      <w:pPr>
        <w:spacing w:after="0" w:line="188" w:lineRule="exact"/>
        <w:rPr>
          <w:rFonts w:ascii="Times New Roman" w:cs="Times New Roman" w:eastAsia="Times New Roman" w:hAnsi="Times New Roman"/>
          <w:sz w:val="18"/>
          <w:szCs w:val="18"/>
          <w:color w:val="auto"/>
        </w:rPr>
      </w:pPr>
    </w:p>
    <w:p>
      <w:pPr>
        <w:ind w:firstLine="656"/>
        <w:spacing w:after="0" w:line="253" w:lineRule="auto"/>
        <w:tabs>
          <w:tab w:leader="none" w:pos="14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result in a Material Adverse Effect, each of the Company and each Subsidiary has accurately prepared and timely filed all federal, state, foreign and other tax returns that are required to be filed by it or has been granted extensions thereof and has paid or made provision for the payment of all taxes, assessments, governmental or other similar charges, including without limitation, all sales and use taxes and all taxes which the Company or any Subsidiary is obligated to withhold from amounts owing to employees, creditors and third parties, with respect to the periods covered by such tax returns (whether or not such amounts are shown as due on any tax return). Except as would not reasonably be expected to result in a Material Adverse Effect, no deficiency assessment with respect to a proposed adjustment of the Company’s or any Subsidiary’ federal, state, local or foreign taxes is pending or, to the Company’s knowledge, threatened. The accruals and reserves on the books and records of the Company and the Subsidiaries in respect of tax liabilities for any taxable period not finally determined are adequate to meet any assessments and related liabilities for any such period and, since December 31, [2019], the Company and the Subsidiaries have not incurred any liability for taxes other than in the ordinary course of its business, except as would not reasonably be expected to result in a Material Adverse Effect. There is no tax lien, whether imposed by any federal, state, foreign or other taxing authority, outstanding against the assets, properties or business of the Company or any Subsidiary, other than any such tax lien arising automatically under applicable law with respect to taxes not yet due and payable or being contested in good faith.</w:t>
      </w:r>
    </w:p>
    <w:p>
      <w:pPr>
        <w:spacing w:after="0" w:line="189" w:lineRule="exact"/>
        <w:rPr>
          <w:rFonts w:ascii="Times New Roman" w:cs="Times New Roman" w:eastAsia="Times New Roman" w:hAnsi="Times New Roman"/>
          <w:sz w:val="18"/>
          <w:szCs w:val="18"/>
          <w:color w:val="auto"/>
        </w:rPr>
      </w:pPr>
    </w:p>
    <w:p>
      <w:pPr>
        <w:ind w:firstLine="656"/>
        <w:spacing w:after="0" w:line="261" w:lineRule="auto"/>
        <w:tabs>
          <w:tab w:leader="none" w:pos="14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disturbance by the employees of the Company or any Subsidiary exists or, to the Company’s knowledge, is imminent and the Company is not aware of any existing or imminent labor disturbances by the employees of any of its or any Subsidiary’s principal suppliers, manufacturers’, customers or contractors, which, in either case (individually or in the aggregate), would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firstLine="656"/>
        <w:spacing w:after="0" w:line="252" w:lineRule="auto"/>
        <w:tabs>
          <w:tab w:leader="none" w:pos="156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would not, individually or in the aggregate, reasonably be expected to have a Material Adverse Effect, each “employee benefit plan” (within the meaning of Section 3(3) of the Employee Retirement Security Act of 1974, as amended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would have any liability (each a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“accumulated funding deficiency”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whether by action or by failure to act, which would cause the loss of such qualification.</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66" w:name="page67"/>
    <w:bookmarkEnd w:id="66"/>
    <w:p>
      <w:pPr>
        <w:ind w:firstLine="656"/>
        <w:spacing w:after="0" w:line="252" w:lineRule="auto"/>
        <w:tabs>
          <w:tab w:leader="none" w:pos="153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storage, generation, transportation, handling, use, treatment, disposal, discharge, emission, contamination, release or other activity involving any kind of hazardous, toxic or other wastes, pollutants, contaminants, petroleum products or other hazardous or toxic substances, chemicals or materials (“</w:t>
      </w:r>
      <w:r>
        <w:rPr>
          <w:rFonts w:ascii="Times New Roman" w:cs="Times New Roman" w:eastAsia="Times New Roman" w:hAnsi="Times New Roman"/>
          <w:sz w:val="18"/>
          <w:szCs w:val="18"/>
          <w:b w:val="1"/>
          <w:bCs w:val="1"/>
          <w:u w:val="single" w:color="auto"/>
          <w:color w:val="auto"/>
        </w:rPr>
        <w:t>Hazardous Substances</w:t>
      </w:r>
      <w:r>
        <w:rPr>
          <w:rFonts w:ascii="Times New Roman" w:cs="Times New Roman" w:eastAsia="Times New Roman" w:hAnsi="Times New Roman"/>
          <w:sz w:val="18"/>
          <w:szCs w:val="18"/>
          <w:color w:val="auto"/>
        </w:rPr>
        <w:t>”) by, due to, on behalf of, or caused by the Company or any Subsidiary (or, to the Company’s knowledge, any other entity for whose acts or omissions the Company is or may be liable) upon any property now or previously owned, operated, used or leased by the Company or any Subsidiary, or upon any other property, which would be a violation of or give rise to any liability under any applicable law, rule, regulation, order, judgment, decree or permit, common law provision or other legally binding standard relating to pollution or protection of human health and the environment (“</w:t>
      </w:r>
      <w:r>
        <w:rPr>
          <w:rFonts w:ascii="Times New Roman" w:cs="Times New Roman" w:eastAsia="Times New Roman" w:hAnsi="Times New Roman"/>
          <w:sz w:val="18"/>
          <w:szCs w:val="18"/>
          <w:b w:val="1"/>
          <w:bCs w:val="1"/>
          <w:u w:val="single" w:color="auto"/>
          <w:color w:val="auto"/>
        </w:rPr>
        <w:t>Environmental Law</w:t>
      </w:r>
      <w:r>
        <w:rPr>
          <w:rFonts w:ascii="Times New Roman" w:cs="Times New Roman" w:eastAsia="Times New Roman" w:hAnsi="Times New Roman"/>
          <w:sz w:val="18"/>
          <w:szCs w:val="18"/>
          <w:color w:val="auto"/>
        </w:rPr>
        <w:t>”), except for violations and liabilities which, individually or in the aggregate, would not reasonably be expected to have a Material Adverse Effect. There has been no disposal, discharge, emission contamination or other release of any kind at, onto or from any such property or into the environment surrounding any such property of any Hazardous Substances with respect to which the Company or any Subsidiary has knowledge, except as would not, individually or in the aggregate, reasonably be expected to have a Material Adverse Effect. Neither the Company nor any Subsidiary has agreed to assume, undertake or provide indemnification for any liability of any other person under any Environmental Law, including any obligation for cleanup or remedial action, except as would not, individually or in the aggregate, reasonably be expected to have a Material Adverse Effect. There is no pending or, to the Company’s knowledge, threatened administrative, regulatory or judicial action, claim or notice of noncompliance or violation, investigation or proceedings relating to any Environmental Law against the Company or any Subsidiary, except in each case which, individually or in the aggregate, would not reasonably be expected to have a Material Adverse Effect. No property of the Company or any Subsidiary is subject to any Lien under any Environmental Law. Neither the Company nor any Subsidiary is subject to any order, decree, agreement or other individualized legal requirement related to any Environmental Law.</w:t>
      </w:r>
    </w:p>
    <w:p>
      <w:pPr>
        <w:spacing w:after="0" w:line="193" w:lineRule="exact"/>
        <w:rPr>
          <w:rFonts w:ascii="Times New Roman" w:cs="Times New Roman" w:eastAsia="Times New Roman" w:hAnsi="Times New Roman"/>
          <w:sz w:val="18"/>
          <w:szCs w:val="18"/>
          <w:color w:val="auto"/>
        </w:rPr>
      </w:pPr>
    </w:p>
    <w:p>
      <w:pPr>
        <w:ind w:right="20" w:firstLine="656"/>
        <w:spacing w:after="0" w:line="251" w:lineRule="auto"/>
        <w:tabs>
          <w:tab w:leader="none" w:pos="154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(i) are in compliance with all statutes, rules and regulations applicable to the testing, development, manufacture, packaging, processing, use, distribution, marketing, labeling, promotion, sale, offer for sale, storage, import, export or disposal of any product under development, manufactured or distributed by the Company or the Subsidiaries (“</w:t>
      </w:r>
      <w:r>
        <w:rPr>
          <w:rFonts w:ascii="Times New Roman" w:cs="Times New Roman" w:eastAsia="Times New Roman" w:hAnsi="Times New Roman"/>
          <w:sz w:val="18"/>
          <w:szCs w:val="18"/>
          <w:b w:val="1"/>
          <w:bCs w:val="1"/>
          <w:u w:val="single" w:color="auto"/>
          <w:color w:val="auto"/>
        </w:rPr>
        <w:t>Applicable Laws</w:t>
      </w:r>
      <w:r>
        <w:rPr>
          <w:rFonts w:ascii="Times New Roman" w:cs="Times New Roman" w:eastAsia="Times New Roman" w:hAnsi="Times New Roman"/>
          <w:sz w:val="18"/>
          <w:szCs w:val="18"/>
          <w:color w:val="auto"/>
        </w:rPr>
        <w:t>”) except where such noncompliance would not reasonably be expected to have a Material Adverse Effect, (ii) have not received any Form 483 from the FDA, notice of adverse finding, warning letter, or other written correspondence or notice from the FDA, the European Medicines Agency (the “</w:t>
      </w:r>
      <w:r>
        <w:rPr>
          <w:rFonts w:ascii="Times New Roman" w:cs="Times New Roman" w:eastAsia="Times New Roman" w:hAnsi="Times New Roman"/>
          <w:sz w:val="18"/>
          <w:szCs w:val="18"/>
          <w:b w:val="1"/>
          <w:bCs w:val="1"/>
          <w:u w:val="single" w:color="auto"/>
          <w:color w:val="auto"/>
        </w:rPr>
        <w:t>EMA</w:t>
      </w:r>
      <w:r>
        <w:rPr>
          <w:rFonts w:ascii="Times New Roman" w:cs="Times New Roman" w:eastAsia="Times New Roman" w:hAnsi="Times New Roman"/>
          <w:sz w:val="18"/>
          <w:szCs w:val="18"/>
          <w:color w:val="auto"/>
        </w:rPr>
        <w:t>”), or any other federal, state, local or foreign governmental or regulatory authority alleging or asserting material noncompliance with any Applicable Laws or any licenses, certificates, approvals, clearances, authorizations, permits and supplements or amendments thereto required by any such Applicable Laws (“</w:t>
      </w:r>
      <w:r>
        <w:rPr>
          <w:rFonts w:ascii="Times New Roman" w:cs="Times New Roman" w:eastAsia="Times New Roman" w:hAnsi="Times New Roman"/>
          <w:sz w:val="18"/>
          <w:szCs w:val="18"/>
          <w:b w:val="1"/>
          <w:bCs w:val="1"/>
          <w:u w:val="single" w:color="auto"/>
          <w:color w:val="auto"/>
        </w:rPr>
        <w:t>Authorizations</w:t>
      </w:r>
      <w:r>
        <w:rPr>
          <w:rFonts w:ascii="Times New Roman" w:cs="Times New Roman" w:eastAsia="Times New Roman" w:hAnsi="Times New Roman"/>
          <w:sz w:val="18"/>
          <w:szCs w:val="18"/>
          <w:color w:val="auto"/>
        </w:rPr>
        <w:t>”), that would, individually or in the aggregate, result in a Material Adverse Effect; (iii) possess all Authorizations and such Authorizations are valid and in full force and effect and neither the Company nor the Subsidiaries is in violation of any term of any such Authorizations except where such nonpossession, failure or noncompliance would not reasonably be expected to have a Material Adverse Effect; (iv) have not received written notice of any claim, action, suit, proceeding, hearing, enforcement, investigation, arbitration or other action from the FDA, the EMA, or any other federal, state, local or foreign governmental or regulatory authority or third party alleging that any Company product, operation or activity is in violation of any Applicable Laws or Authorizations except where such noncompliance would not reasonably be expected to have a Material Adverse Effect, and has no knowledge that the FDA, the EMA, or any other federal, state, local or foreign governmental or regulatory authority or third party is considering any such claim, litigation, arbitration, action, suit, investigation or proceeding against the Company; (v) have not received written notice that the FDA, EMA, or any other federal, state, local or foreign governmental or regulatory authority has taken, is taking or intends to take action to limit, suspend, modify or revoke any Authorizations that would reasonably be expected to have a Material Adverse Effect and has no knowledge that the FDA, EMA, or any other federal, state, local or foreign governmental or regulatory authority is considering such action; and (vi) have filed, obtained, maintained or submitted all reports, documents, forms, notices, applications, records, claims, submissions and supplements or amendments as required by any Applicable Laws or Authorizations, except whether the failure to file, obtain, maintain or submit such reports, documents, forms, notices, applications, records, claims, submissions and supplements or amendments would not result in a Material Adverse Effect, and that all such reports, documents, forms, notices, applications, records, claims, submissions and supplements or amendments were complete and correct on the date filed (or were corrected or supplemented by a subsequent submission) except such incompletions and incorrections as would not reasonably be expected to result in a Material Adverse Effect.</w:t>
      </w:r>
    </w:p>
    <w:p>
      <w:pPr>
        <w:spacing w:after="0" w:line="3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7" w:name="page68"/>
    <w:bookmarkEnd w:id="67"/>
    <w:p>
      <w:pPr>
        <w:ind w:firstLine="656"/>
        <w:spacing w:after="0" w:line="253" w:lineRule="auto"/>
        <w:tabs>
          <w:tab w:leader="none" w:pos="148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each of its Subsidiaries’ business practices have been structured in a manner reasonably designed to comply with the state, federal and foreign Health Care Laws applicable to the Company and its Subsidiaries respective businesses, and the Company and its Subsidiaries are in compliance with Health Care Laws, except where the failure to do so would not reasonably be expected to have a Material Adverse Effect. The Company and its Subsidiaries have not engaged in activities which to its knowledge are cause for false claims liability, civil penalties, or mandatory or permissive exclusion from Medicare, Medicaid, or any other state health care program or federal health care program. For purposes of this Agreement, “</w:t>
      </w:r>
      <w:r>
        <w:rPr>
          <w:rFonts w:ascii="Times New Roman" w:cs="Times New Roman" w:eastAsia="Times New Roman" w:hAnsi="Times New Roman"/>
          <w:sz w:val="18"/>
          <w:szCs w:val="18"/>
          <w:b w:val="1"/>
          <w:bCs w:val="1"/>
          <w:u w:val="single" w:color="auto"/>
          <w:color w:val="auto"/>
        </w:rPr>
        <w:t>Health Care Laws</w:t>
      </w:r>
      <w:r>
        <w:rPr>
          <w:rFonts w:ascii="Times New Roman" w:cs="Times New Roman" w:eastAsia="Times New Roman" w:hAnsi="Times New Roman"/>
          <w:sz w:val="18"/>
          <w:szCs w:val="18"/>
          <w:color w:val="auto"/>
        </w:rPr>
        <w:t>” means the: (i) the Federal Food, Drug, and Cosmetic Act (21 U.S.C. § 301 et seq.) and the regulations promulgated thereunder; (ii) all applicable federal, state, local and all applicable foreign health care related fraud and abuse laws, including, without limitation, the U.S. Anti-Kickback Statute (42 U.S.C. Section 1320a-7b(b)), the U.S. civil False Claims Act (31 U.S.C. Section 3729 et seq.), the federal criminal false claims law (42 U.S.C.</w:t>
      </w:r>
    </w:p>
    <w:p>
      <w:pPr>
        <w:ind w:firstLine="8"/>
        <w:spacing w:after="0" w:line="250" w:lineRule="auto"/>
        <w:tabs>
          <w:tab w:leader="none" w:pos="1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1320a-7b(a)), the federal civil monetary penalties law (42 U.S.C. § 1320a-7a), the Stark Law (42 U.S.C. §1395nn), 18 U.S.C. Sections 286 and 287, the health care fraud criminal provisions under the U.S. Health Insurance Portability and Accountability Act of 1996 (“</w:t>
      </w:r>
      <w:r>
        <w:rPr>
          <w:rFonts w:ascii="Times New Roman" w:cs="Times New Roman" w:eastAsia="Times New Roman" w:hAnsi="Times New Roman"/>
          <w:sz w:val="18"/>
          <w:szCs w:val="18"/>
          <w:b w:val="1"/>
          <w:bCs w:val="1"/>
          <w:u w:val="single" w:color="auto"/>
          <w:color w:val="auto"/>
        </w:rPr>
        <w:t>HIPAA</w:t>
      </w:r>
      <w:r>
        <w:rPr>
          <w:rFonts w:ascii="Times New Roman" w:cs="Times New Roman" w:eastAsia="Times New Roman" w:hAnsi="Times New Roman"/>
          <w:sz w:val="18"/>
          <w:szCs w:val="18"/>
          <w:color w:val="auto"/>
        </w:rPr>
        <w:t>”) (42 U.S.C. Section 1320d et seq.), the exclusion laws (42 U.S.C. §1320a-7), the statutes and regulations government healthcare programs, including the European Union General Data Protection Regulation (EU 2016 679), Medicare, Title XVIII of the Social Security Act, and Medicaid, Title XIX of the Social Security Act, and the regulations promulgated pursuant to such statutes; (iii) the U.S. federal Prescription Drug Marketing Act of 1987, as amended, and the regulations promulgated thereunder; (iv) the U.S. Controlled Substances Act; (v) the Clinical Laboratory Improvement Act; and (vi) the Standards for Privacy of Individually Identifiable Health Information (the “</w:t>
      </w:r>
      <w:r>
        <w:rPr>
          <w:rFonts w:ascii="Times New Roman" w:cs="Times New Roman" w:eastAsia="Times New Roman" w:hAnsi="Times New Roman"/>
          <w:sz w:val="18"/>
          <w:szCs w:val="18"/>
          <w:b w:val="1"/>
          <w:bCs w:val="1"/>
          <w:u w:val="single" w:color="auto"/>
          <w:color w:val="auto"/>
        </w:rPr>
        <w:t>Privacy Rule</w:t>
      </w:r>
      <w:r>
        <w:rPr>
          <w:rFonts w:ascii="Times New Roman" w:cs="Times New Roman" w:eastAsia="Times New Roman" w:hAnsi="Times New Roman"/>
          <w:sz w:val="18"/>
          <w:szCs w:val="18"/>
          <w:color w:val="auto"/>
        </w:rPr>
        <w:t>”), the Security Standards, and the Standards for Electronic Transactions and Code Sets promulgated under HIPAA, the Health Information Technology for Economic and Clinical Health Act (42 U.S.C. Section 17921 et seq.), and the regulations promulgated thereunder and any state or non-U.S. counterpart thereof or other law or regulation the purpose of which is to protect the privacy of individuals or prescribers. Neither the Company nor its Subsidiaries have received written notice of any claim, action, suit, proceeding, hearing, enforcement, investigation, arbitration or other material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its Subsidiaries are a party to any corporate integrity agreements, monitoring agreements, consent decrees, plans of correction, settlement orders, or similar agreements with or imposed by any governmental or regulatory authority. Additionally, neither the Company, its Subsidiaries nor any of their respective employees, officers or directors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8" w:name="page69"/>
    <w:bookmarkEnd w:id="68"/>
    <w:p>
      <w:pPr>
        <w:ind w:right="20" w:firstLine="656"/>
        <w:spacing w:after="0" w:line="253" w:lineRule="auto"/>
        <w:tabs>
          <w:tab w:leader="none" w:pos="148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animal and other preclinical studies and clinical trials currently being conducted by the Company or on behalf of the Company are, to the Company’s knowledge, being conducted in all material respects in compliance with all Applicable Laws and in accordance with experimental protocols, procedures and controls generally used by qualified experts in the preclinical study and clinical trials of new drugs and biologics as applied to comparable products to those being developed by the Company, and, except as set forth in the Registration Statement and the Prospectus, the Company has no knowledge of any other clinical trials or preclinical studies, the results of which reasonably call into question the clinical trial or preclinical study results described or referred to in the Registration Statement and the Prospectus when viewed in the context in which such results are described, except such results as would not reasonably be expected to result in a Material Adverse Effect; and the Company has not received any written notices or correspondence from the FDA, the EMA, or any other domestic or foreign governmental agency requiring the termination or suspension of any preclinical studies or clinical trials conducted by or on behalf of the Company that are described in the Registration Statement and the Prospectus or the results of which are referred to in the Registration Statement and the Prospectus.</w:t>
      </w:r>
    </w:p>
    <w:p>
      <w:pPr>
        <w:spacing w:after="0" w:line="194" w:lineRule="exact"/>
        <w:rPr>
          <w:rFonts w:ascii="Times New Roman" w:cs="Times New Roman" w:eastAsia="Times New Roman" w:hAnsi="Times New Roman"/>
          <w:sz w:val="18"/>
          <w:szCs w:val="18"/>
          <w:color w:val="auto"/>
        </w:rPr>
      </w:pPr>
    </w:p>
    <w:p>
      <w:pPr>
        <w:ind w:right="60" w:firstLine="656"/>
        <w:spacing w:after="0" w:line="261" w:lineRule="auto"/>
        <w:tabs>
          <w:tab w:leader="none" w:pos="143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administers a compliance program applicable to the Company, to assist the Company and the directors, officers and employees of the Company in complying with applicable regulatory guidelines (including, without limitation, those administered by the FDA, the EMA, and any other foreign, federal, state or local governmental or regulatory authority performing functions similar to those performed by the FDA or EMA).</w:t>
      </w:r>
    </w:p>
    <w:p>
      <w:pPr>
        <w:spacing w:after="0" w:line="179" w:lineRule="exact"/>
        <w:rPr>
          <w:rFonts w:ascii="Times New Roman" w:cs="Times New Roman" w:eastAsia="Times New Roman" w:hAnsi="Times New Roman"/>
          <w:sz w:val="18"/>
          <w:szCs w:val="18"/>
          <w:color w:val="auto"/>
        </w:rPr>
      </w:pPr>
    </w:p>
    <w:p>
      <w:pPr>
        <w:ind w:firstLine="656"/>
        <w:spacing w:after="0" w:line="253" w:lineRule="auto"/>
        <w:tabs>
          <w:tab w:leader="none" w:pos="148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Company’s knowledge, any director, officer, agent, employee, affiliate or other person acting on behalf of the Company or any of its Subsidiaries, has (i) made any unlawful contribution, gift, entertainment or other unlawful expense relating to political activity; (ii) made any direct or indirect unlawful payment to any domestic governmental official, “foreign official” (as defined in the U.S. Foreign Corrupt Practices Act of 1977, as amended, and the rules and regulations thereunder (collectively, the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or employee; (iii) violated or is in violation of any provision of the FCPA, UK Bribery Act, or any applicable non-U.S. anti-bribery statute or regulation or any locally applicable corruption laws; (iv) made any bribe, rebate, payoff, influence payment, kickback or other unlawful payment; or (v) received notice of any investigation, proceeding or inquiry by any governmental agency, authority or body regarding any of the matters in clauses (i)-(iv) above; and the Company and its Subsidiaries and, to the Company’s knowledge,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9" w:name="page70"/>
    <w:bookmarkEnd w:id="69"/>
    <w:p>
      <w:pPr>
        <w:ind w:right="80" w:firstLine="656"/>
        <w:spacing w:after="0" w:line="254" w:lineRule="auto"/>
        <w:tabs>
          <w:tab w:leader="none" w:pos="148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(Title III of Pub. L. 107-56 (signed into law October 26, 2001)) (the “</w:t>
      </w:r>
      <w:r>
        <w:rPr>
          <w:rFonts w:ascii="Times New Roman" w:cs="Times New Roman" w:eastAsia="Times New Roman" w:hAnsi="Times New Roman"/>
          <w:sz w:val="18"/>
          <w:szCs w:val="18"/>
          <w:b w:val="1"/>
          <w:bCs w:val="1"/>
          <w:u w:val="single" w:color="auto"/>
          <w:color w:val="auto"/>
        </w:rPr>
        <w:t>USA Patriot Act</w:t>
      </w:r>
      <w:r>
        <w:rPr>
          <w:rFonts w:ascii="Times New Roman" w:cs="Times New Roman" w:eastAsia="Times New Roman" w:hAnsi="Times New Roman"/>
          <w:sz w:val="18"/>
          <w:szCs w:val="18"/>
          <w:color w:val="auto"/>
        </w:rPr>
        <w:t>”), and those of the Currency and Foreign Transactions Reporting Act of 1970, as amended, and the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Company’s knowledge, threatened.</w:t>
      </w:r>
    </w:p>
    <w:p>
      <w:pPr>
        <w:spacing w:after="0" w:line="191" w:lineRule="exact"/>
        <w:rPr>
          <w:rFonts w:ascii="Times New Roman" w:cs="Times New Roman" w:eastAsia="Times New Roman" w:hAnsi="Times New Roman"/>
          <w:sz w:val="18"/>
          <w:szCs w:val="18"/>
          <w:color w:val="auto"/>
        </w:rPr>
      </w:pPr>
    </w:p>
    <w:p>
      <w:pPr>
        <w:ind w:right="40" w:firstLine="656"/>
        <w:spacing w:after="0" w:line="252" w:lineRule="auto"/>
        <w:tabs>
          <w:tab w:leader="none" w:pos="15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any officer or director of either the Company or its Subsidiaries nor, to the best knowledge of the Company, any agent, employee, affiliate or other person acting on behalf of the Company or any of its Subsidiaries is or, in the past five years, has been (A) engaged in any services (including financial services), transfers of goods, software, or technology, or any other business activity related to (i) Cuba, Iran, North Korea, Sudan, Syria, Russia, and the Donetsk, Luhansk and Crimea regions of Ukraine (“</w:t>
      </w:r>
      <w:r>
        <w:rPr>
          <w:rFonts w:ascii="Times New Roman" w:cs="Times New Roman" w:eastAsia="Times New Roman" w:hAnsi="Times New Roman"/>
          <w:sz w:val="18"/>
          <w:szCs w:val="18"/>
          <w:b w:val="1"/>
          <w:bCs w:val="1"/>
          <w:u w:val="single" w:color="auto"/>
          <w:color w:val="auto"/>
        </w:rPr>
        <w:t>Sanctioned Countries</w:t>
      </w:r>
      <w:r>
        <w:rPr>
          <w:rFonts w:ascii="Times New Roman" w:cs="Times New Roman" w:eastAsia="Times New Roman" w:hAnsi="Times New Roman"/>
          <w:sz w:val="18"/>
          <w:szCs w:val="18"/>
          <w:color w:val="auto"/>
        </w:rPr>
        <w:t>”), (ii) the government of any Sanctioned Country, (iii) any person, entity or organization located in, resident in, formed under the laws of, or owned or controlled by the government of, any Sanctioned Country, or (iv) any person, entity or organization made subject or target of any sanctions administered or enforced by the United States Government (including the US Department of Treasury, Office of Foreign Assets Control and the US Department of State), including, without limitation, the list of Specially Designated Nationals of the Office of Foreign Assets Control of the U.S. Treasury Department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or by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and the Company will not directly or indirectly use the proceeds of this offering, or lend, contribute or otherwise make available such proceeds to any of its subsidiaries, or any joint venture partner or other person or entity, for the purpose of financing the activities of or business with any person, or in any country or territory, that currently is the subject to any U.S. sanctions administered by OFAC or in any other manner that will result in a violation by any person (including any person participating in the transaction whether as underwriter, advisor, investor or otherwise) of U.S. sanctions administered by OFAC; (B) engaged in any transfers of goods, technologies or services (including financial services) that may assist the governments of Sanctioned Countries or facilitate money laundering or other activities proscribed by United States laws, rules or regulations; (C) is a person, entity or organization currently the subject of any Sanctions; or (D) located, organized or resident in any Sanctioned Country.</w:t>
      </w:r>
    </w:p>
    <w:p>
      <w:pPr>
        <w:spacing w:after="0" w:line="195" w:lineRule="exact"/>
        <w:rPr>
          <w:sz w:val="20"/>
          <w:szCs w:val="20"/>
          <w:color w:val="auto"/>
        </w:rPr>
      </w:pPr>
    </w:p>
    <w:p>
      <w:pPr>
        <w:jc w:val="both"/>
        <w:ind w:right="380" w:firstLine="656"/>
        <w:spacing w:after="0" w:line="266" w:lineRule="auto"/>
        <w:tabs>
          <w:tab w:leader="none" w:pos="145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and the Prospectus, the Company (i) does not have any material lending or other relationship with any bank or lending affiliate of any Agent and (ii) does not intend to use any of the proceeds from the sale of the Placement Shares to repay any outstanding debt owed to any affiliate of any Agent.</w:t>
      </w:r>
    </w:p>
    <w:p>
      <w:pPr>
        <w:spacing w:after="0" w:line="175" w:lineRule="exact"/>
        <w:rPr>
          <w:rFonts w:ascii="Times New Roman" w:cs="Times New Roman" w:eastAsia="Times New Roman" w:hAnsi="Times New Roman"/>
          <w:sz w:val="18"/>
          <w:szCs w:val="18"/>
          <w:color w:val="auto"/>
        </w:rPr>
      </w:pPr>
    </w:p>
    <w:p>
      <w:pPr>
        <w:ind w:firstLine="656"/>
        <w:spacing w:after="0" w:line="258" w:lineRule="auto"/>
        <w:tabs>
          <w:tab w:leader="none" w:pos="139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acknowledges and agrees that each Agent has informed the Company that such Agent may, to the extent permitted under the Securities Act and the Exchange Act, purchase and sell shares of Common Stock for its own account while this Agreement is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Agents, except as may be otherwise agreed by the Company and the Agents.</w:t>
      </w:r>
    </w:p>
    <w:p>
      <w:pPr>
        <w:spacing w:after="0" w:line="183"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agreement with an agent or underwriter for any other “at the market” or continuous equity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ind w:firstLine="656"/>
        <w:spacing w:after="0" w:line="254" w:lineRule="auto"/>
        <w:tabs>
          <w:tab w:leader="none" w:pos="139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register as a “broker” or “dealer” in accordance with the provisions of the Exchange Act and does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shareholders of the Company, on the other hand, which is required by the rules of FINRA to be described in the Registration Statement and the Prospectus, which is not so described. All of the information (including, but not limited to, information regarding affiliations, security ownership and trading activity) provided to an Agent or its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FINRA Rule 5110 in connection with the transactions contemplated by this Agreement is true, complete and correct.</w:t>
      </w:r>
    </w:p>
    <w:p>
      <w:pPr>
        <w:spacing w:after="0" w:line="191" w:lineRule="exact"/>
        <w:rPr>
          <w:rFonts w:ascii="Times New Roman" w:cs="Times New Roman" w:eastAsia="Times New Roman" w:hAnsi="Times New Roman"/>
          <w:sz w:val="18"/>
          <w:szCs w:val="18"/>
          <w:color w:val="auto"/>
        </w:rPr>
      </w:pPr>
    </w:p>
    <w:p>
      <w:pPr>
        <w:ind w:right="180" w:firstLine="656"/>
        <w:spacing w:after="0" w:line="266" w:lineRule="auto"/>
        <w:tabs>
          <w:tab w:leader="none" w:pos="145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75" w:lineRule="exact"/>
        <w:rPr>
          <w:rFonts w:ascii="Times New Roman" w:cs="Times New Roman" w:eastAsia="Times New Roman" w:hAnsi="Times New Roman"/>
          <w:sz w:val="18"/>
          <w:szCs w:val="18"/>
          <w:color w:val="auto"/>
        </w:rPr>
      </w:pPr>
    </w:p>
    <w:p>
      <w:pPr>
        <w:ind w:right="40" w:firstLine="656"/>
        <w:spacing w:after="0" w:line="266" w:lineRule="auto"/>
        <w:tabs>
          <w:tab w:leader="none" w:pos="148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(i) failed to pay any dividend or sinking fund installment on preferred stock or (ii) defaulted on any installment or payment due on indebtedness for borrowed money or on any rental on one or more long-term leases, which defaults, individually or in the aggregate, could reasonably be expected to result in a Material Adverse Effect.</w:t>
      </w:r>
    </w:p>
    <w:p>
      <w:pPr>
        <w:spacing w:after="0" w:line="175" w:lineRule="exact"/>
        <w:rPr>
          <w:rFonts w:ascii="Times New Roman" w:cs="Times New Roman" w:eastAsia="Times New Roman" w:hAnsi="Times New Roman"/>
          <w:sz w:val="18"/>
          <w:szCs w:val="18"/>
          <w:color w:val="auto"/>
        </w:rPr>
      </w:pPr>
    </w:p>
    <w:p>
      <w:pPr>
        <w:ind w:right="60" w:firstLine="656"/>
        <w:spacing w:after="0" w:line="258" w:lineRule="auto"/>
        <w:tabs>
          <w:tab w:leader="none" w:pos="139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outstanding loans, advances (except normal advances for business expenses in the ordinary course of business) or guarantees of indebtedness by the Company or any of its Subsidiaries to or for the benefit of any of the officers or directors of the Company or any of its Subsidiaries, or any of the family members of any of such persons, except as disclosed in the Registration Statement or Prospectus. All transactions by the Company with office holders or control persons of the Company have been duly approved by the board of directors of the Company, or duly appointed committees or officers thereof, if and to the extent required under U.S. law.</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Agents or their counsel in connection with the offering of the Placement Shares shall be deemed a representation and warranty by the Company, as to matters covered thereby, to the Agents.</w:t>
      </w:r>
    </w:p>
    <w:p>
      <w:pPr>
        <w:spacing w:after="0" w:line="162" w:lineRule="exact"/>
        <w:rPr>
          <w:sz w:val="20"/>
          <w:szCs w:val="20"/>
          <w:color w:val="auto"/>
        </w:rPr>
      </w:pPr>
    </w:p>
    <w:p>
      <w:pPr>
        <w:ind w:left="1100" w:hanging="444"/>
        <w:spacing w:after="0"/>
        <w:tabs>
          <w:tab w:leader="none" w:pos="11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each Agent that:</w:t>
      </w:r>
    </w:p>
    <w:p>
      <w:pPr>
        <w:spacing w:after="0" w:line="225" w:lineRule="exact"/>
        <w:rPr>
          <w:sz w:val="20"/>
          <w:szCs w:val="20"/>
          <w:color w:val="auto"/>
        </w:rPr>
      </w:pPr>
    </w:p>
    <w:p>
      <w:pPr>
        <w:ind w:firstLine="656"/>
        <w:spacing w:after="0" w:line="251" w:lineRule="auto"/>
        <w:tabs>
          <w:tab w:leader="none" w:pos="11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any Placement Shares is required to be delivered by a Designated Agent under the Securities Act (including in circumstances where such requirement may be satisfied pursuant to Rule 172 under the Securities Act or similar rule); (i) the Company will notify the Agents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 the Commission for any amendment or supplement to the Registration Statement or Prospectus or for additional information; (ii) the Company will prepare and file with the Commission, promptly upon an Agent’s request, any amendments or supplements to the Registration Statement or Prospectus that, in such Agent’s reasonable opinion, may be necessary or advisable in connection with the distribution of the Placement Shares by the Agents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of the Agents to make such request shall not relieve the Company of any obligation or liability hereunder, or affect the Agents’ right to rely on the representations and warranties made by the Company in this Agreement and provided, further, that the only remedy the Agents shall have with respect to the failure by the Company to make such filing (but without limiting the Agents’ rights under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Agents within a reasonable period of time before the filing and no Agent has reasonably objected thereto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of an Agent to make such objection shall not relieve the Company of any obligation or liability hereunder, or affect the Agents’ right to rely on the representations and warranties made by the Company in this Agreement and provided, further, that the only remedy the Agents shall have with respect to the Company’s making such filing notwithstanding the Agents’ objection (but without limiting the Agents’ rights under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will be to cease making sales under this Agreement) and the Company will furnish to the Agents at the time of filing thereof a copy of any Incorporated Document, except for those documents available via EDGAR; and (iv) 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w:t>
      </w: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71" w:name="page72"/>
    <w:bookmarkEnd w:id="71"/>
    <w:p>
      <w:pPr>
        <w:ind w:right="20" w:firstLine="656"/>
        <w:spacing w:after="0" w:line="255" w:lineRule="auto"/>
        <w:tabs>
          <w:tab w:leader="none" w:pos="117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Agents,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Agents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or the Prospectus or any Issuer Free Writing Prospectus.</w:t>
      </w:r>
    </w:p>
    <w:p>
      <w:pPr>
        <w:spacing w:after="0" w:line="188" w:lineRule="exact"/>
        <w:rPr>
          <w:rFonts w:ascii="Times New Roman" w:cs="Times New Roman" w:eastAsia="Times New Roman" w:hAnsi="Times New Roman"/>
          <w:sz w:val="18"/>
          <w:szCs w:val="18"/>
          <w:color w:val="auto"/>
        </w:rPr>
      </w:pPr>
    </w:p>
    <w:p>
      <w:pPr>
        <w:ind w:firstLine="656"/>
        <w:spacing w:after="0" w:line="253" w:lineRule="auto"/>
        <w:tabs>
          <w:tab w:leader="none" w:pos="116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During any period in which the Prospectus relating to the Placement Shares is required to be delivered by a Designated Agent under the Securities Act with respect to the offer and sale of the Placement Shares (including in circumstances where such requirement may be satisfied pursuant to Rule 172 under the Securities Act or similar rule), the Company will comply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best efforts to comply with the provisions thereof and make all requisite filings with the Commission pursuant to said Rule 430B and to notify the Designated Agent promptly of all such filings if not available on EDGAR.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Agents to suspend the offering of Placement Shares during such period and the Company will promptly amend or supplement the Registration Statement or Prospectus (at the expense of the Company) so as to correct such statement or omission or effect such compliance.</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2" w:name="page73"/>
    <w:bookmarkEnd w:id="72"/>
    <w:p>
      <w:pPr>
        <w:ind w:right="180" w:firstLine="656"/>
        <w:spacing w:after="0" w:line="258" w:lineRule="auto"/>
        <w:tabs>
          <w:tab w:leader="none" w:pos="117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During any period in which the Prospectus relating to the Placement Shares is required to be delivered by a Designated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Placement Shares to be listed on the Exchange. The Company will timely file with the Exchange all material documents and notices required by the Exchange of companies that have or will issue securities that are traded on the Exchange.</w:t>
      </w:r>
    </w:p>
    <w:p>
      <w:pPr>
        <w:spacing w:after="0" w:line="183" w:lineRule="exact"/>
        <w:rPr>
          <w:rFonts w:ascii="Times New Roman" w:cs="Times New Roman" w:eastAsia="Times New Roman" w:hAnsi="Times New Roman"/>
          <w:sz w:val="18"/>
          <w:szCs w:val="18"/>
          <w:color w:val="auto"/>
        </w:rPr>
      </w:pPr>
    </w:p>
    <w:p>
      <w:pPr>
        <w:ind w:right="100" w:firstLine="656"/>
        <w:spacing w:after="0" w:line="255" w:lineRule="auto"/>
        <w:tabs>
          <w:tab w:leader="none" w:pos="116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Agents and their counsel (at the expense of the Company) copies of the Registration Statement, the Prospectus (including all Incorporated Documents) and all amendments and supplements to the Registration Statement or Prospectus that are filed with the Commission during any period in which a Prospectus relating to the Placement Shares is required to be delivered under the Securities Act (including all Incorporated Documents filed with the Commission during such period), in each case as soon as reasonably practicable and in such quantities as the Agents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Agents to the extent such document is available on EDGAR.</w:t>
      </w:r>
    </w:p>
    <w:p>
      <w:pPr>
        <w:spacing w:after="0" w:line="188" w:lineRule="exact"/>
        <w:rPr>
          <w:rFonts w:ascii="Times New Roman" w:cs="Times New Roman" w:eastAsia="Times New Roman" w:hAnsi="Times New Roman"/>
          <w:sz w:val="18"/>
          <w:szCs w:val="18"/>
          <w:color w:val="auto"/>
        </w:rPr>
      </w:pPr>
    </w:p>
    <w:p>
      <w:pPr>
        <w:ind w:right="60" w:firstLine="656"/>
        <w:spacing w:after="0" w:line="261" w:lineRule="auto"/>
        <w:tabs>
          <w:tab w:leader="none" w:pos="114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will make generally available to its security holders and to the Agents as soon as practicable, but in any event not later than 15 months after the end of the Company’s current fiscal quarter, an earnings statement covering a 12-month period that satisfies the provisions of Section 11(a) and Rule 158 of the Securities Act; provided that the Company will be deemed to have furnished such statement to its security holders and the Agents to the extent such statement has been filed on EDGAR.</w:t>
      </w:r>
    </w:p>
    <w:p>
      <w:pPr>
        <w:spacing w:after="0" w:line="179"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225" w:lineRule="exact"/>
        <w:rPr>
          <w:rFonts w:ascii="Times New Roman" w:cs="Times New Roman" w:eastAsia="Times New Roman" w:hAnsi="Times New Roman"/>
          <w:sz w:val="18"/>
          <w:szCs w:val="18"/>
          <w:color w:val="auto"/>
        </w:rPr>
      </w:pPr>
    </w:p>
    <w:p>
      <w:pPr>
        <w:ind w:right="80" w:firstLine="656"/>
        <w:spacing w:after="0" w:line="272" w:lineRule="auto"/>
        <w:tabs>
          <w:tab w:leader="none" w:pos="1173"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Other Sales</w:t>
      </w:r>
      <w:r>
        <w:rPr>
          <w:rFonts w:ascii="Times New Roman" w:cs="Times New Roman" w:eastAsia="Times New Roman" w:hAnsi="Times New Roman"/>
          <w:sz w:val="17"/>
          <w:szCs w:val="17"/>
          <w:color w:val="auto"/>
        </w:rPr>
        <w:t>. Without the prior written consent of all Agents, the Company will not, directly or indirectly,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of Common Stock during the period beginning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immediately prior to the date on which any Placement Notice is delivered to a Designated Agent hereunder and ending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 or continuous equity transaction offer to sell, sell, contract to sell, grant any option to sell or otherwise dispose of any shares of Common Stock (other than the Placement Shares offered pursuant to this Agreement) or securities convertible into or exchangeable or exercisable for shares of Common Stock, warrants</w:t>
      </w:r>
    </w:p>
    <w:p>
      <w:pPr>
        <w:spacing w:after="0"/>
        <w:rPr>
          <w:sz w:val="20"/>
          <w:szCs w:val="20"/>
          <w:color w:val="auto"/>
        </w:rPr>
      </w:pPr>
      <w:r>
        <w:rPr>
          <w:rFonts w:ascii="Times New Roman" w:cs="Times New Roman" w:eastAsia="Times New Roman" w:hAnsi="Times New Roman"/>
          <w:sz w:val="18"/>
          <w:szCs w:val="18"/>
          <w:color w:val="auto"/>
        </w:rPr>
        <w:t>or any rights to purchase or acquire, shares of Common Stock prior to the later of the termination of this Agreement and the sixtieth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immediately following the final Settlement Date with respect to Placement Shares sold pursuant to such Placement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restrictions will not be required in connection with the Company’s issuance or sale of (i) shares of Common Stock, options to purchase shares of Common Stock, other securities under the Company’s existing equity incentive plans, or shares of Common Stock issuable upon the exercise of options or vesting of other securities, pursuant to any employee or director stock option or benefits plan, stock ownership plan or dividend reinvestment plan (but not shares of Common Stock subject to a waiver to exceed plan limits in its dividend reinvestment plan) of the Company whether now in effect or hereafter implemented, (ii) shares of Common Stock issuable upon conversion of securities or the exercise of warrants, options or other rights in effect or outstanding, and disclosed in filings by the Company available on EDGAR or otherwise in writing to the Agents and (iii) shares of Common Stock or securities convertible into or exchangeable for shares of Common Stock as consideration for mergers, acquisitions, other business combinations or strategic alliances occurring after the date of this Agreement which are not issued for capital raising purposes.</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73" w:name="page74"/>
    <w:bookmarkEnd w:id="73"/>
    <w:p>
      <w:pPr>
        <w:ind w:right="100" w:firstLine="656"/>
        <w:spacing w:after="0" w:line="261" w:lineRule="auto"/>
        <w:tabs>
          <w:tab w:leader="none" w:pos="113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a fiscal quarter in which the Company intends to tender a Placement Notice, advise the Designated Agent promptly after it shall have received notice or obtained knowledge thereof, of any information or fact that would alter or affect in any material respect any opinion, certificate, letter or other document provided or required to be provided to the Agents pursuant to this Agreement.</w:t>
      </w:r>
    </w:p>
    <w:p>
      <w:pPr>
        <w:spacing w:after="0" w:line="179" w:lineRule="exact"/>
        <w:rPr>
          <w:rFonts w:ascii="Times New Roman" w:cs="Times New Roman" w:eastAsia="Times New Roman" w:hAnsi="Times New Roman"/>
          <w:sz w:val="18"/>
          <w:szCs w:val="18"/>
          <w:color w:val="auto"/>
        </w:rPr>
      </w:pPr>
    </w:p>
    <w:p>
      <w:pPr>
        <w:ind w:right="300" w:firstLine="656"/>
        <w:spacing w:after="0" w:line="261" w:lineRule="auto"/>
        <w:tabs>
          <w:tab w:leader="none" w:pos="113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During the term of this Agreement, the Company will cooperate with any reasonable due diligence review conducted by the Agents, its affiliates agents and counsel from time to time in connection with the transactions contemplated hereby, including, without limitation, providing information and making available documents and senior corporate officers, during regular business hours and at the Company’s principal offices, as the Agents may reasonably request.</w:t>
      </w:r>
    </w:p>
    <w:p>
      <w:pPr>
        <w:spacing w:after="0" w:line="179" w:lineRule="exact"/>
        <w:rPr>
          <w:rFonts w:ascii="Times New Roman" w:cs="Times New Roman" w:eastAsia="Times New Roman" w:hAnsi="Times New Roman"/>
          <w:sz w:val="18"/>
          <w:szCs w:val="18"/>
          <w:color w:val="auto"/>
        </w:rPr>
      </w:pPr>
    </w:p>
    <w:p>
      <w:pPr>
        <w:ind w:firstLine="656"/>
        <w:spacing w:after="0" w:line="253" w:lineRule="auto"/>
        <w:tabs>
          <w:tab w:leader="none" w:pos="117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xml:space="preserve">. The Company shall disclose, in its quarterly reports on Form 10-Q and in its annual report on Form 10-K to be filed by the Company with the Commission from time to time, the number of the Placement Shares sold through the Agents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 Placement Shares sold through the Agents, the Net Proceeds to the Company and the compensation payable by the Company to the Agents with respect to such Placement Shares, and (ii) deliver such number of copies of each such prospectus supplement to each exchange or market on which such sales were effected as may be required by the rules or regulations of such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a prospectus supplement containing such information is required to be filed under the Securities Act, the requirement of this </w:t>
      </w:r>
      <w:r>
        <w:rPr>
          <w:rFonts w:ascii="Times New Roman" w:cs="Times New Roman" w:eastAsia="Times New Roman" w:hAnsi="Times New Roman"/>
          <w:sz w:val="18"/>
          <w:szCs w:val="18"/>
          <w:u w:val="single" w:color="auto"/>
          <w:color w:val="auto"/>
        </w:rPr>
        <w:t>Section 7(k)</w:t>
      </w:r>
      <w:r>
        <w:rPr>
          <w:rFonts w:ascii="Times New Roman" w:cs="Times New Roman" w:eastAsia="Times New Roman" w:hAnsi="Times New Roman"/>
          <w:sz w:val="18"/>
          <w:szCs w:val="18"/>
          <w:color w:val="auto"/>
        </w:rPr>
        <w:t xml:space="preserve"> may be satisfied by Company’s inclusion in the Company’s Form 10-K or Form 10-Q, as applicable, of the number or amount of Placement Shares sold through the Agents, the Net Proceeds to the Company and the compensation payable by the Company to the Agents with respect to such Placement Shares during the relevant period.</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right="760" w:firstLine="656"/>
        <w:spacing w:after="0" w:line="282" w:lineRule="auto"/>
        <w:tabs>
          <w:tab w:leader="none" w:pos="113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On or prior to the date on which the Company first delivers a Placement Notice pursuant to this agreement (the “</w:t>
      </w:r>
      <w:r>
        <w:rPr>
          <w:rFonts w:ascii="Times New Roman" w:cs="Times New Roman" w:eastAsia="Times New Roman" w:hAnsi="Times New Roman"/>
          <w:sz w:val="18"/>
          <w:szCs w:val="18"/>
          <w:b w:val="1"/>
          <w:bCs w:val="1"/>
          <w:u w:val="single" w:color="auto"/>
          <w:color w:val="auto"/>
        </w:rPr>
        <w:t>First Placement Notice Date</w:t>
      </w:r>
      <w:r>
        <w:rPr>
          <w:rFonts w:ascii="Times New Roman" w:cs="Times New Roman" w:eastAsia="Times New Roman" w:hAnsi="Times New Roman"/>
          <w:sz w:val="18"/>
          <w:szCs w:val="18"/>
          <w:color w:val="auto"/>
        </w:rPr>
        <w:t>”) and each time the Company:</w:t>
      </w:r>
    </w:p>
    <w:p>
      <w:pPr>
        <w:spacing w:after="0" w:line="161" w:lineRule="exact"/>
        <w:rPr>
          <w:rFonts w:ascii="Times New Roman" w:cs="Times New Roman" w:eastAsia="Times New Roman" w:hAnsi="Times New Roman"/>
          <w:sz w:val="18"/>
          <w:szCs w:val="18"/>
          <w:color w:val="auto"/>
        </w:rPr>
      </w:pPr>
    </w:p>
    <w:p>
      <w:pPr>
        <w:ind w:right="220" w:firstLine="1304"/>
        <w:spacing w:after="0" w:line="266" w:lineRule="auto"/>
        <w:tabs>
          <w:tab w:leader="none" w:pos="178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amends or supplements the Registration Statement or the Prospectus relating to the Placement Shares (other than a prospectus supplement filed in accordance with </w:t>
      </w:r>
      <w:r>
        <w:rPr>
          <w:rFonts w:ascii="Times New Roman" w:cs="Times New Roman" w:eastAsia="Times New Roman" w:hAnsi="Times New Roman"/>
          <w:sz w:val="18"/>
          <w:szCs w:val="18"/>
          <w:u w:val="single" w:color="auto"/>
          <w:color w:val="auto"/>
        </w:rPr>
        <w:t>Section 7(k)</w:t>
      </w:r>
      <w:r>
        <w:rPr>
          <w:rFonts w:ascii="Times New Roman" w:cs="Times New Roman" w:eastAsia="Times New Roman" w:hAnsi="Times New Roman"/>
          <w:sz w:val="18"/>
          <w:szCs w:val="18"/>
          <w:color w:val="auto"/>
        </w:rPr>
        <w:t xml:space="preserve"> of this Agreement) by means of a post-effective amendment, sticker or supplement but not by means of incorporation of document(s) by reference into the Registration Statement or the Prospectus relating to the Placement Shares;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4" w:name="page75"/>
    <w:bookmarkEnd w:id="74"/>
    <w:p>
      <w:pPr>
        <w:ind w:right="720" w:firstLine="1304"/>
        <w:spacing w:after="0" w:line="282" w:lineRule="auto"/>
        <w:tabs>
          <w:tab w:leader="none" w:pos="183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 (including any Form 10-K/A containing amended financial information or a material amendment to the previously filed Form 10-K);</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quarterly report on Form 10-Q under the Exchange Act; or</w:t>
      </w:r>
    </w:p>
    <w:p>
      <w:pPr>
        <w:spacing w:after="0" w:line="225" w:lineRule="exact"/>
        <w:rPr>
          <w:rFonts w:ascii="Times New Roman" w:cs="Times New Roman" w:eastAsia="Times New Roman" w:hAnsi="Times New Roman"/>
          <w:sz w:val="18"/>
          <w:szCs w:val="18"/>
          <w:color w:val="auto"/>
        </w:rPr>
      </w:pPr>
    </w:p>
    <w:p>
      <w:pPr>
        <w:ind w:firstLine="1304"/>
        <w:spacing w:after="0" w:line="253" w:lineRule="auto"/>
        <w:tabs>
          <w:tab w:leader="none" w:pos="187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current report on Form 8-K containing amended financial information (which shall not include any earnings release that is “furnished” pursuant to Item 2.02 or Item 7.01 of Form 8-K) under the Exchange Act (each date of filing of one or more of the documents referred to in clauses (i) through (iv) shall be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 xml:space="preserve">”), the Company shall furnish the Agents (but in the case of clause (iv) above only if (1) a Placement Notice is pending or in effect and (2) the Agents request such certificate within three Business Days after filing of such Form 8-K) with a certificate dated the Representation Date, in substantially the form attached hereto as </w:t>
      </w:r>
      <w:r>
        <w:rPr>
          <w:rFonts w:ascii="Times New Roman" w:cs="Times New Roman" w:eastAsia="Times New Roman" w:hAnsi="Times New Roman"/>
          <w:sz w:val="18"/>
          <w:szCs w:val="18"/>
          <w:b w:val="1"/>
          <w:bCs w:val="1"/>
          <w:u w:val="single" w:color="auto"/>
          <w:color w:val="auto"/>
        </w:rPr>
        <w:t>Exhibit 7(l)</w:t>
      </w:r>
      <w:r>
        <w:rPr>
          <w:rFonts w:ascii="Times New Roman" w:cs="Times New Roman" w:eastAsia="Times New Roman" w:hAnsi="Times New Roman"/>
          <w:sz w:val="18"/>
          <w:szCs w:val="18"/>
          <w:color w:val="auto"/>
        </w:rPr>
        <w:t xml:space="preserve">, modified, as necessary, to relate to the Registration Statement and the Prospectus as amended or supplemented. The requirement to provide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shall be waived for any Representation Date occurring at a time a Suspension is in effect, which waiver shall continue until the earlier to occur of the date the Company delivers instructions for the sale of Placement Shares hereunder (which for such calendar quarter shall be considered a Representation Date) and the next occurring Representation Date. Notwithstanding the foregoing, if the Company subsequently decides to sell Placement Shares following a Representation Date when a Suspension was in effect and did not provide the Agents with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then before the Company delivers the instructions for the sale of Placement Shares or the Agents sell any Placement Shares pursuant to such instructions, the Company shall provide the Agents with a certificate in conformity with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dated as of the date that the instructions for the sale of Placement Shares are issued.</w:t>
      </w:r>
    </w:p>
    <w:p>
      <w:pPr>
        <w:spacing w:after="0" w:line="189" w:lineRule="exact"/>
        <w:rPr>
          <w:rFonts w:ascii="Times New Roman" w:cs="Times New Roman" w:eastAsia="Times New Roman" w:hAnsi="Times New Roman"/>
          <w:sz w:val="18"/>
          <w:szCs w:val="18"/>
          <w:color w:val="auto"/>
        </w:rPr>
      </w:pPr>
    </w:p>
    <w:p>
      <w:pPr>
        <w:ind w:right="20" w:firstLine="656"/>
        <w:spacing w:after="0" w:line="254" w:lineRule="auto"/>
        <w:tabs>
          <w:tab w:leader="none" w:pos="122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xml:space="preserve">. On or prior to the First Placement Notice Date, and on any date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the Company shall cause to be furnished to the Agents the written opinion and negative assurance letter of Dentons US LLP, counsel to the Company, or such other counsel satisfactory to the Agents (“</w:t>
      </w:r>
      <w:r>
        <w:rPr>
          <w:rFonts w:ascii="Times New Roman" w:cs="Times New Roman" w:eastAsia="Times New Roman" w:hAnsi="Times New Roman"/>
          <w:sz w:val="18"/>
          <w:szCs w:val="18"/>
          <w:b w:val="1"/>
          <w:bCs w:val="1"/>
          <w:u w:val="single" w:color="auto"/>
          <w:color w:val="auto"/>
        </w:rPr>
        <w:t>Company Counsel</w:t>
      </w:r>
      <w:r>
        <w:rPr>
          <w:rFonts w:ascii="Times New Roman" w:cs="Times New Roman" w:eastAsia="Times New Roman" w:hAnsi="Times New Roman"/>
          <w:sz w:val="18"/>
          <w:szCs w:val="18"/>
          <w:color w:val="auto"/>
        </w:rPr>
        <w:t xml:space="preserve">”), in form and substance satisfactory to the Agents and their counsel, dated the date that the opinion and negative assurance letter are required to be delivered,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lieu of such opinion and negative assurance letter for subsequent Representation Dates, Company Counsel may furnish the Agents with a letter to the effect that the Agents may rely on a prior opinion or negative assurance letter delivered by such counsel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to the same extent as if it were dated the date of such letter (except that statements in such prior opinion or negative assurance letter shall be deemed to relate to the Registration Statement and the Prospectus as amended or supplemented at such Representation Date).</w:t>
      </w:r>
    </w:p>
    <w:p>
      <w:pPr>
        <w:spacing w:after="0" w:line="188" w:lineRule="exact"/>
        <w:rPr>
          <w:rFonts w:ascii="Times New Roman" w:cs="Times New Roman" w:eastAsia="Times New Roman" w:hAnsi="Times New Roman"/>
          <w:sz w:val="18"/>
          <w:szCs w:val="18"/>
          <w:color w:val="auto"/>
        </w:rPr>
      </w:pPr>
    </w:p>
    <w:p>
      <w:pPr>
        <w:ind w:right="100" w:firstLine="656"/>
        <w:spacing w:after="0" w:line="254" w:lineRule="auto"/>
        <w:tabs>
          <w:tab w:leader="none" w:pos="117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Opinion</w:t>
      </w:r>
      <w:r>
        <w:rPr>
          <w:rFonts w:ascii="Times New Roman" w:cs="Times New Roman" w:eastAsia="Times New Roman" w:hAnsi="Times New Roman"/>
          <w:sz w:val="18"/>
          <w:szCs w:val="18"/>
          <w:color w:val="auto"/>
        </w:rPr>
        <w:t xml:space="preserve">. On or prior to the First Placement Notice Date and on any date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the Company shall cause to be furnished to the Agents the written opinion of Mintz, Levin, Cohn, Ferris, Glovsky and Popeo, P.C., counsel for the Company with respect to intellectual property matters, or such other intellectual property counsel satisfactory to the Agents (“</w:t>
      </w:r>
      <w:r>
        <w:rPr>
          <w:rFonts w:ascii="Times New Roman" w:cs="Times New Roman" w:eastAsia="Times New Roman" w:hAnsi="Times New Roman"/>
          <w:sz w:val="18"/>
          <w:szCs w:val="18"/>
          <w:b w:val="1"/>
          <w:bCs w:val="1"/>
          <w:u w:val="single" w:color="auto"/>
          <w:color w:val="auto"/>
        </w:rPr>
        <w:t>Intellectual Property Counsel</w:t>
      </w:r>
      <w:r>
        <w:rPr>
          <w:rFonts w:ascii="Times New Roman" w:cs="Times New Roman" w:eastAsia="Times New Roman" w:hAnsi="Times New Roman"/>
          <w:sz w:val="18"/>
          <w:szCs w:val="18"/>
          <w:color w:val="auto"/>
        </w:rPr>
        <w:t>”), in form and substance satisfactory to the Agents and its counsel, dated the date that the opinion letter is required to be delivered, modified, as necessary, to relate to the Registration Statement and the Prospectus as then amended or supplemented; provided, further, that any such opinion of Intellectual Property Counsel shall only be required to be delivered on or prior to the First Placement Notice Date and subsequently no more than once a year with the first delivery of opinions by the Company pursuant to this Agreement following the filing of the Company’s annual report on Form 10-K each year.</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75" w:name="page76"/>
    <w:bookmarkEnd w:id="75"/>
    <w:p>
      <w:pPr>
        <w:ind w:right="20" w:firstLine="656"/>
        <w:spacing w:after="0" w:line="269" w:lineRule="auto"/>
        <w:tabs>
          <w:tab w:leader="none" w:pos="1173"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Comfort Letter</w:t>
      </w:r>
      <w:r>
        <w:rPr>
          <w:rFonts w:ascii="Times New Roman" w:cs="Times New Roman" w:eastAsia="Times New Roman" w:hAnsi="Times New Roman"/>
          <w:sz w:val="17"/>
          <w:szCs w:val="17"/>
          <w:color w:val="auto"/>
        </w:rPr>
        <w:t xml:space="preserve">. On or prior to the First Placement Notice Date and on any date which the Company is obligated to deliver a certificate pursuant to </w:t>
      </w:r>
      <w:r>
        <w:rPr>
          <w:rFonts w:ascii="Times New Roman" w:cs="Times New Roman" w:eastAsia="Times New Roman" w:hAnsi="Times New Roman"/>
          <w:sz w:val="17"/>
          <w:szCs w:val="17"/>
          <w:u w:val="single" w:color="auto"/>
          <w:color w:val="auto"/>
        </w:rPr>
        <w:t>Section 7(l)</w:t>
      </w:r>
      <w:r>
        <w:rPr>
          <w:rFonts w:ascii="Times New Roman" w:cs="Times New Roman" w:eastAsia="Times New Roman" w:hAnsi="Times New Roman"/>
          <w:sz w:val="17"/>
          <w:szCs w:val="17"/>
          <w:color w:val="auto"/>
        </w:rPr>
        <w:t xml:space="preserve"> for which no waiver is applicable, the Company shall cause its independent registered public accounting firm (and any other independent accountants whose report is included in the Registration Statement or the Prospectus) to furnish the Agents letters (the “</w:t>
      </w:r>
      <w:r>
        <w:rPr>
          <w:rFonts w:ascii="Times New Roman" w:cs="Times New Roman" w:eastAsia="Times New Roman" w:hAnsi="Times New Roman"/>
          <w:sz w:val="17"/>
          <w:szCs w:val="17"/>
          <w:b w:val="1"/>
          <w:bCs w:val="1"/>
          <w:u w:val="single" w:color="auto"/>
          <w:color w:val="auto"/>
        </w:rPr>
        <w:t>Comfort Letters</w:t>
      </w:r>
      <w:r>
        <w:rPr>
          <w:rFonts w:ascii="Times New Roman" w:cs="Times New Roman" w:eastAsia="Times New Roman" w:hAnsi="Times New Roman"/>
          <w:sz w:val="17"/>
          <w:szCs w:val="17"/>
          <w:color w:val="auto"/>
        </w:rPr>
        <w:t xml:space="preserve">”), dated the date the Comfort Letter is delivered, which shall meet the requirements set forth in this </w:t>
      </w:r>
      <w:r>
        <w:rPr>
          <w:rFonts w:ascii="Times New Roman" w:cs="Times New Roman" w:eastAsia="Times New Roman" w:hAnsi="Times New Roman"/>
          <w:sz w:val="17"/>
          <w:szCs w:val="17"/>
          <w:u w:val="single" w:color="auto"/>
          <w:color w:val="auto"/>
        </w:rPr>
        <w:t>Section 7(o)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if requested by the Agents, the Company shall cause a Comfort Letter to be furnished to the Agents within ten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satisfactory to the Agents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or agents in connection with registered public offerings (the first such letter, the “</w:t>
      </w:r>
      <w:r>
        <w:rPr>
          <w:rFonts w:ascii="Times New Roman" w:cs="Times New Roman" w:eastAsia="Times New Roman" w:hAnsi="Times New Roman"/>
          <w:sz w:val="17"/>
          <w:szCs w:val="17"/>
          <w:b w:val="1"/>
          <w:bCs w:val="1"/>
          <w:u w:val="single" w:color="auto"/>
          <w:color w:val="auto"/>
        </w:rPr>
        <w:t>Initial Comfort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Letter</w:t>
      </w:r>
      <w:r>
        <w:rPr>
          <w:rFonts w:ascii="Times New Roman" w:cs="Times New Roman" w:eastAsia="Times New Roman" w:hAnsi="Times New Roman"/>
          <w:sz w:val="17"/>
          <w:szCs w:val="17"/>
          <w:color w:val="auto"/>
        </w:rPr>
        <w:t>”) and (iii) update the Initial Comfort Letter with any information that would have been included in the Initial Comfort Letter had it been given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date and modified as necessary to relate to the Registration Statement and the Prospectus, as amended and supplemented to the date of such letter.</w:t>
      </w:r>
    </w:p>
    <w:p>
      <w:pPr>
        <w:spacing w:after="0" w:line="178" w:lineRule="exact"/>
        <w:rPr>
          <w:rFonts w:ascii="Times New Roman" w:cs="Times New Roman" w:eastAsia="Times New Roman" w:hAnsi="Times New Roman"/>
          <w:sz w:val="17"/>
          <w:szCs w:val="17"/>
          <w:color w:val="auto"/>
        </w:rPr>
      </w:pPr>
    </w:p>
    <w:p>
      <w:pPr>
        <w:ind w:firstLine="656"/>
        <w:spacing w:after="0" w:line="258" w:lineRule="auto"/>
        <w:tabs>
          <w:tab w:leader="none" w:pos="117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 Compliance with Reg M</w:t>
      </w:r>
      <w:r>
        <w:rPr>
          <w:rFonts w:ascii="Times New Roman" w:cs="Times New Roman" w:eastAsia="Times New Roman" w:hAnsi="Times New Roman"/>
          <w:sz w:val="18"/>
          <w:szCs w:val="18"/>
          <w:color w:val="auto"/>
        </w:rPr>
        <w:t xml:space="preserve">. The Company will not, directly or indirectly, and will cause its officers, directors and Subsidiaries not to (i) take any action designed to cause or result in, or that constitutes or would reasonably be expected to constitute, the stabilization or manipulation of the price of any security of the Company to facilitate the sale or resale of shares of Common Stock or (ii) sell, bid for, or purchase shares of Common Stock in violation of Regulation M, or pay anyone any compensation for soliciting purchases of the Placement Shares other than the Agents;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Company may bid for and purchase shares of Common Stock in accordance with Rule 10b-18 under the Exchange Act.</w:t>
      </w:r>
    </w:p>
    <w:p>
      <w:pPr>
        <w:spacing w:after="0" w:line="183" w:lineRule="exact"/>
        <w:rPr>
          <w:rFonts w:ascii="Times New Roman" w:cs="Times New Roman" w:eastAsia="Times New Roman" w:hAnsi="Times New Roman"/>
          <w:sz w:val="18"/>
          <w:szCs w:val="18"/>
          <w:color w:val="auto"/>
        </w:rPr>
      </w:pPr>
    </w:p>
    <w:p>
      <w:pPr>
        <w:ind w:right="240" w:firstLine="656"/>
        <w:spacing w:after="0" w:line="266" w:lineRule="auto"/>
        <w:tabs>
          <w:tab w:leader="none" w:pos="117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spacing w:after="0" w:line="175" w:lineRule="exact"/>
        <w:rPr>
          <w:rFonts w:ascii="Times New Roman" w:cs="Times New Roman" w:eastAsia="Times New Roman" w:hAnsi="Times New Roman"/>
          <w:sz w:val="18"/>
          <w:szCs w:val="18"/>
          <w:color w:val="auto"/>
        </w:rPr>
      </w:pPr>
    </w:p>
    <w:p>
      <w:pPr>
        <w:ind w:right="20" w:firstLine="656"/>
        <w:spacing w:after="0" w:line="266" w:lineRule="auto"/>
        <w:tabs>
          <w:tab w:leader="none" w:pos="114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and Exchange Act</w:t>
      </w:r>
      <w:r>
        <w:rPr>
          <w:rFonts w:ascii="Times New Roman" w:cs="Times New Roman" w:eastAsia="Times New Roman" w:hAnsi="Times New Roman"/>
          <w:sz w:val="18"/>
          <w:szCs w:val="18"/>
          <w:color w:val="auto"/>
        </w:rPr>
        <w:t>. The Company will use its commercially reasonable efforts to comply with all requirements imposed upon it by the Securities Act and the Exchange Act as from time to time in force, so far as necessary to permit the sales of, or dealings in, the Placement Shares as contemplated by the provisions hereof and the Prospectus.</w:t>
      </w:r>
    </w:p>
    <w:p>
      <w:pPr>
        <w:spacing w:after="0" w:line="175" w:lineRule="exact"/>
        <w:rPr>
          <w:rFonts w:ascii="Times New Roman" w:cs="Times New Roman" w:eastAsia="Times New Roman" w:hAnsi="Times New Roman"/>
          <w:sz w:val="18"/>
          <w:szCs w:val="18"/>
          <w:color w:val="auto"/>
        </w:rPr>
      </w:pPr>
    </w:p>
    <w:p>
      <w:pPr>
        <w:ind w:firstLine="656"/>
        <w:spacing w:after="0" w:line="261" w:lineRule="auto"/>
        <w:tabs>
          <w:tab w:leader="none" w:pos="115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an Issuer Free Writing Prospectus approved in advance by the Company and the Agents, neither the Agents nor the Company (including its agents and representatives, other than the Agents in their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79" w:lineRule="exact"/>
        <w:rPr>
          <w:rFonts w:ascii="Times New Roman" w:cs="Times New Roman" w:eastAsia="Times New Roman" w:hAnsi="Times New Roman"/>
          <w:sz w:val="18"/>
          <w:szCs w:val="18"/>
          <w:color w:val="auto"/>
        </w:rPr>
      </w:pPr>
    </w:p>
    <w:p>
      <w:pPr>
        <w:ind w:right="20" w:firstLine="656"/>
        <w:spacing w:after="0" w:line="254" w:lineRule="auto"/>
        <w:tabs>
          <w:tab w:leader="none" w:pos="113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and Other Qualifications</w:t>
      </w:r>
      <w:r>
        <w:rPr>
          <w:rFonts w:ascii="Times New Roman" w:cs="Times New Roman" w:eastAsia="Times New Roman" w:hAnsi="Times New Roman"/>
          <w:sz w:val="18"/>
          <w:szCs w:val="18"/>
          <w:color w:val="auto"/>
        </w:rPr>
        <w:t xml:space="preserve">. The Company will use its commercially reasonable efforts, in cooperation with the Agents, to the extent required, to qualify the Placement Shares for offering and sale, or to obtain an exemption for the Placement Shares to be offered and sold, under the applicable securities laws of such states and other jurisdictions (domestic or foreign) as the Agents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6" w:name="page77"/>
    <w:bookmarkEnd w:id="76"/>
    <w:p>
      <w:pPr>
        <w:ind w:firstLine="656"/>
        <w:spacing w:after="0" w:line="252" w:lineRule="auto"/>
        <w:tabs>
          <w:tab w:leader="none" w:pos="117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w:t>
      </w:r>
    </w:p>
    <w:p>
      <w:pPr>
        <w:spacing w:after="0" w:line="195" w:lineRule="exact"/>
        <w:rPr>
          <w:rFonts w:ascii="Times New Roman" w:cs="Times New Roman" w:eastAsia="Times New Roman" w:hAnsi="Times New Roman"/>
          <w:sz w:val="18"/>
          <w:szCs w:val="18"/>
          <w:color w:val="auto"/>
        </w:rPr>
      </w:pPr>
    </w:p>
    <w:p>
      <w:pPr>
        <w:ind w:right="100" w:firstLine="656"/>
        <w:spacing w:after="0" w:line="254" w:lineRule="auto"/>
        <w:tabs>
          <w:tab w:leader="none" w:pos="117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Renewal of Registration Statement</w:t>
      </w:r>
      <w:r>
        <w:rPr>
          <w:rFonts w:ascii="Times New Roman" w:cs="Times New Roman" w:eastAsia="Times New Roman" w:hAnsi="Times New Roman"/>
          <w:sz w:val="18"/>
          <w:szCs w:val="18"/>
          <w:color w:val="auto"/>
        </w:rPr>
        <w:t>. If, immediately prior to the third anniversary of the initial effective date of the Registration Statement (the “</w:t>
      </w:r>
      <w:r>
        <w:rPr>
          <w:rFonts w:ascii="Times New Roman" w:cs="Times New Roman" w:eastAsia="Times New Roman" w:hAnsi="Times New Roman"/>
          <w:sz w:val="18"/>
          <w:szCs w:val="18"/>
          <w:b w:val="1"/>
          <w:bCs w:val="1"/>
          <w:u w:val="single" w:color="auto"/>
          <w:color w:val="auto"/>
        </w:rPr>
        <w:t>Renewal Date</w:t>
      </w:r>
      <w:r>
        <w:rPr>
          <w:rFonts w:ascii="Times New Roman" w:cs="Times New Roman" w:eastAsia="Times New Roman" w:hAnsi="Times New Roman"/>
          <w:sz w:val="18"/>
          <w:szCs w:val="18"/>
          <w:color w:val="auto"/>
        </w:rPr>
        <w:t>”), any of the Placement Shares remain unsold and this Agreement has not been terminated, the Company will, prior to the Renewal Date, file a new shelf registration statement or, if applicable, an automatic shelf registration statement relating to the Common Stock that may be offered and sold pursuant to this Agreement (which shall include a prospectus reflecting the number or amount of Placement Shares that may be offered and sold pursuant to this Agreement), in a form satisfactory to the Agents and their counsel, and, if such registration statement is not an automatic shelf registration statement, will use its best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shall include such new shelf registration statement or such new automatic shelf registration statement, as the case may be.</w:t>
      </w:r>
    </w:p>
    <w:p>
      <w:pPr>
        <w:spacing w:after="0" w:line="188" w:lineRule="exact"/>
        <w:rPr>
          <w:rFonts w:ascii="Times New Roman" w:cs="Times New Roman" w:eastAsia="Times New Roman" w:hAnsi="Times New Roman"/>
          <w:sz w:val="18"/>
          <w:szCs w:val="18"/>
          <w:color w:val="auto"/>
        </w:rPr>
      </w:pPr>
    </w:p>
    <w:p>
      <w:pPr>
        <w:ind w:right="80" w:firstLine="656"/>
        <w:spacing w:after="0" w:line="254" w:lineRule="auto"/>
        <w:tabs>
          <w:tab w:leader="none" w:pos="121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Instruction I.B.6. of Form S-3</w:t>
      </w:r>
      <w:r>
        <w:rPr>
          <w:rFonts w:ascii="Times New Roman" w:cs="Times New Roman" w:eastAsia="Times New Roman" w:hAnsi="Times New Roman"/>
          <w:sz w:val="18"/>
          <w:szCs w:val="18"/>
          <w:color w:val="auto"/>
        </w:rPr>
        <w:t xml:space="preserve">. If, from and after the date of this Agreement, the Company is no longer eligible to use Form S-3 (including pursuant to General Instruction I.B.6.) at the time it files with the Commission an annual report on Form 10-K or any post-effective amendment to the Registration Statement, then it shall promptly notify the Agents and, within two Business Days after the date of filing of such annual report on Form 10-K or amendment to the Registration Statement, the Company shall file a new prospectus supplement with the Commission reflecting the number of shares of Common Stock available to be offered and sold by the Company under this Agreement pursuant to General Instruction I.B.6. of Form S-3;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Company may delay the filing of any such prospectus supplement for up to 30 days if, in the reasonable judgment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it is in the best interest of the Company to do so, provided that no Placement Notice is in effect or pending during such time. Until such time as the Company shall have corrected such misstatement or omission or effected such compliance, the Company shall not notify the Agents to resume the offering of Placement Shares.</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77" w:name="page78"/>
    <w:bookmarkEnd w:id="77"/>
    <w:p>
      <w:pPr>
        <w:ind w:right="80" w:firstLine="656"/>
        <w:spacing w:after="0" w:line="282" w:lineRule="auto"/>
        <w:tabs>
          <w:tab w:leader="none" w:pos="117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Indemnity</w:t>
      </w:r>
      <w:r>
        <w:rPr>
          <w:rFonts w:ascii="Times New Roman" w:cs="Times New Roman" w:eastAsia="Times New Roman" w:hAnsi="Times New Roman"/>
          <w:sz w:val="18"/>
          <w:szCs w:val="18"/>
          <w:color w:val="auto"/>
        </w:rPr>
        <w:t>. The Company will indemnify and hold harmless the Agents against any documentary, stamp or similar issue tax, including any interest and penalties, on the issue and sale of the Placement Shares.</w:t>
      </w:r>
    </w:p>
    <w:p>
      <w:pPr>
        <w:spacing w:after="0" w:line="161"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has engaged and will maintain, at its sole expense, a transfer agent and registrar for the Common Stock.</w:t>
      </w:r>
    </w:p>
    <w:p>
      <w:pPr>
        <w:spacing w:after="0" w:line="225" w:lineRule="exact"/>
        <w:rPr>
          <w:sz w:val="20"/>
          <w:szCs w:val="20"/>
          <w:color w:val="auto"/>
        </w:rPr>
      </w:pPr>
    </w:p>
    <w:p>
      <w:pPr>
        <w:ind w:left="1100" w:hanging="444"/>
        <w:spacing w:after="0"/>
        <w:tabs>
          <w:tab w:leader="none" w:pos="11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will pay all expenses incident to the performance of its obligations under this Agreement, including</w:t>
      </w:r>
    </w:p>
    <w:p>
      <w:pPr>
        <w:spacing w:after="0" w:line="27" w:lineRule="exact"/>
        <w:rPr>
          <w:rFonts w:ascii="Times New Roman" w:cs="Times New Roman" w:eastAsia="Times New Roman" w:hAnsi="Times New Roman"/>
          <w:sz w:val="18"/>
          <w:szCs w:val="18"/>
          <w:color w:val="auto"/>
        </w:rPr>
      </w:pPr>
    </w:p>
    <w:p>
      <w:pPr>
        <w:ind w:firstLine="8"/>
        <w:spacing w:after="0" w:line="251" w:lineRule="auto"/>
        <w:tabs>
          <w:tab w:leader="none" w:pos="2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preparation and filing of the Registration Statement, including any fees required by the Commission, and the printing or electronic delivery of the Prospectus as originally filed and of each amendment and supplement thereto, in such number as the Agents shall deem necessary, (ii) the printing and delivery to the Agents of this Agreement and such other documents as may be required in connection with the offering, purchase, sale, issuance or delivery of the Placement Shares, (iii) the preparation, issuance and delivery of the certificates, if any, for the Placement Shares to the Agents, including any stock or other transfer taxes and any capital duties, stamp duties or other duties or taxes payable upon the sale, issuance or delivery of the Placement Shares to the Agents, (iv) the fees and disbursements of the counsel, accountants and other advisors to the Company, (v) the fees and expenses of Agents including but not limited to the reasonable fees and expenses of the counsel to the Agents, payable upon the execution of this Agreement, (a) in an amount not to exceed $75,000 in connection with the execution of this Agreement and (b) in an amount not to exceed $15,000 per calendar quarter thereafter payable in connection with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(vi) the qualification or exemption of the Placement Shares under state securities laws in accordance with the provisions of </w:t>
      </w:r>
      <w:r>
        <w:rPr>
          <w:rFonts w:ascii="Times New Roman" w:cs="Times New Roman" w:eastAsia="Times New Roman" w:hAnsi="Times New Roman"/>
          <w:sz w:val="18"/>
          <w:szCs w:val="18"/>
          <w:u w:val="single" w:color="auto"/>
          <w:color w:val="auto"/>
        </w:rPr>
        <w:t>Section 7(t)</w:t>
      </w:r>
      <w:r>
        <w:rPr>
          <w:rFonts w:ascii="Times New Roman" w:cs="Times New Roman" w:eastAsia="Times New Roman" w:hAnsi="Times New Roman"/>
          <w:sz w:val="18"/>
          <w:szCs w:val="18"/>
          <w:color w:val="auto"/>
        </w:rPr>
        <w:t xml:space="preserve"> hereof, including filing fees, but excluding fees of the Agents’ counsel, (vii) the printing and delivery to the Agents of copies of any Permitted Issuer Free Writing Prospectus and the Prospectus and any amendments or supplements thereto in such number as the Agents shall deem necessary, (viii) the preparation, printing and delivery to the Agents of copies of the blue sky survey, (ix) the fees and expenses of the transfer agent and registrar for the Common Stock, (x) the filing and other fees incident to any review by FINRA of the terms of the sale of the Placement Shares including the fees of the Agents’ counsel (subject to the cap, set forth in clause (v) above), and (xi) the fees and expenses incurred in connection with the listing of the Placement Shares on the Exchange.</w:t>
      </w:r>
    </w:p>
    <w:p>
      <w:pPr>
        <w:spacing w:after="0" w:line="190" w:lineRule="exact"/>
        <w:rPr>
          <w:rFonts w:ascii="Times New Roman" w:cs="Times New Roman" w:eastAsia="Times New Roman" w:hAnsi="Times New Roman"/>
          <w:sz w:val="18"/>
          <w:szCs w:val="18"/>
          <w:color w:val="auto"/>
        </w:rPr>
      </w:pPr>
    </w:p>
    <w:p>
      <w:pPr>
        <w:ind w:right="20" w:firstLine="656"/>
        <w:spacing w:after="0" w:line="261" w:lineRule="auto"/>
        <w:tabs>
          <w:tab w:leader="none" w:pos="109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Agents’ Obligations</w:t>
      </w:r>
      <w:r>
        <w:rPr>
          <w:rFonts w:ascii="Times New Roman" w:cs="Times New Roman" w:eastAsia="Times New Roman" w:hAnsi="Times New Roman"/>
          <w:sz w:val="18"/>
          <w:szCs w:val="18"/>
          <w:color w:val="auto"/>
        </w:rPr>
        <w:t>. The obligations of the Agents hereunder with respect to a Placement will be subject to the continuing accuracy and completeness of the representations and warranties made by the Company herein, to the due performance by the Company of its obligations hereunder, to the completion by the Agents of a due diligence review satisfactory to the Agents in their reasonable judgment, and to the continuing satisfaction (or waiver by the Agents in their sole discretion) of the following additional conditions:</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8" w:name="page79"/>
    <w:bookmarkEnd w:id="78"/>
    <w:p>
      <w:pPr>
        <w:ind w:right="120" w:firstLine="656"/>
        <w:spacing w:after="0" w:line="282" w:lineRule="auto"/>
        <w:tabs>
          <w:tab w:leader="none" w:pos="116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be effective and shall be available for all offers and sales of Placement Shares (i) that have been issued pursuant to all prior Placement Notices and (ii) that will be issued pursuant to any Placement Notice.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17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The Company shall have filed with the Commission the Prospectus Supplement pursuant to Rule 424(b) under the Securities Act not later than the Commission’s close of business on the second Business Day following the date of this Agreement.</w:t>
      </w:r>
    </w:p>
    <w:p>
      <w:pPr>
        <w:spacing w:after="0" w:line="161" w:lineRule="exact"/>
        <w:rPr>
          <w:rFonts w:ascii="Times New Roman" w:cs="Times New Roman" w:eastAsia="Times New Roman" w:hAnsi="Times New Roman"/>
          <w:sz w:val="18"/>
          <w:szCs w:val="18"/>
          <w:color w:val="auto"/>
        </w:rPr>
      </w:pPr>
    </w:p>
    <w:p>
      <w:pPr>
        <w:ind w:right="20" w:firstLine="656"/>
        <w:spacing w:after="0" w:line="253" w:lineRule="auto"/>
        <w:tabs>
          <w:tab w:leader="none" w:pos="116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in the case of the Prospectus, so that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89" w:lineRule="exact"/>
        <w:rPr>
          <w:rFonts w:ascii="Times New Roman" w:cs="Times New Roman" w:eastAsia="Times New Roman" w:hAnsi="Times New Roman"/>
          <w:sz w:val="18"/>
          <w:szCs w:val="18"/>
          <w:color w:val="auto"/>
        </w:rPr>
      </w:pPr>
    </w:p>
    <w:p>
      <w:pPr>
        <w:ind w:right="40" w:firstLine="656"/>
        <w:spacing w:after="0" w:line="266" w:lineRule="auto"/>
        <w:tabs>
          <w:tab w:leader="none" w:pos="117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No Agent shall have advised the Company that the Registration Statement or Prospectus, or any amendment or supplement thereto, contains an untrue statement of fact that in such Agent’s opinion is material, or omits to state a fact that in such Agent’s opinion is material and is required to be stated therein or is necessary to make the statements therein not misleading.</w:t>
      </w:r>
    </w:p>
    <w:p>
      <w:pPr>
        <w:spacing w:after="0" w:line="175" w:lineRule="exact"/>
        <w:rPr>
          <w:rFonts w:ascii="Times New Roman" w:cs="Times New Roman" w:eastAsia="Times New Roman" w:hAnsi="Times New Roman"/>
          <w:sz w:val="18"/>
          <w:szCs w:val="18"/>
          <w:color w:val="auto"/>
        </w:rPr>
      </w:pPr>
    </w:p>
    <w:p>
      <w:pPr>
        <w:ind w:right="20" w:firstLine="656"/>
        <w:spacing w:after="0" w:line="255" w:lineRule="auto"/>
        <w:tabs>
          <w:tab w:leader="none" w:pos="116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could reasonably be expected to result in a Material Adverse Effect,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Agents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88" w:lineRule="exact"/>
        <w:rPr>
          <w:rFonts w:ascii="Times New Roman" w:cs="Times New Roman" w:eastAsia="Times New Roman" w:hAnsi="Times New Roman"/>
          <w:sz w:val="18"/>
          <w:szCs w:val="18"/>
          <w:color w:val="auto"/>
        </w:rPr>
      </w:pPr>
    </w:p>
    <w:p>
      <w:pPr>
        <w:ind w:firstLine="656"/>
        <w:spacing w:after="0" w:line="266" w:lineRule="auto"/>
        <w:tabs>
          <w:tab w:leader="none" w:pos="114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Counsel Legal Opinions</w:t>
      </w:r>
      <w:r>
        <w:rPr>
          <w:rFonts w:ascii="Times New Roman" w:cs="Times New Roman" w:eastAsia="Times New Roman" w:hAnsi="Times New Roman"/>
          <w:sz w:val="18"/>
          <w:szCs w:val="18"/>
          <w:color w:val="auto"/>
        </w:rPr>
        <w:t xml:space="preserve">. The Agents shall have received the opinions and negative assurance letters, as applicable, of Company Counsel and Intellectual Property Counsel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as applicable, on or before the date on which such delivery of such opinions and negative assurance letters are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as applicable.</w:t>
      </w: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79" w:name="page80"/>
    <w:bookmarkEnd w:id="79"/>
    <w:p>
      <w:pPr>
        <w:jc w:val="both"/>
        <w:ind w:right="140" w:firstLine="656"/>
        <w:spacing w:after="0" w:line="261" w:lineRule="auto"/>
        <w:tabs>
          <w:tab w:leader="none" w:pos="117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Counsel Legal Opinion</w:t>
      </w:r>
      <w:r>
        <w:rPr>
          <w:rFonts w:ascii="Times New Roman" w:cs="Times New Roman" w:eastAsia="Times New Roman" w:hAnsi="Times New Roman"/>
          <w:sz w:val="18"/>
          <w:szCs w:val="18"/>
          <w:color w:val="auto"/>
        </w:rPr>
        <w:t>. The Agents shall have received from Goodwin Procter LLP, counsel for the Agents, such opinion or opinions, on or before the date on which the delivery of the Company Counsel legal opinion is required pursuant to Section 7(m), with respect to such matters as the Agents may reasonably require, and the Company shall have furnished to such counsel such documents as they may request to enable them to pass upon such matters.</w:t>
      </w:r>
    </w:p>
    <w:p>
      <w:pPr>
        <w:spacing w:after="0" w:line="179" w:lineRule="exact"/>
        <w:rPr>
          <w:rFonts w:ascii="Times New Roman" w:cs="Times New Roman" w:eastAsia="Times New Roman" w:hAnsi="Times New Roman"/>
          <w:sz w:val="18"/>
          <w:szCs w:val="18"/>
          <w:color w:val="auto"/>
        </w:rPr>
      </w:pPr>
    </w:p>
    <w:p>
      <w:pPr>
        <w:ind w:right="120" w:firstLine="656"/>
        <w:spacing w:after="0" w:line="282" w:lineRule="auto"/>
        <w:tabs>
          <w:tab w:leader="none" w:pos="117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The Agents shall have received the Comfort Letter required to be delivered pursuant to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 xml:space="preserve"> on or before the date on which such delivery of such Comfort Letter is required pursuant to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20" w:firstLine="656"/>
        <w:spacing w:after="0" w:line="282" w:lineRule="auto"/>
        <w:tabs>
          <w:tab w:leader="none" w:pos="113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The Agents shall have received the certificate required to be delivered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00" w:firstLine="656"/>
        <w:spacing w:after="0" w:line="255" w:lineRule="auto"/>
        <w:tabs>
          <w:tab w:leader="none" w:pos="113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xml:space="preserve">. On or prior to the First Placement Notice Date, the Agents shall have received a certificate, signed on behalf of the Company by the Secretary of the Company and attested to by an executive officer of the Company, dated as of such date and in form and substance satisfactory to the Agents and their counsel, certifying as to (i) the amended and restated certificate of incorporation of the Company, (ii) the amended and restated bylaws of the Company, (iii) the resolutions of the board of directors of the Company or duly authorized committee thereof authorizing the execution, delivery and performance of this Agreement and the issuance and sale of the Placement Shares and (iv) the incumbency of the officers of the Company duly authorized to execute this Agreement and the other documents contemplated by this Agreement (including each of the officers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100" w:firstLine="656"/>
        <w:spacing w:after="0" w:line="282" w:lineRule="auto"/>
        <w:tabs>
          <w:tab w:leader="none" w:pos="117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The Common Stock shall be duly listed, and admitted and authorized for trading, subject to official notice of issuance, on the Exchange. Trading in the Common Stock shall not have been suspended on, and the Common Stock shall not have been delisted from, the Exchange.</w:t>
      </w:r>
    </w:p>
    <w:p>
      <w:pPr>
        <w:spacing w:after="0" w:line="161" w:lineRule="exact"/>
        <w:rPr>
          <w:rFonts w:ascii="Times New Roman" w:cs="Times New Roman" w:eastAsia="Times New Roman" w:hAnsi="Times New Roman"/>
          <w:sz w:val="18"/>
          <w:szCs w:val="18"/>
          <w:color w:val="auto"/>
        </w:rPr>
      </w:pPr>
    </w:p>
    <w:p>
      <w:pPr>
        <w:ind w:firstLine="656"/>
        <w:spacing w:after="0" w:line="258" w:lineRule="auto"/>
        <w:tabs>
          <w:tab w:leader="none" w:pos="113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xml:space="preserve">. On each date on which the Company is required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the Company shall have furnished to the Agents such appropriate further information, opinions, certificates, letters and other documents as the Agents may have reasonably requested. All such information, opinions, certificates, letters and other documents shall have been in compliance with the provisions hereof. The Company shall have furnished the Agents with conformed copies of such opinions, certificates, letters and other documents as the Agents may have reasonably requested.</w:t>
      </w:r>
    </w:p>
    <w:p>
      <w:pPr>
        <w:spacing w:after="0" w:line="183" w:lineRule="exact"/>
        <w:rPr>
          <w:rFonts w:ascii="Times New Roman" w:cs="Times New Roman" w:eastAsia="Times New Roman" w:hAnsi="Times New Roman"/>
          <w:sz w:val="18"/>
          <w:szCs w:val="18"/>
          <w:color w:val="auto"/>
        </w:rPr>
      </w:pPr>
    </w:p>
    <w:p>
      <w:pPr>
        <w:ind w:right="140" w:firstLine="656"/>
        <w:spacing w:after="0" w:line="266" w:lineRule="auto"/>
        <w:tabs>
          <w:tab w:leader="none" w:pos="122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17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Either (i) the Placement Shares shall have been approved for listing on the Exchange, subject only to notice of issuance, or (ii) the Company shall have filed an application for listing of the Placement Shares on the Exchange at, or prior to, the First Placement Notice Date and the Exchange shall have reviewed such application and not provided any objections thereto.</w:t>
      </w:r>
    </w:p>
    <w:p>
      <w:pPr>
        <w:spacing w:after="0" w:line="175" w:lineRule="exact"/>
        <w:rPr>
          <w:rFonts w:ascii="Times New Roman" w:cs="Times New Roman" w:eastAsia="Times New Roman" w:hAnsi="Times New Roman"/>
          <w:sz w:val="18"/>
          <w:szCs w:val="18"/>
          <w:color w:val="auto"/>
        </w:rPr>
      </w:pPr>
    </w:p>
    <w:p>
      <w:pPr>
        <w:ind w:right="300" w:firstLine="656"/>
        <w:spacing w:after="0" w:line="282" w:lineRule="auto"/>
        <w:tabs>
          <w:tab w:leader="none" w:pos="117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If FINRA review is applicable, FINRA shall have raised no objection to the terms of the offering contemplated hereby and the amount of compensation allowable or payable to the Agents as described in the Prospectus.</w:t>
      </w: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80" w:name="page81"/>
    <w:bookmarkEnd w:id="80"/>
    <w:p>
      <w:pPr>
        <w:ind w:left="1180" w:hanging="524"/>
        <w:spacing w:after="0"/>
        <w:tabs>
          <w:tab w:leader="none" w:pos="1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There shall not have occurred any event that would permit the Agents to terminate this Agreement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00" w:hanging="544"/>
        <w:spacing w:after="0"/>
        <w:tabs>
          <w:tab w:leader="none" w:pos="12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47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The Company agrees to indemnify and hold harmless either of the Agents, their respective affiliates and their respective partners, members, directors, officers, employees and agents and each person, if any, who controls the Agents or any affiliate within the meaning of Section 15 of the Securities Act or Section 20 of the Exchange Act as follows:</w:t>
      </w:r>
    </w:p>
    <w:p>
      <w:pPr>
        <w:spacing w:after="0" w:line="17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959"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jc w:val="both"/>
        <w:ind w:firstLine="1952"/>
        <w:spacing w:after="0" w:line="261" w:lineRule="auto"/>
        <w:tabs>
          <w:tab w:leader="none" w:pos="2919"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loss, liability, claim damage and expense whatsoever, as incurred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below) any such settlement is effected with the written consent of the Company, which consent shall not unreasonably be delayed or withheld; and</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907"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w:t>
      </w:r>
    </w:p>
    <w:p>
      <w:pPr>
        <w:spacing w:after="0" w:line="178" w:lineRule="exact"/>
        <w:rPr>
          <w:sz w:val="20"/>
          <w:szCs w:val="20"/>
          <w:color w:val="auto"/>
        </w:rPr>
      </w:pPr>
    </w:p>
    <w:p>
      <w:pPr>
        <w:jc w:val="both"/>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indemnity agreement shall not apply to any loss, liability, claim, damage or expense to the extent arising out of any untrue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or omission or alleged untrue statement or omission made solely in reliance upon and in conformity with the Agents; Information (as defined below).</w:t>
      </w:r>
    </w:p>
    <w:p>
      <w:pPr>
        <w:spacing w:after="0" w:line="175" w:lineRule="exact"/>
        <w:rPr>
          <w:sz w:val="20"/>
          <w:szCs w:val="20"/>
          <w:color w:val="auto"/>
        </w:rPr>
      </w:pPr>
    </w:p>
    <w:p>
      <w:pPr>
        <w:jc w:val="both"/>
        <w:ind w:firstLine="1304"/>
        <w:spacing w:after="0" w:line="253" w:lineRule="auto"/>
        <w:tabs>
          <w:tab w:leader="none" w:pos="229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Indemnification</w:t>
      </w:r>
      <w:r>
        <w:rPr>
          <w:rFonts w:ascii="Times New Roman" w:cs="Times New Roman" w:eastAsia="Times New Roman" w:hAnsi="Times New Roman"/>
          <w:sz w:val="18"/>
          <w:szCs w:val="18"/>
          <w:color w:val="auto"/>
        </w:rPr>
        <w:t xml:space="preserve">. Each Agent agrees, severally and not jointly,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such Agent and furnished to the Company in writing by such Agent expressly for use therein. The Company hereby acknowledges that the only information that the Agents have furnished to the Company expressly for use in the Registration Statement, the Prospectus, any Prospectus Supplement or any Issuer Free Writing Prospectus (or any amendment or supplement thereto) are the statements set forth in the seventh and eighth paragraphs under the caption “Plan of Distribution” in the Prospectus (the “</w:t>
      </w:r>
      <w:r>
        <w:rPr>
          <w:rFonts w:ascii="Times New Roman" w:cs="Times New Roman" w:eastAsia="Times New Roman" w:hAnsi="Times New Roman"/>
          <w:sz w:val="18"/>
          <w:szCs w:val="18"/>
          <w:b w:val="1"/>
          <w:bCs w:val="1"/>
          <w:u w:val="single" w:color="auto"/>
          <w:color w:val="auto"/>
        </w:rPr>
        <w:t>Agents’ Information</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1" w:name="page82"/>
    <w:bookmarkEnd w:id="81"/>
    <w:p>
      <w:pPr>
        <w:jc w:val="both"/>
        <w:ind w:firstLine="1304"/>
        <w:spacing w:after="0" w:line="251" w:lineRule="auto"/>
        <w:tabs>
          <w:tab w:leader="none" w:pos="226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Any party that proposes to assert the right to be indemnified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(ii) any liability that it may have to any indemnified party under the foregoing provision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in each case,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documented fees, disbursements and other charges will be reimbursed by the indemnifying party promptly after the indemnifying party receives a written invoice relating to such documented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19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30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Without Consent if Failure to Reimburse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 indemnified party shall have requested an indemnifying party to reimburse the indemnified party for reasonable fees and expenses of counsel, for which it is entitled to be reimbursed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such indemnifying party agrees that it shall be liable for any settlement of the nature contemplated by </w:t>
      </w:r>
      <w:r>
        <w:rPr>
          <w:rFonts w:ascii="Times New Roman" w:cs="Times New Roman" w:eastAsia="Times New Roman" w:hAnsi="Times New Roman"/>
          <w:sz w:val="18"/>
          <w:szCs w:val="18"/>
          <w:u w:val="single" w:color="auto"/>
          <w:color w:val="auto"/>
        </w:rPr>
        <w:t>Section 10(a)(ii)</w:t>
      </w:r>
      <w:r>
        <w:rPr>
          <w:rFonts w:ascii="Times New Roman" w:cs="Times New Roman" w:eastAsia="Times New Roman" w:hAnsi="Times New Roman"/>
          <w:sz w:val="18"/>
          <w:szCs w:val="18"/>
          <w:color w:val="auto"/>
        </w:rPr>
        <w:t xml:space="preserve"> effected without its written consent if</w:t>
      </w:r>
    </w:p>
    <w:p>
      <w:pPr>
        <w:jc w:val="both"/>
        <w:ind w:firstLine="8"/>
        <w:spacing w:after="0" w:line="255" w:lineRule="auto"/>
        <w:tabs>
          <w:tab w:leader="none" w:pos="26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2" w:name="page83"/>
    <w:bookmarkEnd w:id="82"/>
    <w:p>
      <w:pPr>
        <w:jc w:val="both"/>
        <w:ind w:firstLine="1304"/>
        <w:spacing w:after="0" w:line="251" w:lineRule="auto"/>
        <w:tabs>
          <w:tab w:leader="none" w:pos="225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is applicable in accordance with its terms but for any reason is held to be unavailable or insufficient from the Company or the Agents, the Company and the Agents will contribute to the total losses, claims, liabilities, expenses and damages (including any documented investigative, legal and other expenses reasonably incurred in connection with, and any amount paid in settlement of, any action, suit or proceeding or any claim asserted, but after deducting any contribution received by the Company from persons other than the Agents, such as persons who control the Company within the meaning of the Securities Act, officers of the Company who signed the Registration Statement and directors of the Company, who also may be liable for contribution) to which the Company and the Agents may be subject in such proportion as shall be appropriate to reflect the relative benefits received by the Company on the one hand and the Agents on the other hand. The relative benefits received by the Company on the one hand and the Agents on the other hand shall be deemed to be in the same proportion as the total net proceeds from the sale of the Placement Shares (before deducting expenses) received by the Company bear to the total compensation received by the Agents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Agents,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Agents, the intent of the parties and their relative knowledge, access to information and opportunity to correct or prevent such statement or omission. The Company and the Agents agree that it would not be just and equitable if contributions pursuant to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shall be deemed to include, for the purpose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10(c)</w:t>
      </w:r>
      <w:r>
        <w:rPr>
          <w:rFonts w:ascii="Times New Roman" w:cs="Times New Roman" w:eastAsia="Times New Roman" w:hAnsi="Times New Roman"/>
          <w:sz w:val="18"/>
          <w:szCs w:val="18"/>
          <w:color w:val="auto"/>
        </w:rPr>
        <w:t xml:space="preserve"> hereof. Notwithstanding the foregoing provisions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the Agents shall not be required to contribute any amount in excess of the commissions received by them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10(e)</w:t>
      </w:r>
      <w:r>
        <w:rPr>
          <w:rFonts w:ascii="Times New Roman" w:cs="Times New Roman" w:eastAsia="Times New Roman" w:hAnsi="Times New Roman"/>
          <w:sz w:val="18"/>
          <w:szCs w:val="18"/>
          <w:color w:val="auto"/>
        </w:rPr>
        <w:t xml:space="preserve">, any person who controls a party to this Agreement within the meaning of the Securities Act, any affiliates of the Agents and any officers, directors, partners, employees or agents of the Agents or each person that is controlled by or under common control with the Agents,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w:t>
      </w:r>
    </w:p>
    <w:p>
      <w:pPr>
        <w:spacing w:after="0" w:line="2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3" w:name="page84"/>
    <w:bookmarkEnd w:id="83"/>
    <w:p>
      <w:pPr>
        <w:ind w:right="200" w:firstLine="656"/>
        <w:spacing w:after="0" w:line="258" w:lineRule="auto"/>
        <w:tabs>
          <w:tab w:leader="none" w:pos="118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xml:space="preserve">. The indemnity and contribution agreements contained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Agreement and all representations and warranties of the Company herein or in certificates delivered pursuant hereto shall survive, as of their respective dates, regardless of (i) any investigation made by or on behalf of the Agents, any controlling persons, or the Company (or any of their respective officers, directors, employees or controlling persons), (ii) delivery and acceptance of the Placement Shares and payment therefor or (iii) any termination of this Agreement.</w:t>
      </w:r>
    </w:p>
    <w:p>
      <w:pPr>
        <w:spacing w:after="0" w:line="183"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52" w:lineRule="auto"/>
        <w:tabs>
          <w:tab w:leader="none" w:pos="116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Agent may terminate this Agreement, solely with respect to such Agent,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such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(Consent to Jurisdiction) hereof shall remain in full force and effect notwithstanding such termination. If an Agent elects to terminate this Agreement as provided in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such Agent shall provide the required notice as specified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(Notices).</w:t>
      </w:r>
    </w:p>
    <w:p>
      <w:pPr>
        <w:spacing w:after="0" w:line="191" w:lineRule="exact"/>
        <w:rPr>
          <w:rFonts w:ascii="Times New Roman" w:cs="Times New Roman" w:eastAsia="Times New Roman" w:hAnsi="Times New Roman"/>
          <w:sz w:val="18"/>
          <w:szCs w:val="18"/>
          <w:color w:val="auto"/>
        </w:rPr>
      </w:pPr>
    </w:p>
    <w:p>
      <w:pPr>
        <w:ind w:right="80" w:firstLine="656"/>
        <w:spacing w:after="0" w:line="266" w:lineRule="auto"/>
        <w:tabs>
          <w:tab w:leader="none" w:pos="116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5 days’ prior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75" w:lineRule="exact"/>
        <w:rPr>
          <w:rFonts w:ascii="Times New Roman" w:cs="Times New Roman" w:eastAsia="Times New Roman" w:hAnsi="Times New Roman"/>
          <w:sz w:val="18"/>
          <w:szCs w:val="18"/>
          <w:color w:val="auto"/>
        </w:rPr>
      </w:pPr>
    </w:p>
    <w:p>
      <w:pPr>
        <w:jc w:val="both"/>
        <w:ind w:right="80" w:firstLine="656"/>
        <w:spacing w:after="0" w:line="261" w:lineRule="auto"/>
        <w:tabs>
          <w:tab w:leader="none" w:pos="116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Agent shall have the right, solely with respect to such Agent, by giving 5 days’ prior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4" w:name="page85"/>
    <w:bookmarkEnd w:id="84"/>
    <w:p>
      <w:pPr>
        <w:ind w:right="80" w:firstLine="656"/>
        <w:spacing w:after="0" w:line="266" w:lineRule="auto"/>
        <w:tabs>
          <w:tab w:leader="none" w:pos="117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this Agreement shall automatically terminate upon the issuance and sale of all of the Placement Shares through the Agents on the terms and subject to the conditions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75" w:lineRule="exact"/>
        <w:rPr>
          <w:rFonts w:ascii="Times New Roman" w:cs="Times New Roman" w:eastAsia="Times New Roman" w:hAnsi="Times New Roman"/>
          <w:sz w:val="18"/>
          <w:szCs w:val="18"/>
          <w:color w:val="auto"/>
        </w:rPr>
      </w:pPr>
    </w:p>
    <w:p>
      <w:pPr>
        <w:jc w:val="both"/>
        <w:ind w:right="300" w:firstLine="656"/>
        <w:spacing w:after="0" w:line="266" w:lineRule="auto"/>
        <w:tabs>
          <w:tab w:leader="none" w:pos="115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Sections 11(a), (b), (c), or (d) above or otherwise by mutual agreement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termination by mutual agreement shall in all cases be deemed to provide that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7(g), 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shall remain in full force and effect.</w:t>
      </w:r>
    </w:p>
    <w:p>
      <w:pPr>
        <w:spacing w:after="0" w:line="173" w:lineRule="exact"/>
        <w:rPr>
          <w:rFonts w:ascii="Times New Roman" w:cs="Times New Roman" w:eastAsia="Times New Roman" w:hAnsi="Times New Roman"/>
          <w:sz w:val="18"/>
          <w:szCs w:val="18"/>
          <w:color w:val="auto"/>
        </w:rPr>
      </w:pPr>
    </w:p>
    <w:p>
      <w:pPr>
        <w:ind w:right="20" w:firstLine="656"/>
        <w:spacing w:after="0" w:line="257" w:lineRule="auto"/>
        <w:tabs>
          <w:tab w:leader="none" w:pos="113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the Agents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Agents any discount or commission with respect to any Placement Shares not otherwise sold by the Agents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shall remain obligated to reimburse the Agents’ expenses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firstLine="656"/>
        <w:spacing w:after="0" w:line="282" w:lineRule="auto"/>
        <w:tabs>
          <w:tab w:leader="none" w:pos="118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in this Agreement, and if sent to the Agents, shall be delivered to:</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499 Park Avenue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Attention: Sameer Vasudev</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Email: svasudev@cantor.com; CFCEO@cantor.com</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Facsimile: (212) 307-3730</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499 Park Avenue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Email: Legal-IBD@cantor.com</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30 Hudson Yards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Attention: Equity Syndicate Department and Special Equities Desk</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Email: david.bohn@wellsfargo.com; ryan.haney@wellsfargo.com;</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jennifer.r.lynch@wellsfargo.com; william.oconnell@wellsfargo.com;</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josie.callanan@wellsfargo.com; jim.w.birchenough@wellsfargo.com;</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lucy.to@wellsfargo.com</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Fascimile: (212) 214-5918</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85" w:name="page86"/>
    <w:bookmarkEnd w:id="85"/>
    <w:p>
      <w:pPr>
        <w:ind w:left="5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Attention: Siavosh Salimi, Esq.</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Email: SSalimi@goodwinlaw.com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to the Company, shall be delivered to:</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Lance@arcturusrx.com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Dentons US LLP</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Attention: Jeffrey A. Baumel, Esq.</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E-mail: jeffrey.baumel@dentons.com</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party to this Agreement may change such address for notices by sending to the parties to this Agreement written notice of a new address for such purpose. Each such notice or other communication shall be deemed given (i) when delivered personally on or before 4:30 P.M., New York City time, on a Business Day, or, if such day is not a Business Day, on the next succeeding Business Day, (ii) by Electronic Notice as set forth in the next paragraph, (iii) 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on which the Exchange and commercial banks in the City of New York are open for business.</w:t>
      </w:r>
    </w:p>
    <w:p>
      <w:pPr>
        <w:spacing w:after="0" w:line="18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xml:space="preserve">”) shall be deemed written notice for purposes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if sent to the electronic mail address specified by the receiving party under separate cover.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u w:val="single" w:color="auto"/>
          <w:color w:val="auto"/>
        </w:rPr>
        <w:t>Nonelectronic Notice</w:t>
      </w:r>
      <w:r>
        <w:rPr>
          <w:rFonts w:ascii="Times New Roman" w:cs="Times New Roman" w:eastAsia="Times New Roman" w:hAnsi="Times New Roman"/>
          <w:sz w:val="18"/>
          <w:szCs w:val="18"/>
          <w:color w:val="auto"/>
        </w:rPr>
        <w:t>”), which shall be sent to the requesting party within 10 days of receipt of the written request for Nonelectronic Notice.</w:t>
      </w: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86" w:name="page87"/>
    <w:bookmarkEnd w:id="86"/>
    <w:p>
      <w:pPr>
        <w:ind w:firstLine="656"/>
        <w:spacing w:after="0" w:line="254" w:lineRule="auto"/>
        <w:tabs>
          <w:tab w:leader="none" w:pos="118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the Agents and their respective successors and the affiliates, controlling persons, officers, directors and other persons referred to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Agents may assign their rights and obligations hereunder to an affiliate thereof without obtaining the Company’s consent, so long as such affiliate is a registered broker-dealer.</w:t>
      </w:r>
    </w:p>
    <w:p>
      <w:pPr>
        <w:spacing w:after="0" w:line="191" w:lineRule="exact"/>
        <w:rPr>
          <w:rFonts w:ascii="Times New Roman" w:cs="Times New Roman" w:eastAsia="Times New Roman" w:hAnsi="Times New Roman"/>
          <w:sz w:val="18"/>
          <w:szCs w:val="18"/>
          <w:color w:val="auto"/>
        </w:rPr>
      </w:pPr>
    </w:p>
    <w:p>
      <w:pPr>
        <w:ind w:right="480" w:firstLine="656"/>
        <w:spacing w:after="0" w:line="282" w:lineRule="auto"/>
        <w:tabs>
          <w:tab w:leader="none" w:pos="118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Share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161" w:lineRule="exact"/>
        <w:rPr>
          <w:rFonts w:ascii="Times New Roman" w:cs="Times New Roman" w:eastAsia="Times New Roman" w:hAnsi="Times New Roman"/>
          <w:sz w:val="18"/>
          <w:szCs w:val="18"/>
          <w:color w:val="auto"/>
        </w:rPr>
      </w:pPr>
    </w:p>
    <w:p>
      <w:pPr>
        <w:ind w:right="20" w:firstLine="656"/>
        <w:spacing w:after="0" w:line="253" w:lineRule="auto"/>
        <w:tabs>
          <w:tab w:leader="none" w:pos="118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 Waiver</w:t>
      </w:r>
      <w:r>
        <w:rPr>
          <w:rFonts w:ascii="Times New Roman" w:cs="Times New Roman" w:eastAsia="Times New Roman" w:hAnsi="Times New Roman"/>
          <w:sz w:val="18"/>
          <w:szCs w:val="18"/>
          <w:color w:val="auto"/>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may be amended by either party from time to time by sending a notice containing a revised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other party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manner provided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upon such amendment, all references herein to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shall automatically be deemed to refer to such amended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In the event that any one or more of the provisions contained herein, or the application thereof in any circumstance, is held invalid, illegal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83" w:lineRule="exact"/>
        <w:rPr>
          <w:rFonts w:ascii="Times New Roman" w:cs="Times New Roman" w:eastAsia="Times New Roman" w:hAnsi="Times New Roman"/>
          <w:sz w:val="18"/>
          <w:szCs w:val="18"/>
          <w:color w:val="auto"/>
        </w:rPr>
      </w:pPr>
    </w:p>
    <w:p>
      <w:pPr>
        <w:ind w:right="380" w:firstLine="656"/>
        <w:spacing w:after="0" w:line="257" w:lineRule="auto"/>
        <w:tabs>
          <w:tab w:leader="none" w:pos="118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TIME; WAIVER OF JURY TRIAL</w:t>
      </w:r>
      <w:r>
        <w:rPr>
          <w:rFonts w:ascii="Times New Roman" w:cs="Times New Roman" w:eastAsia="Times New Roman" w:hAnsi="Times New Roman"/>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82" w:lineRule="exact"/>
        <w:rPr>
          <w:rFonts w:ascii="Times New Roman" w:cs="Times New Roman" w:eastAsia="Times New Roman" w:hAnsi="Times New Roman"/>
          <w:sz w:val="18"/>
          <w:szCs w:val="18"/>
          <w:color w:val="auto"/>
        </w:rPr>
      </w:pPr>
    </w:p>
    <w:p>
      <w:pPr>
        <w:ind w:right="40" w:firstLine="575"/>
        <w:spacing w:after="0" w:line="253" w:lineRule="auto"/>
        <w:tabs>
          <w:tab w:leader="none" w:pos="110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b w:val="1"/>
          <w:bCs w:val="1"/>
          <w:color w:val="auto"/>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7" w:name="page88"/>
    <w:bookmarkEnd w:id="87"/>
    <w:p>
      <w:pPr>
        <w:ind w:right="60" w:firstLine="575"/>
        <w:spacing w:after="0" w:line="258" w:lineRule="auto"/>
        <w:tabs>
          <w:tab w:leader="none" w:pos="110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right="180" w:firstLine="8"/>
        <w:spacing w:after="0" w:line="261"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9" w:lineRule="exact"/>
        <w:rPr>
          <w:rFonts w:ascii="Times New Roman" w:cs="Times New Roman" w:eastAsia="Times New Roman" w:hAnsi="Times New Roman"/>
          <w:sz w:val="18"/>
          <w:szCs w:val="18"/>
          <w:color w:val="auto"/>
        </w:rPr>
      </w:pPr>
    </w:p>
    <w:p>
      <w:pPr>
        <w:ind w:firstLine="8"/>
        <w:spacing w:after="0" w:line="254"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The Company represents, warrants and agrees that, unless it obtains the prior written consent of the Agents, and each Agent represents, warrants and agrees that, unless it obtains the prior written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Times New Roman" w:cs="Times New Roman" w:eastAsia="Times New Roman" w:hAnsi="Times New Roman"/>
          <w:sz w:val="18"/>
          <w:szCs w:val="18"/>
          <w:b w:val="1"/>
          <w:bCs w:val="1"/>
          <w:u w:val="single" w:color="auto"/>
          <w:color w:val="auto"/>
        </w:rPr>
        <w:t>Permitted Free Writing Prospectus</w:t>
      </w:r>
      <w:r>
        <w:rPr>
          <w:rFonts w:ascii="Times New Roman" w:cs="Times New Roman" w:eastAsia="Times New Roman" w:hAnsi="Times New Roman"/>
          <w:sz w:val="18"/>
          <w:szCs w:val="18"/>
          <w:color w:val="auto"/>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18"/>
          <w:szCs w:val="18"/>
          <w:b w:val="1"/>
          <w:bCs w:val="1"/>
          <w:u w:val="single" w:color="auto"/>
          <w:color w:val="auto"/>
        </w:rPr>
        <w:t>Exhibit 21</w:t>
      </w:r>
      <w:r>
        <w:rPr>
          <w:rFonts w:ascii="Times New Roman" w:cs="Times New Roman" w:eastAsia="Times New Roman" w:hAnsi="Times New Roman"/>
          <w:sz w:val="18"/>
          <w:szCs w:val="18"/>
          <w:color w:val="auto"/>
        </w:rPr>
        <w:t xml:space="preserve"> hereto are Permitted Free Writing Prospectuses.</w:t>
      </w:r>
    </w:p>
    <w:p>
      <w:pPr>
        <w:spacing w:after="0" w:line="1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5" w:lineRule="exact"/>
        <w:rPr>
          <w:rFonts w:ascii="Times New Roman" w:cs="Times New Roman" w:eastAsia="Times New Roman" w:hAnsi="Times New Roman"/>
          <w:sz w:val="18"/>
          <w:szCs w:val="18"/>
          <w:color w:val="auto"/>
        </w:rPr>
      </w:pPr>
    </w:p>
    <w:p>
      <w:pPr>
        <w:ind w:left="1300" w:right="40" w:hanging="320"/>
        <w:spacing w:after="0" w:line="255" w:lineRule="auto"/>
        <w:tabs>
          <w:tab w:leader="none" w:pos="130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88" w:name="page89"/>
    <w:bookmarkEnd w:id="88"/>
    <w:p>
      <w:pPr>
        <w:ind w:left="1300" w:right="900" w:hanging="320"/>
        <w:spacing w:after="0" w:line="282" w:lineRule="auto"/>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Agents nor their respective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75" w:lineRule="exact"/>
        <w:rPr>
          <w:rFonts w:ascii="Times New Roman" w:cs="Times New Roman" w:eastAsia="Times New Roman" w:hAnsi="Times New Roman"/>
          <w:sz w:val="18"/>
          <w:szCs w:val="18"/>
          <w:color w:val="auto"/>
        </w:rPr>
      </w:pPr>
    </w:p>
    <w:p>
      <w:pPr>
        <w:ind w:left="1300" w:right="300" w:hanging="320"/>
        <w:spacing w:after="0" w:line="266" w:lineRule="auto"/>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aware that the Agents and their respective affiliates are engaged in a broad range of transactions which may involve interests that differ from those of the Company and the Agents and their respective affiliates have no obligation to disclose such interests and transactions to the Company by virtue of any fiduciary, advisory or agency relationship or otherwise; and</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58" w:lineRule="auto"/>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the Agents or their respective affiliates for breach of fiduciary duty or alleged breach of fiduciary duty in connection with the sale of Placement Shares under this Agreement and agrees that the Agents and their respective affiliates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 means (i) each Representation Date, (ii) the time of each sale of any Placement Shares pursuant to this Agreement and (iii) each Settlement Date.</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Issuer Free Writing Prospectus</w:t>
      </w:r>
      <w:r>
        <w:rPr>
          <w:rFonts w:ascii="Times New Roman" w:cs="Times New Roman" w:eastAsia="Times New Roman" w:hAnsi="Times New Roman"/>
          <w:sz w:val="18"/>
          <w:szCs w:val="18"/>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refer to such rules under the Securities Act Regulations.</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89" w:name="page90"/>
    <w:bookmarkEnd w:id="89"/>
    <w:p>
      <w:pPr>
        <w:spacing w:after="0" w:line="256"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Agents outside of the United States.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[Remainder of Page Intentionally Blank]</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96" w:right="419" w:bottom="1440" w:gutter="0" w:footer="0" w:header="0"/>
        </w:sectPr>
      </w:pPr>
    </w:p>
    <w:bookmarkStart w:id="90" w:name="page91"/>
    <w:bookmarkEnd w:id="90"/>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the Agents, please so indicate in the space provided below for that purpose, whereupon this letter shall constitute a binding agreement between the Company and the Agents.</w:t>
      </w:r>
    </w:p>
    <w:p>
      <w:pPr>
        <w:spacing w:after="0" w:line="1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796" w:right="619" w:bottom="1440" w:gutter="0" w:footer="0" w:header="0"/>
        </w:sectPr>
      </w:pPr>
    </w:p>
    <w:bookmarkStart w:id="91" w:name="page92"/>
    <w:bookmarkEnd w:id="91"/>
    <w:p>
      <w:pPr>
        <w:ind w:left="5200"/>
        <w:spacing w:after="0"/>
        <w:rPr>
          <w:sz w:val="20"/>
          <w:szCs w:val="20"/>
          <w:color w:val="auto"/>
        </w:rPr>
      </w:pPr>
      <w:r>
        <w:rPr>
          <w:rFonts w:ascii="Times New Roman" w:cs="Times New Roman" w:eastAsia="Times New Roman" w:hAnsi="Times New Roman"/>
          <w:sz w:val="18"/>
          <w:szCs w:val="18"/>
          <w:b w:val="1"/>
          <w:bCs w:val="1"/>
          <w:color w:val="auto"/>
        </w:rPr>
        <w:t>ACCEPTED as of the date</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first-above written:</w:t>
      </w: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CANTOR FITZGERALD &amp; CO.</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17145</wp:posOffset>
            </wp:positionV>
            <wp:extent cx="28117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WELLS FARGO SECURITIES, LLC</w:t>
      </w: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17145</wp:posOffset>
            </wp:positionV>
            <wp:extent cx="28117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382905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 OF PLACEMENT NOTICE</w:t>
            </w:r>
          </w:p>
        </w:tc>
      </w:tr>
      <w:tr>
        <w:trPr>
          <w:trHeight w:val="4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1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1100" w:type="dxa"/>
            <w:vAlign w:val="bottom"/>
          </w:tcPr>
          <w:p>
            <w:pPr>
              <w:spacing w:after="0"/>
              <w:rPr>
                <w:sz w:val="18"/>
                <w:szCs w:val="18"/>
                <w:color w:val="auto"/>
              </w:rPr>
            </w:pPr>
          </w:p>
        </w:tc>
        <w:tc>
          <w:tcPr>
            <w:tcW w:w="1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648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Arcturus Therapeutics Holdings Inc.</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Cc:</w:t>
            </w:r>
          </w:p>
        </w:tc>
        <w:tc>
          <w:tcPr>
            <w:tcW w:w="1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648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[Cantor Fitzgerald &amp; Co.] [Wells Fargo Securities, LLC]</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Subject:</w:t>
            </w:r>
          </w:p>
        </w:tc>
        <w:tc>
          <w:tcPr>
            <w:tcW w:w="648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w w:val="99"/>
              </w:rPr>
              <w:t>[Cantor Fitzgerald] [Wells Fargo Securities] —At the Market Offering—Placement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and subject to the conditions contained in the Controlled Equity Offering</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Sales Agreement, dated December [•], 2022 (the</w:t>
      </w:r>
    </w:p>
    <w:p>
      <w:pPr>
        <w:ind w:right="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by and among Arcturus Therapeutics Holdings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Cantor Fitzgerald &amp; Co. and Wells Fargo Securities, LLC, I hereby request on behalf of the Company that the Designated Agent (as defined in the Agreement) sell up to [ ] shares of common stock, $0.001 par value per share, of the Company (the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xml:space="preserve">”), at a minimum market price of $ per share[;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more than [ ] Shares shall be sold in any one Trading Day (as such term is defined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the Agreement)]. Sales should begin [on the date of this Placement Notice] and end on [DATE] [until all Shares that are the subject of this Placement Notice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Agents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to: CFControlledEquityOffering@cantor.com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Wells Fargo Securities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The Company shall pay the Agents compensation in cash equal to 3.0% of the gross proceeds from the sales of Placement Shares pursuant to the terms of this Agreement of which this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xml:space="preserve"> forms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7(l)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 CERTIFICATE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Joseph Payne, the duly qualified and elected Chief Executive Officer of Arcturus Therapeutics Holdings Inc., a Delaware corporation (the</w:t>
      </w:r>
    </w:p>
    <w:p>
      <w:pPr>
        <w:spacing w:after="0" w:line="27"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xml:space="preserve">”), and Andrew Sassine, the duly qualified and elected Chief Financial Officer of the Company, does hereby certify in his respective capacity and on behalf of the Company,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of the Controlled Equity Offering</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Sales Agreement, dated December [•], 2022 (the “</w:t>
      </w:r>
      <w:r>
        <w:rPr>
          <w:rFonts w:ascii="Times New Roman" w:cs="Times New Roman" w:eastAsia="Times New Roman" w:hAnsi="Times New Roman"/>
          <w:sz w:val="18"/>
          <w:szCs w:val="18"/>
          <w:b w:val="1"/>
          <w:bCs w:val="1"/>
          <w:u w:val="single" w:color="auto"/>
          <w:color w:val="auto"/>
        </w:rPr>
        <w:t>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by and between the Company, Cantor Fitzgerald &amp; Co. and Wells Fargo Securities, LLC, that, after due inquiry, to the best of the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undersigned:</w:t>
      </w:r>
    </w:p>
    <w:p>
      <w:pPr>
        <w:spacing w:after="0" w:line="199" w:lineRule="exact"/>
        <w:rPr>
          <w:sz w:val="20"/>
          <w:szCs w:val="20"/>
          <w:color w:val="auto"/>
        </w:rPr>
      </w:pPr>
    </w:p>
    <w:p>
      <w:pPr>
        <w:ind w:right="60" w:firstLine="656"/>
        <w:spacing w:after="0" w:line="258" w:lineRule="auto"/>
        <w:tabs>
          <w:tab w:leader="none" w:pos="112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and (B) to the extent such representations and warranties are not subject to any qualifications or exceptions relating to materiality or Material Adverse Effect, are true and correct in all material respects as of the date hereof as if made on and as of the date hereof with the same force and effect as if expressly made on and as of the date hereof.</w:t>
      </w:r>
    </w:p>
    <w:p>
      <w:pPr>
        <w:spacing w:after="0" w:line="183" w:lineRule="exact"/>
        <w:rPr>
          <w:rFonts w:ascii="Times New Roman" w:cs="Times New Roman" w:eastAsia="Times New Roman" w:hAnsi="Times New Roman"/>
          <w:sz w:val="18"/>
          <w:szCs w:val="18"/>
          <w:color w:val="auto"/>
        </w:rPr>
      </w:pPr>
    </w:p>
    <w:p>
      <w:pPr>
        <w:ind w:right="260" w:firstLine="656"/>
        <w:spacing w:after="0" w:line="282" w:lineRule="auto"/>
        <w:tabs>
          <w:tab w:leader="none" w:pos="117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agreements and satisfied all conditions on its part to be performed or satisfied pursuant to the Sales Agreement at or prior to the date hereof.</w:t>
      </w:r>
    </w:p>
    <w:p>
      <w:pPr>
        <w:spacing w:after="0" w:line="161" w:lineRule="exact"/>
        <w:rPr>
          <w:rFonts w:ascii="Times New Roman" w:cs="Times New Roman" w:eastAsia="Times New Roman" w:hAnsi="Times New Roman"/>
          <w:sz w:val="18"/>
          <w:szCs w:val="18"/>
          <w:color w:val="auto"/>
        </w:rPr>
      </w:pPr>
    </w:p>
    <w:p>
      <w:pPr>
        <w:ind w:right="40" w:firstLine="656"/>
        <w:spacing w:after="0" w:line="255" w:lineRule="auto"/>
        <w:tabs>
          <w:tab w:leader="none" w:pos="122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 the Registration Statement complies in all material respects with the requirements of the Securities Act and does not contain any untrue statement of a material fact or omit to state a material fact required to be stated therein or necessary in order to make the statements therein not misleading, (B) the Prospectus complies in all material respects with the requirements of the Securities Act does not contain any untrue statement of a material fact or omit to state a material fact required to be stated therein or necessary in order to make the statements therein, in light of the circumstances under which they were made, not misleading and (C) no event has occurred as a result of which it is necessary to amend or supplement the Registration Statement or the Prospectus in order to make the statements therein not untrue or misleading or for clauses (A) and (B) above, to be true and correct.</w:t>
      </w:r>
    </w:p>
    <w:p>
      <w:pPr>
        <w:spacing w:after="0" w:line="188" w:lineRule="exact"/>
        <w:rPr>
          <w:rFonts w:ascii="Times New Roman" w:cs="Times New Roman" w:eastAsia="Times New Roman" w:hAnsi="Times New Roman"/>
          <w:sz w:val="18"/>
          <w:szCs w:val="18"/>
          <w:color w:val="auto"/>
        </w:rPr>
      </w:pPr>
    </w:p>
    <w:p>
      <w:pPr>
        <w:ind w:right="80" w:firstLine="656"/>
        <w:spacing w:after="0" w:line="261" w:lineRule="auto"/>
        <w:tabs>
          <w:tab w:leader="none" w:pos="121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since the date as of which information is given in the Prospectus, as amended or supplemented to the date hereof.</w:t>
      </w:r>
    </w:p>
    <w:p>
      <w:pPr>
        <w:spacing w:after="0" w:line="179"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possess any material non-public information.</w:t>
      </w:r>
    </w:p>
    <w:p>
      <w:pPr>
        <w:spacing w:after="0" w:line="225" w:lineRule="exact"/>
        <w:rPr>
          <w:rFonts w:ascii="Times New Roman" w:cs="Times New Roman" w:eastAsia="Times New Roman" w:hAnsi="Times New Roman"/>
          <w:sz w:val="18"/>
          <w:szCs w:val="18"/>
          <w:color w:val="auto"/>
        </w:rPr>
      </w:pPr>
    </w:p>
    <w:p>
      <w:pPr>
        <w:ind w:right="60" w:firstLine="656"/>
        <w:spacing w:after="0" w:line="266" w:lineRule="auto"/>
        <w:tabs>
          <w:tab w:leader="none" w:pos="121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of Placement Shares that may be sold pursuant to the Sales Agreement has been duly authorized by the Company’s board of directors or a duly authorized committee thereof pursuant to a resolution or unanimous written consent in accordance with the Company’s amended and restated articles of incorporation, amended and restated bylaws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ascribed to them in the Sales Agreement.</w:t>
      </w:r>
    </w:p>
    <w:p>
      <w:pPr>
        <w:spacing w:after="0" w:line="225"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Dentons US LLP and Goodwin Procter LLP are entitled to rely on this certificate in connection with the respective opinions such firms are rendering pursuant to the Sales Agreement. Capitalized terms used but not defined herein shall have the meanings ascribed to them in the Sales Agreement.</w:t>
      </w:r>
    </w:p>
    <w:p>
      <w:pPr>
        <w:spacing w:after="0" w:line="14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undersigned, in such individual’s respective capacity as Chief Executive Officer or Chief Financial Officer of the Company, has executed this Officers’ Certificate on behalf of the Company.</w:t>
      </w:r>
    </w:p>
    <w:p>
      <w:pPr>
        <w:spacing w:after="0" w:line="1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 Joseph Payne</w:t>
      </w:r>
    </w:p>
    <w:p>
      <w:pPr>
        <w:spacing w:after="0" w:line="2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2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 Andrew Sassine</w:t>
      </w:r>
    </w:p>
    <w:p>
      <w:pPr>
        <w:spacing w:after="0" w:line="2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21</w:t>
      </w: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PERMITTED FREE WRITING PROSPECTUS</w:t>
      </w:r>
    </w:p>
    <w:p>
      <w:pPr>
        <w:sectPr>
          <w:pgSz w:w="11900" w:h="16838" w:orient="portrait"/>
          <w:cols w:equalWidth="0" w:num="1">
            <w:col w:w="10120"/>
          </w:cols>
          <w:pgMar w:left="1440" w:top="792"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7640" w:type="dxa"/>
            <w:vAlign w:val="bottom"/>
            <w:gridSpan w:val="3"/>
          </w:tcPr>
          <w:p>
            <w:pPr>
              <w:jc w:val="center"/>
              <w:ind w:left="3530"/>
              <w:spacing w:after="0"/>
              <w:rPr>
                <w:sz w:val="20"/>
                <w:szCs w:val="20"/>
                <w:color w:val="auto"/>
              </w:rPr>
            </w:pPr>
            <w:r>
              <w:rPr>
                <w:rFonts w:ascii="Times New Roman" w:cs="Times New Roman" w:eastAsia="Times New Roman" w:hAnsi="Times New Roman"/>
                <w:sz w:val="18"/>
                <w:szCs w:val="18"/>
                <w:b w:val="1"/>
                <w:bCs w:val="1"/>
                <w:color w:val="auto"/>
                <w:w w:val="99"/>
              </w:rPr>
              <w:t>ARCTURUS THERAPEUTICS HOLDINGS INC.</w:t>
            </w:r>
          </w:p>
        </w:tc>
        <w:tc>
          <w:tcPr>
            <w:tcW w:w="3600" w:type="dxa"/>
            <w:vAlign w:val="bottom"/>
          </w:tcPr>
          <w:p>
            <w:pPr>
              <w:spacing w:after="0"/>
              <w:rPr>
                <w:sz w:val="20"/>
                <w:szCs w:val="20"/>
                <w:color w:val="auto"/>
              </w:rPr>
            </w:pPr>
          </w:p>
        </w:tc>
      </w:tr>
      <w:tr>
        <w:trPr>
          <w:trHeight w:val="432"/>
        </w:trPr>
        <w:tc>
          <w:tcPr>
            <w:tcW w:w="764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3600" w:type="dxa"/>
            <w:vAlign w:val="bottom"/>
          </w:tcPr>
          <w:p>
            <w:pPr>
              <w:spacing w:after="0"/>
              <w:rPr>
                <w:sz w:val="24"/>
                <w:szCs w:val="24"/>
                <w:color w:val="auto"/>
              </w:rPr>
            </w:pPr>
          </w:p>
        </w:tc>
      </w:tr>
      <w:tr>
        <w:trPr>
          <w:trHeight w:val="432"/>
        </w:trPr>
        <w:tc>
          <w:tcPr>
            <w:tcW w:w="5400" w:type="dxa"/>
            <w:vAlign w:val="bottom"/>
          </w:tcPr>
          <w:p>
            <w:pPr>
              <w:spacing w:after="0"/>
              <w:rPr>
                <w:sz w:val="24"/>
                <w:szCs w:val="24"/>
                <w:color w:val="auto"/>
              </w:rPr>
            </w:pPr>
          </w:p>
        </w:tc>
        <w:tc>
          <w:tcPr>
            <w:tcW w:w="224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AND</w:t>
            </w:r>
          </w:p>
        </w:tc>
        <w:tc>
          <w:tcPr>
            <w:tcW w:w="3600" w:type="dxa"/>
            <w:vAlign w:val="bottom"/>
          </w:tcPr>
          <w:p>
            <w:pPr>
              <w:spacing w:after="0"/>
              <w:rPr>
                <w:sz w:val="24"/>
                <w:szCs w:val="24"/>
                <w:color w:val="auto"/>
              </w:rPr>
            </w:pPr>
          </w:p>
        </w:tc>
      </w:tr>
      <w:tr>
        <w:trPr>
          <w:trHeight w:val="432"/>
        </w:trPr>
        <w:tc>
          <w:tcPr>
            <w:tcW w:w="7640" w:type="dxa"/>
            <w:vAlign w:val="bottom"/>
            <w:gridSpan w:val="3"/>
          </w:tcPr>
          <w:p>
            <w:pPr>
              <w:jc w:val="center"/>
              <w:ind w:left="3530"/>
              <w:spacing w:after="0"/>
              <w:rPr>
                <w:sz w:val="20"/>
                <w:szCs w:val="20"/>
                <w:color w:val="auto"/>
              </w:rPr>
            </w:pPr>
            <w:r>
              <w:rPr>
                <w:rFonts w:ascii="Times New Roman" w:cs="Times New Roman" w:eastAsia="Times New Roman" w:hAnsi="Times New Roman"/>
                <w:sz w:val="18"/>
                <w:szCs w:val="18"/>
                <w:b w:val="1"/>
                <w:bCs w:val="1"/>
                <w:color w:val="auto"/>
                <w:w w:val="98"/>
              </w:rPr>
              <w:t>as Trustee</w:t>
            </w:r>
          </w:p>
        </w:tc>
        <w:tc>
          <w:tcPr>
            <w:tcW w:w="3600" w:type="dxa"/>
            <w:vAlign w:val="bottom"/>
          </w:tcPr>
          <w:p>
            <w:pPr>
              <w:spacing w:after="0"/>
              <w:rPr>
                <w:sz w:val="24"/>
                <w:szCs w:val="24"/>
                <w:color w:val="auto"/>
              </w:rPr>
            </w:pPr>
          </w:p>
        </w:tc>
      </w:tr>
      <w:tr>
        <w:trPr>
          <w:trHeight w:val="432"/>
        </w:trPr>
        <w:tc>
          <w:tcPr>
            <w:tcW w:w="764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INDENTURE</w:t>
            </w:r>
          </w:p>
        </w:tc>
        <w:tc>
          <w:tcPr>
            <w:tcW w:w="3600" w:type="dxa"/>
            <w:vAlign w:val="bottom"/>
          </w:tcPr>
          <w:p>
            <w:pPr>
              <w:spacing w:after="0"/>
              <w:rPr>
                <w:sz w:val="24"/>
                <w:szCs w:val="24"/>
                <w:color w:val="auto"/>
              </w:rPr>
            </w:pPr>
          </w:p>
        </w:tc>
      </w:tr>
      <w:tr>
        <w:trPr>
          <w:trHeight w:val="432"/>
        </w:trPr>
        <w:tc>
          <w:tcPr>
            <w:tcW w:w="764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rPr>
              <w:t>Dated as of , 2022</w:t>
            </w:r>
          </w:p>
        </w:tc>
        <w:tc>
          <w:tcPr>
            <w:tcW w:w="3600" w:type="dxa"/>
            <w:vAlign w:val="bottom"/>
          </w:tcPr>
          <w:p>
            <w:pPr>
              <w:spacing w:after="0"/>
              <w:rPr>
                <w:sz w:val="24"/>
                <w:szCs w:val="24"/>
                <w:color w:val="auto"/>
              </w:rPr>
            </w:pPr>
          </w:p>
        </w:tc>
      </w:tr>
      <w:tr>
        <w:trPr>
          <w:trHeight w:val="432"/>
        </w:trPr>
        <w:tc>
          <w:tcPr>
            <w:tcW w:w="764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Debt Securities</w:t>
            </w:r>
          </w:p>
        </w:tc>
        <w:tc>
          <w:tcPr>
            <w:tcW w:w="3600" w:type="dxa"/>
            <w:vAlign w:val="bottom"/>
          </w:tcPr>
          <w:p>
            <w:pPr>
              <w:spacing w:after="0"/>
              <w:rPr>
                <w:sz w:val="24"/>
                <w:szCs w:val="24"/>
                <w:color w:val="auto"/>
              </w:rPr>
            </w:pPr>
          </w:p>
        </w:tc>
      </w:tr>
      <w:tr>
        <w:trPr>
          <w:trHeight w:val="432"/>
        </w:trPr>
        <w:tc>
          <w:tcPr>
            <w:tcW w:w="7640" w:type="dxa"/>
            <w:vAlign w:val="bottom"/>
            <w:gridSpan w:val="3"/>
          </w:tcPr>
          <w:p>
            <w:pPr>
              <w:jc w:val="center"/>
              <w:ind w:left="3530"/>
              <w:spacing w:after="0"/>
              <w:rPr>
                <w:sz w:val="20"/>
                <w:szCs w:val="20"/>
                <w:color w:val="auto"/>
              </w:rPr>
            </w:pPr>
            <w:r>
              <w:rPr>
                <w:rFonts w:ascii="Times New Roman" w:cs="Times New Roman" w:eastAsia="Times New Roman" w:hAnsi="Times New Roman"/>
                <w:sz w:val="18"/>
                <w:szCs w:val="18"/>
                <w:b w:val="1"/>
                <w:bCs w:val="1"/>
                <w:color w:val="auto"/>
                <w:w w:val="99"/>
              </w:rPr>
              <w:t>CROSS-REFERENCE TABLE(1)</w:t>
            </w:r>
          </w:p>
        </w:tc>
        <w:tc>
          <w:tcPr>
            <w:tcW w:w="3600" w:type="dxa"/>
            <w:vAlign w:val="bottom"/>
          </w:tcPr>
          <w:p>
            <w:pPr>
              <w:spacing w:after="0"/>
              <w:rPr>
                <w:sz w:val="24"/>
                <w:szCs w:val="24"/>
                <w:color w:val="auto"/>
              </w:rPr>
            </w:pPr>
          </w:p>
        </w:tc>
      </w:tr>
      <w:tr>
        <w:trPr>
          <w:trHeight w:val="432"/>
        </w:trPr>
        <w:tc>
          <w:tcPr>
            <w:tcW w:w="7640" w:type="dxa"/>
            <w:vAlign w:val="bottom"/>
            <w:gridSpan w:val="3"/>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9"/>
              </w:rPr>
              <w:t>SECTION OF</w:t>
            </w:r>
          </w:p>
        </w:tc>
        <w:tc>
          <w:tcPr>
            <w:tcW w:w="3600" w:type="dxa"/>
            <w:vAlign w:val="bottom"/>
          </w:tcPr>
          <w:p>
            <w:pPr>
              <w:spacing w:after="0"/>
              <w:rPr>
                <w:sz w:val="24"/>
                <w:szCs w:val="24"/>
                <w:color w:val="auto"/>
              </w:rPr>
            </w:pPr>
          </w:p>
        </w:tc>
      </w:tr>
      <w:tr>
        <w:trPr>
          <w:trHeight w:val="432"/>
        </w:trPr>
        <w:tc>
          <w:tcPr>
            <w:tcW w:w="7640" w:type="dxa"/>
            <w:vAlign w:val="bottom"/>
            <w:gridSpan w:val="3"/>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TRUST INDENTURE</w:t>
            </w:r>
          </w:p>
        </w:tc>
        <w:tc>
          <w:tcPr>
            <w:tcW w:w="360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w w:val="99"/>
              </w:rPr>
              <w:t>SECTION(S) OF</w:t>
            </w:r>
          </w:p>
        </w:tc>
      </w:tr>
      <w:tr>
        <w:trPr>
          <w:trHeight w:val="432"/>
        </w:trPr>
        <w:tc>
          <w:tcPr>
            <w:tcW w:w="7640" w:type="dxa"/>
            <w:vAlign w:val="bottom"/>
            <w:gridSpan w:val="3"/>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ACT OF 1939, AS AMENDED</w:t>
            </w:r>
          </w:p>
        </w:tc>
        <w:tc>
          <w:tcPr>
            <w:tcW w:w="360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w w:val="99"/>
              </w:rPr>
              <w:t>INDENTURE</w:t>
            </w:r>
          </w:p>
        </w:tc>
      </w:tr>
      <w:tr>
        <w:trPr>
          <w:trHeight w:val="216"/>
        </w:trPr>
        <w:tc>
          <w:tcPr>
            <w:tcW w:w="5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09"/>
        </w:trPr>
        <w:tc>
          <w:tcPr>
            <w:tcW w:w="5400" w:type="dxa"/>
            <w:vAlign w:val="bottom"/>
            <w:shd w:val="clear" w:color="auto" w:fill="CCEEFF"/>
          </w:tcPr>
          <w:p>
            <w:pPr>
              <w:jc w:val="right"/>
              <w:ind w:right="2370"/>
              <w:spacing w:after="0"/>
              <w:rPr>
                <w:sz w:val="20"/>
                <w:szCs w:val="20"/>
                <w:color w:val="auto"/>
              </w:rPr>
            </w:pPr>
            <w:r>
              <w:rPr>
                <w:rFonts w:ascii="Times New Roman" w:cs="Times New Roman" w:eastAsia="Times New Roman" w:hAnsi="Times New Roman"/>
                <w:sz w:val="18"/>
                <w:szCs w:val="18"/>
                <w:color w:val="auto"/>
              </w:rPr>
              <w:t>310(a)</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ind w:right="203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640" w:type="dxa"/>
            <w:vAlign w:val="bottom"/>
            <w:gridSpan w:val="3"/>
          </w:tcPr>
          <w:p>
            <w:pPr>
              <w:jc w:val="right"/>
              <w:ind w:right="4700"/>
              <w:spacing w:after="0"/>
              <w:rPr>
                <w:sz w:val="20"/>
                <w:szCs w:val="20"/>
                <w:color w:val="auto"/>
              </w:rPr>
            </w:pPr>
            <w:r>
              <w:rPr>
                <w:rFonts w:ascii="Times New Roman" w:cs="Times New Roman" w:eastAsia="Times New Roman" w:hAnsi="Times New Roman"/>
                <w:sz w:val="18"/>
                <w:szCs w:val="18"/>
                <w:color w:val="auto"/>
              </w:rPr>
              <w:t>310(b)</w:t>
            </w:r>
          </w:p>
        </w:tc>
        <w:tc>
          <w:tcPr>
            <w:tcW w:w="3600" w:type="dxa"/>
            <w:vAlign w:val="bottom"/>
          </w:tcPr>
          <w:p>
            <w:pPr>
              <w:jc w:val="center"/>
              <w:ind w:right="203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7640" w:type="dxa"/>
            <w:vAlign w:val="bottom"/>
            <w:gridSpan w:val="3"/>
            <w:shd w:val="clear" w:color="auto" w:fill="CCEEFF"/>
          </w:tcPr>
          <w:p>
            <w:pPr>
              <w:jc w:val="right"/>
              <w:ind w:right="4700"/>
              <w:spacing w:after="0"/>
              <w:rPr>
                <w:sz w:val="20"/>
                <w:szCs w:val="20"/>
                <w:color w:val="auto"/>
              </w:rPr>
            </w:pPr>
            <w:r>
              <w:rPr>
                <w:rFonts w:ascii="Times New Roman" w:cs="Times New Roman" w:eastAsia="Times New Roman" w:hAnsi="Times New Roman"/>
                <w:sz w:val="18"/>
                <w:szCs w:val="18"/>
                <w:color w:val="auto"/>
              </w:rPr>
              <w:t>311(a)</w:t>
            </w:r>
          </w:p>
        </w:tc>
        <w:tc>
          <w:tcPr>
            <w:tcW w:w="3600" w:type="dxa"/>
            <w:vAlign w:val="bottom"/>
            <w:shd w:val="clear" w:color="auto" w:fill="CCEEFF"/>
          </w:tcPr>
          <w:p>
            <w:pPr>
              <w:jc w:val="center"/>
              <w:ind w:right="203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7640" w:type="dxa"/>
            <w:vAlign w:val="bottom"/>
            <w:gridSpan w:val="3"/>
          </w:tcPr>
          <w:p>
            <w:pPr>
              <w:jc w:val="right"/>
              <w:ind w:right="4700"/>
              <w:spacing w:after="0"/>
              <w:rPr>
                <w:sz w:val="20"/>
                <w:szCs w:val="20"/>
                <w:color w:val="auto"/>
              </w:rPr>
            </w:pPr>
            <w:r>
              <w:rPr>
                <w:rFonts w:ascii="Times New Roman" w:cs="Times New Roman" w:eastAsia="Times New Roman" w:hAnsi="Times New Roman"/>
                <w:sz w:val="18"/>
                <w:szCs w:val="18"/>
                <w:color w:val="auto"/>
              </w:rPr>
              <w:t>311(b)</w:t>
            </w:r>
          </w:p>
        </w:tc>
        <w:tc>
          <w:tcPr>
            <w:tcW w:w="3600" w:type="dxa"/>
            <w:vAlign w:val="bottom"/>
          </w:tcPr>
          <w:p>
            <w:pPr>
              <w:jc w:val="center"/>
              <w:ind w:right="203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7640" w:type="dxa"/>
            <w:vAlign w:val="bottom"/>
            <w:gridSpan w:val="3"/>
            <w:shd w:val="clear" w:color="auto" w:fill="CCEEFF"/>
          </w:tcPr>
          <w:p>
            <w:pPr>
              <w:jc w:val="right"/>
              <w:ind w:right="4700"/>
              <w:spacing w:after="0"/>
              <w:rPr>
                <w:sz w:val="20"/>
                <w:szCs w:val="20"/>
                <w:color w:val="auto"/>
              </w:rPr>
            </w:pPr>
            <w:r>
              <w:rPr>
                <w:rFonts w:ascii="Times New Roman" w:cs="Times New Roman" w:eastAsia="Times New Roman" w:hAnsi="Times New Roman"/>
                <w:sz w:val="18"/>
                <w:szCs w:val="18"/>
                <w:color w:val="auto"/>
              </w:rPr>
              <w:t>312(a)</w:t>
            </w:r>
          </w:p>
        </w:tc>
        <w:tc>
          <w:tcPr>
            <w:tcW w:w="3600" w:type="dxa"/>
            <w:vAlign w:val="bottom"/>
            <w:shd w:val="clear" w:color="auto" w:fill="CCEEFF"/>
          </w:tcPr>
          <w:p>
            <w:pPr>
              <w:jc w:val="center"/>
              <w:ind w:right="2050"/>
              <w:spacing w:after="0"/>
              <w:rPr>
                <w:sz w:val="20"/>
                <w:szCs w:val="20"/>
                <w:color w:val="auto"/>
              </w:rPr>
            </w:pPr>
            <w:r>
              <w:rPr>
                <w:rFonts w:ascii="Times New Roman" w:cs="Times New Roman" w:eastAsia="Times New Roman" w:hAnsi="Times New Roman"/>
                <w:sz w:val="18"/>
                <w:szCs w:val="18"/>
                <w:color w:val="auto"/>
                <w:w w:val="99"/>
              </w:rPr>
              <w:t>5.1, 5.2(a)</w:t>
            </w:r>
          </w:p>
        </w:tc>
      </w:tr>
      <w:tr>
        <w:trPr>
          <w:trHeight w:val="216"/>
        </w:trPr>
        <w:tc>
          <w:tcPr>
            <w:tcW w:w="7640" w:type="dxa"/>
            <w:vAlign w:val="bottom"/>
            <w:gridSpan w:val="3"/>
          </w:tcPr>
          <w:p>
            <w:pPr>
              <w:jc w:val="right"/>
              <w:ind w:right="4700"/>
              <w:spacing w:after="0"/>
              <w:rPr>
                <w:sz w:val="20"/>
                <w:szCs w:val="20"/>
                <w:color w:val="auto"/>
              </w:rPr>
            </w:pPr>
            <w:r>
              <w:rPr>
                <w:rFonts w:ascii="Times New Roman" w:cs="Times New Roman" w:eastAsia="Times New Roman" w:hAnsi="Times New Roman"/>
                <w:sz w:val="18"/>
                <w:szCs w:val="18"/>
                <w:color w:val="auto"/>
              </w:rPr>
              <w:t>312(b)</w:t>
            </w:r>
          </w:p>
        </w:tc>
        <w:tc>
          <w:tcPr>
            <w:tcW w:w="3600" w:type="dxa"/>
            <w:vAlign w:val="bottom"/>
          </w:tcPr>
          <w:p>
            <w:pPr>
              <w:jc w:val="center"/>
              <w:ind w:right="2030"/>
              <w:spacing w:after="0"/>
              <w:rPr>
                <w:sz w:val="20"/>
                <w:szCs w:val="20"/>
                <w:color w:val="auto"/>
              </w:rPr>
            </w:pPr>
            <w:r>
              <w:rPr>
                <w:rFonts w:ascii="Times New Roman" w:cs="Times New Roman" w:eastAsia="Times New Roman" w:hAnsi="Times New Roman"/>
                <w:sz w:val="18"/>
                <w:szCs w:val="18"/>
                <w:color w:val="auto"/>
              </w:rPr>
              <w:t>5.2(b)</w:t>
            </w:r>
          </w:p>
        </w:tc>
      </w:tr>
      <w:tr>
        <w:trPr>
          <w:trHeight w:val="216"/>
        </w:trPr>
        <w:tc>
          <w:tcPr>
            <w:tcW w:w="7640" w:type="dxa"/>
            <w:vAlign w:val="bottom"/>
            <w:gridSpan w:val="3"/>
            <w:shd w:val="clear" w:color="auto" w:fill="CCEEFF"/>
          </w:tcPr>
          <w:p>
            <w:pPr>
              <w:jc w:val="right"/>
              <w:ind w:right="4700"/>
              <w:spacing w:after="0"/>
              <w:rPr>
                <w:sz w:val="20"/>
                <w:szCs w:val="20"/>
                <w:color w:val="auto"/>
              </w:rPr>
            </w:pPr>
            <w:r>
              <w:rPr>
                <w:rFonts w:ascii="Times New Roman" w:cs="Times New Roman" w:eastAsia="Times New Roman" w:hAnsi="Times New Roman"/>
                <w:sz w:val="18"/>
                <w:szCs w:val="18"/>
                <w:color w:val="auto"/>
              </w:rPr>
              <w:t>312(c)</w:t>
            </w:r>
          </w:p>
        </w:tc>
        <w:tc>
          <w:tcPr>
            <w:tcW w:w="3600" w:type="dxa"/>
            <w:vAlign w:val="bottom"/>
            <w:shd w:val="clear" w:color="auto" w:fill="CCEEFF"/>
          </w:tcPr>
          <w:p>
            <w:pPr>
              <w:jc w:val="center"/>
              <w:ind w:right="2030"/>
              <w:spacing w:after="0"/>
              <w:rPr>
                <w:sz w:val="20"/>
                <w:szCs w:val="20"/>
                <w:color w:val="auto"/>
              </w:rPr>
            </w:pPr>
            <w:r>
              <w:rPr>
                <w:rFonts w:ascii="Times New Roman" w:cs="Times New Roman" w:eastAsia="Times New Roman" w:hAnsi="Times New Roman"/>
                <w:sz w:val="18"/>
                <w:szCs w:val="18"/>
                <w:color w:val="auto"/>
              </w:rPr>
              <w:t>5.2(c)</w:t>
            </w:r>
          </w:p>
        </w:tc>
      </w:tr>
      <w:tr>
        <w:trPr>
          <w:trHeight w:val="216"/>
        </w:trPr>
        <w:tc>
          <w:tcPr>
            <w:tcW w:w="7640" w:type="dxa"/>
            <w:vAlign w:val="bottom"/>
            <w:gridSpan w:val="3"/>
          </w:tcPr>
          <w:p>
            <w:pPr>
              <w:jc w:val="right"/>
              <w:ind w:right="4700"/>
              <w:spacing w:after="0"/>
              <w:rPr>
                <w:sz w:val="20"/>
                <w:szCs w:val="20"/>
                <w:color w:val="auto"/>
              </w:rPr>
            </w:pPr>
            <w:r>
              <w:rPr>
                <w:rFonts w:ascii="Times New Roman" w:cs="Times New Roman" w:eastAsia="Times New Roman" w:hAnsi="Times New Roman"/>
                <w:sz w:val="18"/>
                <w:szCs w:val="18"/>
                <w:color w:val="auto"/>
              </w:rPr>
              <w:t>313(a)</w:t>
            </w:r>
          </w:p>
        </w:tc>
        <w:tc>
          <w:tcPr>
            <w:tcW w:w="3600" w:type="dxa"/>
            <w:vAlign w:val="bottom"/>
          </w:tcPr>
          <w:p>
            <w:pPr>
              <w:jc w:val="center"/>
              <w:ind w:right="203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40" w:type="dxa"/>
            <w:vAlign w:val="bottom"/>
            <w:gridSpan w:val="3"/>
            <w:shd w:val="clear" w:color="auto" w:fill="CCEEFF"/>
          </w:tcPr>
          <w:p>
            <w:pPr>
              <w:jc w:val="right"/>
              <w:ind w:right="4700"/>
              <w:spacing w:after="0"/>
              <w:rPr>
                <w:sz w:val="20"/>
                <w:szCs w:val="20"/>
                <w:color w:val="auto"/>
              </w:rPr>
            </w:pPr>
            <w:r>
              <w:rPr>
                <w:rFonts w:ascii="Times New Roman" w:cs="Times New Roman" w:eastAsia="Times New Roman" w:hAnsi="Times New Roman"/>
                <w:sz w:val="18"/>
                <w:szCs w:val="18"/>
                <w:color w:val="auto"/>
              </w:rPr>
              <w:t>313(b)</w:t>
            </w:r>
          </w:p>
        </w:tc>
        <w:tc>
          <w:tcPr>
            <w:tcW w:w="3600" w:type="dxa"/>
            <w:vAlign w:val="bottom"/>
            <w:shd w:val="clear" w:color="auto" w:fill="CCEEFF"/>
          </w:tcPr>
          <w:p>
            <w:pPr>
              <w:jc w:val="center"/>
              <w:ind w:right="203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40" w:type="dxa"/>
            <w:vAlign w:val="bottom"/>
            <w:gridSpan w:val="3"/>
          </w:tcPr>
          <w:p>
            <w:pPr>
              <w:jc w:val="right"/>
              <w:ind w:right="4700"/>
              <w:spacing w:after="0"/>
              <w:rPr>
                <w:sz w:val="20"/>
                <w:szCs w:val="20"/>
                <w:color w:val="auto"/>
              </w:rPr>
            </w:pPr>
            <w:r>
              <w:rPr>
                <w:rFonts w:ascii="Times New Roman" w:cs="Times New Roman" w:eastAsia="Times New Roman" w:hAnsi="Times New Roman"/>
                <w:sz w:val="18"/>
                <w:szCs w:val="18"/>
                <w:color w:val="auto"/>
              </w:rPr>
              <w:t>313(c)</w:t>
            </w:r>
          </w:p>
        </w:tc>
        <w:tc>
          <w:tcPr>
            <w:tcW w:w="3600" w:type="dxa"/>
            <w:vAlign w:val="bottom"/>
          </w:tcPr>
          <w:p>
            <w:pPr>
              <w:jc w:val="center"/>
              <w:ind w:right="203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40" w:type="dxa"/>
            <w:vAlign w:val="bottom"/>
            <w:gridSpan w:val="3"/>
            <w:shd w:val="clear" w:color="auto" w:fill="CCEEFF"/>
          </w:tcPr>
          <w:p>
            <w:pPr>
              <w:jc w:val="right"/>
              <w:ind w:right="4700"/>
              <w:spacing w:after="0"/>
              <w:rPr>
                <w:sz w:val="20"/>
                <w:szCs w:val="20"/>
                <w:color w:val="auto"/>
              </w:rPr>
            </w:pPr>
            <w:r>
              <w:rPr>
                <w:rFonts w:ascii="Times New Roman" w:cs="Times New Roman" w:eastAsia="Times New Roman" w:hAnsi="Times New Roman"/>
                <w:sz w:val="18"/>
                <w:szCs w:val="18"/>
                <w:color w:val="auto"/>
              </w:rPr>
              <w:t>313(d)</w:t>
            </w:r>
          </w:p>
        </w:tc>
        <w:tc>
          <w:tcPr>
            <w:tcW w:w="3600" w:type="dxa"/>
            <w:vAlign w:val="bottom"/>
            <w:shd w:val="clear" w:color="auto" w:fill="CCEEFF"/>
          </w:tcPr>
          <w:p>
            <w:pPr>
              <w:jc w:val="center"/>
              <w:ind w:right="203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40" w:type="dxa"/>
            <w:vAlign w:val="bottom"/>
            <w:gridSpan w:val="3"/>
          </w:tcPr>
          <w:p>
            <w:pPr>
              <w:jc w:val="right"/>
              <w:ind w:right="4700"/>
              <w:spacing w:after="0"/>
              <w:rPr>
                <w:sz w:val="20"/>
                <w:szCs w:val="20"/>
                <w:color w:val="auto"/>
              </w:rPr>
            </w:pPr>
            <w:r>
              <w:rPr>
                <w:rFonts w:ascii="Times New Roman" w:cs="Times New Roman" w:eastAsia="Times New Roman" w:hAnsi="Times New Roman"/>
                <w:sz w:val="18"/>
                <w:szCs w:val="18"/>
                <w:color w:val="auto"/>
              </w:rPr>
              <w:t>314(a)</w:t>
            </w:r>
          </w:p>
        </w:tc>
        <w:tc>
          <w:tcPr>
            <w:tcW w:w="3600" w:type="dxa"/>
            <w:vAlign w:val="bottom"/>
          </w:tcPr>
          <w:p>
            <w:pPr>
              <w:jc w:val="center"/>
              <w:ind w:right="2030"/>
              <w:spacing w:after="0"/>
              <w:rPr>
                <w:sz w:val="20"/>
                <w:szCs w:val="20"/>
                <w:color w:val="auto"/>
              </w:rPr>
            </w:pPr>
            <w:r>
              <w:rPr>
                <w:rFonts w:ascii="Times New Roman" w:cs="Times New Roman" w:eastAsia="Times New Roman" w:hAnsi="Times New Roman"/>
                <w:sz w:val="18"/>
                <w:szCs w:val="18"/>
                <w:color w:val="auto"/>
                <w:w w:val="99"/>
              </w:rPr>
              <w:t>5.3, 14.12</w:t>
            </w:r>
          </w:p>
        </w:tc>
      </w:tr>
      <w:tr>
        <w:trPr>
          <w:trHeight w:val="216"/>
        </w:trPr>
        <w:tc>
          <w:tcPr>
            <w:tcW w:w="7640" w:type="dxa"/>
            <w:vAlign w:val="bottom"/>
            <w:gridSpan w:val="3"/>
            <w:shd w:val="clear" w:color="auto" w:fill="CCEEFF"/>
          </w:tcPr>
          <w:p>
            <w:pPr>
              <w:jc w:val="right"/>
              <w:ind w:right="4700"/>
              <w:spacing w:after="0"/>
              <w:rPr>
                <w:sz w:val="20"/>
                <w:szCs w:val="20"/>
                <w:color w:val="auto"/>
              </w:rPr>
            </w:pPr>
            <w:r>
              <w:rPr>
                <w:rFonts w:ascii="Times New Roman" w:cs="Times New Roman" w:eastAsia="Times New Roman" w:hAnsi="Times New Roman"/>
                <w:sz w:val="18"/>
                <w:szCs w:val="18"/>
                <w:color w:val="auto"/>
              </w:rPr>
              <w:t>314(c)</w:t>
            </w:r>
          </w:p>
        </w:tc>
        <w:tc>
          <w:tcPr>
            <w:tcW w:w="3600" w:type="dxa"/>
            <w:vAlign w:val="bottom"/>
            <w:shd w:val="clear" w:color="auto" w:fill="CCEEFF"/>
          </w:tcPr>
          <w:p>
            <w:pPr>
              <w:jc w:val="center"/>
              <w:ind w:right="2030"/>
              <w:spacing w:after="0"/>
              <w:rPr>
                <w:sz w:val="20"/>
                <w:szCs w:val="20"/>
                <w:color w:val="auto"/>
              </w:rPr>
            </w:pPr>
            <w:r>
              <w:rPr>
                <w:rFonts w:ascii="Times New Roman" w:cs="Times New Roman" w:eastAsia="Times New Roman" w:hAnsi="Times New Roman"/>
                <w:sz w:val="18"/>
                <w:szCs w:val="18"/>
                <w:color w:val="auto"/>
              </w:rPr>
              <w:t>14.7(a)</w:t>
            </w:r>
          </w:p>
        </w:tc>
      </w:tr>
      <w:tr>
        <w:trPr>
          <w:trHeight w:val="216"/>
        </w:trPr>
        <w:tc>
          <w:tcPr>
            <w:tcW w:w="7640" w:type="dxa"/>
            <w:vAlign w:val="bottom"/>
            <w:gridSpan w:val="3"/>
          </w:tcPr>
          <w:p>
            <w:pPr>
              <w:jc w:val="right"/>
              <w:ind w:right="4700"/>
              <w:spacing w:after="0"/>
              <w:rPr>
                <w:sz w:val="20"/>
                <w:szCs w:val="20"/>
                <w:color w:val="auto"/>
              </w:rPr>
            </w:pPr>
            <w:r>
              <w:rPr>
                <w:rFonts w:ascii="Times New Roman" w:cs="Times New Roman" w:eastAsia="Times New Roman" w:hAnsi="Times New Roman"/>
                <w:sz w:val="18"/>
                <w:szCs w:val="18"/>
                <w:color w:val="auto"/>
              </w:rPr>
              <w:t>314(e)</w:t>
            </w:r>
          </w:p>
        </w:tc>
        <w:tc>
          <w:tcPr>
            <w:tcW w:w="3600" w:type="dxa"/>
            <w:vAlign w:val="bottom"/>
          </w:tcPr>
          <w:p>
            <w:pPr>
              <w:jc w:val="center"/>
              <w:ind w:right="2030"/>
              <w:spacing w:after="0"/>
              <w:rPr>
                <w:sz w:val="20"/>
                <w:szCs w:val="20"/>
                <w:color w:val="auto"/>
              </w:rPr>
            </w:pPr>
            <w:r>
              <w:rPr>
                <w:rFonts w:ascii="Times New Roman" w:cs="Times New Roman" w:eastAsia="Times New Roman" w:hAnsi="Times New Roman"/>
                <w:sz w:val="18"/>
                <w:szCs w:val="18"/>
                <w:color w:val="auto"/>
                <w:w w:val="98"/>
              </w:rPr>
              <w:t>14.7(b)</w:t>
            </w:r>
          </w:p>
        </w:tc>
      </w:tr>
      <w:tr>
        <w:trPr>
          <w:trHeight w:val="216"/>
        </w:trPr>
        <w:tc>
          <w:tcPr>
            <w:tcW w:w="7640" w:type="dxa"/>
            <w:vAlign w:val="bottom"/>
            <w:gridSpan w:val="3"/>
            <w:shd w:val="clear" w:color="auto" w:fill="CCEEFF"/>
          </w:tcPr>
          <w:p>
            <w:pPr>
              <w:jc w:val="right"/>
              <w:ind w:right="4700"/>
              <w:spacing w:after="0"/>
              <w:rPr>
                <w:sz w:val="20"/>
                <w:szCs w:val="20"/>
                <w:color w:val="auto"/>
              </w:rPr>
            </w:pPr>
            <w:r>
              <w:rPr>
                <w:rFonts w:ascii="Times New Roman" w:cs="Times New Roman" w:eastAsia="Times New Roman" w:hAnsi="Times New Roman"/>
                <w:sz w:val="18"/>
                <w:szCs w:val="18"/>
                <w:color w:val="auto"/>
              </w:rPr>
              <w:t>315(a)</w:t>
            </w:r>
          </w:p>
        </w:tc>
        <w:tc>
          <w:tcPr>
            <w:tcW w:w="3600" w:type="dxa"/>
            <w:vAlign w:val="bottom"/>
            <w:shd w:val="clear" w:color="auto" w:fill="CCEEFF"/>
          </w:tcPr>
          <w:p>
            <w:pPr>
              <w:jc w:val="center"/>
              <w:ind w:right="203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40" w:type="dxa"/>
            <w:vAlign w:val="bottom"/>
            <w:gridSpan w:val="3"/>
          </w:tcPr>
          <w:p>
            <w:pPr>
              <w:jc w:val="right"/>
              <w:ind w:right="4700"/>
              <w:spacing w:after="0"/>
              <w:rPr>
                <w:sz w:val="20"/>
                <w:szCs w:val="20"/>
                <w:color w:val="auto"/>
              </w:rPr>
            </w:pPr>
            <w:r>
              <w:rPr>
                <w:rFonts w:ascii="Times New Roman" w:cs="Times New Roman" w:eastAsia="Times New Roman" w:hAnsi="Times New Roman"/>
                <w:sz w:val="18"/>
                <w:szCs w:val="18"/>
                <w:color w:val="auto"/>
              </w:rPr>
              <w:t>315(b)</w:t>
            </w:r>
          </w:p>
        </w:tc>
        <w:tc>
          <w:tcPr>
            <w:tcW w:w="3600" w:type="dxa"/>
            <w:vAlign w:val="bottom"/>
          </w:tcPr>
          <w:p>
            <w:pPr>
              <w:jc w:val="center"/>
              <w:ind w:right="203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7640" w:type="dxa"/>
            <w:vAlign w:val="bottom"/>
            <w:gridSpan w:val="3"/>
            <w:shd w:val="clear" w:color="auto" w:fill="CCEEFF"/>
          </w:tcPr>
          <w:p>
            <w:pPr>
              <w:jc w:val="right"/>
              <w:ind w:right="4700"/>
              <w:spacing w:after="0"/>
              <w:rPr>
                <w:sz w:val="20"/>
                <w:szCs w:val="20"/>
                <w:color w:val="auto"/>
              </w:rPr>
            </w:pPr>
            <w:r>
              <w:rPr>
                <w:rFonts w:ascii="Times New Roman" w:cs="Times New Roman" w:eastAsia="Times New Roman" w:hAnsi="Times New Roman"/>
                <w:sz w:val="18"/>
                <w:szCs w:val="18"/>
                <w:color w:val="auto"/>
              </w:rPr>
              <w:t>315(c)</w:t>
            </w:r>
          </w:p>
        </w:tc>
        <w:tc>
          <w:tcPr>
            <w:tcW w:w="3600" w:type="dxa"/>
            <w:vAlign w:val="bottom"/>
            <w:shd w:val="clear" w:color="auto" w:fill="CCEEFF"/>
          </w:tcPr>
          <w:p>
            <w:pPr>
              <w:jc w:val="center"/>
              <w:ind w:right="203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40" w:type="dxa"/>
            <w:vAlign w:val="bottom"/>
            <w:gridSpan w:val="3"/>
          </w:tcPr>
          <w:p>
            <w:pPr>
              <w:jc w:val="right"/>
              <w:ind w:right="4700"/>
              <w:spacing w:after="0"/>
              <w:rPr>
                <w:sz w:val="20"/>
                <w:szCs w:val="20"/>
                <w:color w:val="auto"/>
              </w:rPr>
            </w:pPr>
            <w:r>
              <w:rPr>
                <w:rFonts w:ascii="Times New Roman" w:cs="Times New Roman" w:eastAsia="Times New Roman" w:hAnsi="Times New Roman"/>
                <w:sz w:val="18"/>
                <w:szCs w:val="18"/>
                <w:color w:val="auto"/>
              </w:rPr>
              <w:t>315(d)</w:t>
            </w:r>
          </w:p>
        </w:tc>
        <w:tc>
          <w:tcPr>
            <w:tcW w:w="3600" w:type="dxa"/>
            <w:vAlign w:val="bottom"/>
          </w:tcPr>
          <w:p>
            <w:pPr>
              <w:jc w:val="center"/>
              <w:ind w:right="203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40" w:type="dxa"/>
            <w:vAlign w:val="bottom"/>
            <w:gridSpan w:val="3"/>
            <w:shd w:val="clear" w:color="auto" w:fill="CCEEFF"/>
          </w:tcPr>
          <w:p>
            <w:pPr>
              <w:jc w:val="right"/>
              <w:ind w:right="4700"/>
              <w:spacing w:after="0"/>
              <w:rPr>
                <w:sz w:val="20"/>
                <w:szCs w:val="20"/>
                <w:color w:val="auto"/>
              </w:rPr>
            </w:pPr>
            <w:r>
              <w:rPr>
                <w:rFonts w:ascii="Times New Roman" w:cs="Times New Roman" w:eastAsia="Times New Roman" w:hAnsi="Times New Roman"/>
                <w:sz w:val="18"/>
                <w:szCs w:val="18"/>
                <w:color w:val="auto"/>
              </w:rPr>
              <w:t>315(e)</w:t>
            </w:r>
          </w:p>
        </w:tc>
        <w:tc>
          <w:tcPr>
            <w:tcW w:w="3600" w:type="dxa"/>
            <w:vAlign w:val="bottom"/>
            <w:shd w:val="clear" w:color="auto" w:fill="CCEEFF"/>
          </w:tcPr>
          <w:p>
            <w:pPr>
              <w:jc w:val="center"/>
              <w:ind w:right="203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640" w:type="dxa"/>
            <w:vAlign w:val="bottom"/>
            <w:gridSpan w:val="3"/>
          </w:tcPr>
          <w:p>
            <w:pPr>
              <w:jc w:val="right"/>
              <w:ind w:right="4700"/>
              <w:spacing w:after="0"/>
              <w:rPr>
                <w:sz w:val="20"/>
                <w:szCs w:val="20"/>
                <w:color w:val="auto"/>
              </w:rPr>
            </w:pPr>
            <w:r>
              <w:rPr>
                <w:rFonts w:ascii="Times New Roman" w:cs="Times New Roman" w:eastAsia="Times New Roman" w:hAnsi="Times New Roman"/>
                <w:sz w:val="18"/>
                <w:szCs w:val="18"/>
                <w:color w:val="auto"/>
              </w:rPr>
              <w:t>316(a)</w:t>
            </w:r>
          </w:p>
        </w:tc>
        <w:tc>
          <w:tcPr>
            <w:tcW w:w="360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9"/>
              </w:rPr>
              <w:t>6.6, 8.4</w:t>
            </w:r>
          </w:p>
        </w:tc>
      </w:tr>
      <w:tr>
        <w:trPr>
          <w:trHeight w:val="216"/>
        </w:trPr>
        <w:tc>
          <w:tcPr>
            <w:tcW w:w="7640" w:type="dxa"/>
            <w:vAlign w:val="bottom"/>
            <w:gridSpan w:val="3"/>
            <w:shd w:val="clear" w:color="auto" w:fill="CCEEFF"/>
          </w:tcPr>
          <w:p>
            <w:pPr>
              <w:jc w:val="right"/>
              <w:ind w:right="4700"/>
              <w:spacing w:after="0"/>
              <w:rPr>
                <w:sz w:val="20"/>
                <w:szCs w:val="20"/>
                <w:color w:val="auto"/>
              </w:rPr>
            </w:pPr>
            <w:r>
              <w:rPr>
                <w:rFonts w:ascii="Times New Roman" w:cs="Times New Roman" w:eastAsia="Times New Roman" w:hAnsi="Times New Roman"/>
                <w:sz w:val="18"/>
                <w:szCs w:val="18"/>
                <w:color w:val="auto"/>
              </w:rPr>
              <w:t>316(b)</w:t>
            </w:r>
          </w:p>
        </w:tc>
        <w:tc>
          <w:tcPr>
            <w:tcW w:w="3600" w:type="dxa"/>
            <w:vAlign w:val="bottom"/>
            <w:shd w:val="clear" w:color="auto" w:fill="CCEEFF"/>
          </w:tcPr>
          <w:p>
            <w:pPr>
              <w:jc w:val="center"/>
              <w:ind w:right="203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640" w:type="dxa"/>
            <w:vAlign w:val="bottom"/>
            <w:gridSpan w:val="3"/>
          </w:tcPr>
          <w:p>
            <w:pPr>
              <w:jc w:val="right"/>
              <w:ind w:right="4700"/>
              <w:spacing w:after="0"/>
              <w:rPr>
                <w:sz w:val="20"/>
                <w:szCs w:val="20"/>
                <w:color w:val="auto"/>
              </w:rPr>
            </w:pPr>
            <w:r>
              <w:rPr>
                <w:rFonts w:ascii="Times New Roman" w:cs="Times New Roman" w:eastAsia="Times New Roman" w:hAnsi="Times New Roman"/>
                <w:sz w:val="18"/>
                <w:szCs w:val="18"/>
                <w:color w:val="auto"/>
              </w:rPr>
              <w:t>316(c)</w:t>
            </w:r>
          </w:p>
        </w:tc>
        <w:tc>
          <w:tcPr>
            <w:tcW w:w="3600" w:type="dxa"/>
            <w:vAlign w:val="bottom"/>
          </w:tcPr>
          <w:p>
            <w:pPr>
              <w:jc w:val="center"/>
              <w:ind w:right="203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640" w:type="dxa"/>
            <w:vAlign w:val="bottom"/>
            <w:gridSpan w:val="3"/>
            <w:shd w:val="clear" w:color="auto" w:fill="CCEEFF"/>
          </w:tcPr>
          <w:p>
            <w:pPr>
              <w:jc w:val="right"/>
              <w:ind w:right="4700"/>
              <w:spacing w:after="0"/>
              <w:rPr>
                <w:sz w:val="20"/>
                <w:szCs w:val="20"/>
                <w:color w:val="auto"/>
              </w:rPr>
            </w:pPr>
            <w:r>
              <w:rPr>
                <w:rFonts w:ascii="Times New Roman" w:cs="Times New Roman" w:eastAsia="Times New Roman" w:hAnsi="Times New Roman"/>
                <w:sz w:val="18"/>
                <w:szCs w:val="18"/>
                <w:color w:val="auto"/>
              </w:rPr>
              <w:t>317(a)</w:t>
            </w:r>
          </w:p>
        </w:tc>
        <w:tc>
          <w:tcPr>
            <w:tcW w:w="3600" w:type="dxa"/>
            <w:vAlign w:val="bottom"/>
            <w:shd w:val="clear" w:color="auto" w:fill="CCEEFF"/>
          </w:tcPr>
          <w:p>
            <w:pPr>
              <w:jc w:val="center"/>
              <w:ind w:right="203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640" w:type="dxa"/>
            <w:vAlign w:val="bottom"/>
            <w:gridSpan w:val="3"/>
          </w:tcPr>
          <w:p>
            <w:pPr>
              <w:jc w:val="right"/>
              <w:ind w:right="4700"/>
              <w:spacing w:after="0"/>
              <w:rPr>
                <w:sz w:val="20"/>
                <w:szCs w:val="20"/>
                <w:color w:val="auto"/>
              </w:rPr>
            </w:pPr>
            <w:r>
              <w:rPr>
                <w:rFonts w:ascii="Times New Roman" w:cs="Times New Roman" w:eastAsia="Times New Roman" w:hAnsi="Times New Roman"/>
                <w:sz w:val="18"/>
                <w:szCs w:val="18"/>
                <w:color w:val="auto"/>
              </w:rPr>
              <w:t>317(b)</w:t>
            </w:r>
          </w:p>
        </w:tc>
        <w:tc>
          <w:tcPr>
            <w:tcW w:w="3600" w:type="dxa"/>
            <w:vAlign w:val="bottom"/>
          </w:tcPr>
          <w:p>
            <w:pPr>
              <w:jc w:val="center"/>
              <w:ind w:right="203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640" w:type="dxa"/>
            <w:vAlign w:val="bottom"/>
            <w:gridSpan w:val="3"/>
            <w:shd w:val="clear" w:color="auto" w:fill="CCEEFF"/>
          </w:tcPr>
          <w:p>
            <w:pPr>
              <w:jc w:val="right"/>
              <w:ind w:right="4700"/>
              <w:spacing w:after="0"/>
              <w:rPr>
                <w:sz w:val="20"/>
                <w:szCs w:val="20"/>
                <w:color w:val="auto"/>
              </w:rPr>
            </w:pPr>
            <w:r>
              <w:rPr>
                <w:rFonts w:ascii="Times New Roman" w:cs="Times New Roman" w:eastAsia="Times New Roman" w:hAnsi="Times New Roman"/>
                <w:sz w:val="18"/>
                <w:szCs w:val="18"/>
                <w:color w:val="auto"/>
              </w:rPr>
              <w:t>318(a)</w:t>
            </w:r>
          </w:p>
        </w:tc>
        <w:tc>
          <w:tcPr>
            <w:tcW w:w="3600" w:type="dxa"/>
            <w:vAlign w:val="bottom"/>
            <w:shd w:val="clear" w:color="auto" w:fill="CCEEFF"/>
          </w:tcPr>
          <w:p>
            <w:pPr>
              <w:jc w:val="center"/>
              <w:ind w:right="2030"/>
              <w:spacing w:after="0"/>
              <w:rPr>
                <w:sz w:val="20"/>
                <w:szCs w:val="20"/>
                <w:color w:val="auto"/>
              </w:rPr>
            </w:pPr>
            <w:r>
              <w:rPr>
                <w:rFonts w:ascii="Times New Roman" w:cs="Times New Roman" w:eastAsia="Times New Roman" w:hAnsi="Times New Roman"/>
                <w:sz w:val="18"/>
                <w:szCs w:val="18"/>
                <w:color w:val="auto"/>
              </w:rPr>
              <w:t>14.9</w:t>
            </w:r>
          </w:p>
        </w:tc>
      </w:tr>
    </w:tbl>
    <w:p>
      <w:pPr>
        <w:ind w:left="460" w:hanging="331"/>
        <w:spacing w:after="0" w:line="260"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850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18"/>
                <w:szCs w:val="18"/>
                <w:color w:val="auto"/>
              </w:rPr>
            </w:pPr>
          </w:p>
        </w:tc>
        <w:tc>
          <w:tcPr>
            <w:tcW w:w="8500" w:type="dxa"/>
            <w:vAlign w:val="bottom"/>
            <w:shd w:val="clear" w:color="auto" w:fill="FEFEFE"/>
          </w:tcPr>
          <w:p>
            <w:pPr>
              <w:spacing w:after="0"/>
              <w:rPr>
                <w:sz w:val="18"/>
                <w:szCs w:val="18"/>
                <w:color w:val="auto"/>
              </w:rPr>
            </w:pPr>
          </w:p>
        </w:tc>
        <w:tc>
          <w:tcPr>
            <w:tcW w:w="144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Definitions of Terms.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1.2</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8"/>
                <w:szCs w:val="18"/>
                <w:color w:val="auto"/>
              </w:rPr>
              <w:t>ARTICLE II ISSUE, DESCRIPTION, TERMS, EXECUTION, REGISTRATION AND EXCHANGE OF SECURITIES</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2.1</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Designation and Terms of Securities.</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2.2</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Form of Securities and Trustee’s Certificate.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2.3</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Denominations; Provisions for Payment.</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2.4</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2.5</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Registration of Transfer and Exchange.</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2.6</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Temporary Securities.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2.7</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Mutilated, Destroyed, Lost or Stolen Securities.</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2.8</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Cancellation.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2.9</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Benefits of Indenture.</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2.10</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Authenticating Agent.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2.11</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Global Securities.</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2.12</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Cusip and Isin Numbers.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FEFEFE"/>
          </w:tcPr>
          <w:p>
            <w:pPr>
              <w:spacing w:after="0"/>
              <w:rPr>
                <w:sz w:val="18"/>
                <w:szCs w:val="18"/>
                <w:color w:val="auto"/>
              </w:rPr>
            </w:pPr>
          </w:p>
        </w:tc>
        <w:tc>
          <w:tcPr>
            <w:tcW w:w="144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REDEMPTION OF SECURITIES AND SINKING FUND PROVISIONS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18"/>
                <w:szCs w:val="18"/>
                <w:color w:val="auto"/>
              </w:rPr>
            </w:pPr>
          </w:p>
        </w:tc>
        <w:tc>
          <w:tcPr>
            <w:tcW w:w="8500" w:type="dxa"/>
            <w:vAlign w:val="bottom"/>
            <w:shd w:val="clear" w:color="auto" w:fill="FEFEFE"/>
          </w:tcPr>
          <w:p>
            <w:pPr>
              <w:spacing w:after="0"/>
              <w:rPr>
                <w:sz w:val="18"/>
                <w:szCs w:val="18"/>
                <w:color w:val="auto"/>
              </w:rPr>
            </w:pPr>
          </w:p>
        </w:tc>
        <w:tc>
          <w:tcPr>
            <w:tcW w:w="144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Redemption.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3.2</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Notice of Redemption.</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3.3</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Payment upon Redemption.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3.4</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Sinking Fund.</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3.5</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3.6</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4.1</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Paying Agent and Security Registrar.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4.3</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Appointment to Fill Vacancy in Office of Trustee.</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4.4</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Compliance with Consolidation Provisions.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FEFEFE"/>
          </w:tcPr>
          <w:p>
            <w:pPr>
              <w:spacing w:after="0"/>
              <w:rPr>
                <w:sz w:val="18"/>
                <w:szCs w:val="18"/>
                <w:color w:val="auto"/>
              </w:rPr>
            </w:pPr>
          </w:p>
        </w:tc>
        <w:tc>
          <w:tcPr>
            <w:tcW w:w="144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SECURITYHOLDERS’ LISTS AND REPORTS BY THE COMPANY AND THE TRUSTEE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18"/>
                <w:szCs w:val="18"/>
                <w:color w:val="auto"/>
              </w:rPr>
            </w:pPr>
          </w:p>
        </w:tc>
        <w:tc>
          <w:tcPr>
            <w:tcW w:w="8500" w:type="dxa"/>
            <w:vAlign w:val="bottom"/>
            <w:shd w:val="clear" w:color="auto" w:fill="FEFEFE"/>
          </w:tcPr>
          <w:p>
            <w:pPr>
              <w:spacing w:after="0"/>
              <w:rPr>
                <w:sz w:val="18"/>
                <w:szCs w:val="18"/>
                <w:color w:val="auto"/>
              </w:rPr>
            </w:pPr>
          </w:p>
        </w:tc>
        <w:tc>
          <w:tcPr>
            <w:tcW w:w="144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Company to Furnish Trustee Names and Addresses of Securityholders.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5.2</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Preservation of Information; Communications with Securityholders.</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5.3</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Reports by the Company.</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5.4</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Reports by the Trustee.</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REMEDIES OF THE TRUSTEE AND SECURITYHOLDERS ON EVENT OF DEFAULT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18"/>
                <w:szCs w:val="18"/>
                <w:color w:val="auto"/>
              </w:rPr>
            </w:pPr>
          </w:p>
        </w:tc>
        <w:tc>
          <w:tcPr>
            <w:tcW w:w="8500" w:type="dxa"/>
            <w:vAlign w:val="bottom"/>
            <w:shd w:val="clear" w:color="auto" w:fill="FEFEFE"/>
          </w:tcPr>
          <w:p>
            <w:pPr>
              <w:spacing w:after="0"/>
              <w:rPr>
                <w:sz w:val="18"/>
                <w:szCs w:val="18"/>
                <w:color w:val="auto"/>
              </w:rPr>
            </w:pPr>
          </w:p>
        </w:tc>
        <w:tc>
          <w:tcPr>
            <w:tcW w:w="144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Events of Default.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6.2</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6.3</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Application of Moneys Collected.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6.4</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Limitation on Suits.</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6.5</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Rights and Remedies Cumulative; Delay or Omission not Waiver.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6.6</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Control by Securityholders.</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6.7</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Undertaking to Pay Costs.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7"/>
        </w:trPr>
        <w:tc>
          <w:tcPr>
            <w:tcW w:w="130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8" w:right="3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CONCERNING THE TRUSTEE</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Certain Duties and Responsibilities of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7.2</w:t>
            </w: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Trustee not Responsible for Recitals or Issuance or Securities.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7.4</w:t>
            </w: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May Hold Securities and Otherwise Deal with the Company.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Moneys Held in Trust.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7.6</w:t>
            </w: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7.8</w:t>
            </w: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7.12</w:t>
            </w: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7.14</w:t>
            </w: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Notice of Default.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7.15</w:t>
            </w: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Limitation of Liability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CONCERNING THE SECURITYHOLDERS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8.2</w:t>
            </w: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Who may be Deemed Owners.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8.4</w:t>
            </w: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SUPPLEMENTAL INDENTURES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9.2</w:t>
            </w: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Supplemental Indentures with the Consent of Securityholders.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9.4</w:t>
            </w: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9.5</w:t>
            </w: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SUCCESSOR ENTITY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Evidence of Consolidation, etc. To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SATISFACTION AND DISCHARGE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18"/>
                <w:szCs w:val="18"/>
                <w:color w:val="auto"/>
              </w:rPr>
            </w:pPr>
          </w:p>
        </w:tc>
        <w:tc>
          <w:tcPr>
            <w:tcW w:w="8620" w:type="dxa"/>
            <w:vAlign w:val="bottom"/>
            <w:shd w:val="clear" w:color="auto" w:fill="FEFEFE"/>
          </w:tcPr>
          <w:p>
            <w:pPr>
              <w:spacing w:after="0"/>
              <w:rPr>
                <w:sz w:val="18"/>
                <w:szCs w:val="18"/>
                <w:color w:val="auto"/>
              </w:rPr>
            </w:pPr>
          </w:p>
        </w:tc>
        <w:tc>
          <w:tcPr>
            <w:tcW w:w="132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11.1</w:t>
            </w: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11.2</w:t>
            </w:r>
          </w:p>
        </w:tc>
        <w:tc>
          <w:tcPr>
            <w:tcW w:w="86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8"/>
                <w:szCs w:val="18"/>
                <w:color w:val="auto"/>
              </w:rPr>
              <w:t>ARTICLE XII LEGAL DEFEASANCE AND COVENANT DEFEASANCE</w:t>
            </w: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12.1</w:t>
            </w:r>
          </w:p>
        </w:tc>
        <w:tc>
          <w:tcPr>
            <w:tcW w:w="86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Option to Effect Legal Defeasance or Covenant Defeasance</w:t>
            </w:r>
            <w:r>
              <w:rPr>
                <w:rFonts w:ascii="Times New Roman" w:cs="Times New Roman" w:eastAsia="Times New Roman" w:hAnsi="Times New Roman"/>
                <w:sz w:val="18"/>
                <w:szCs w:val="18"/>
                <w:i w:val="1"/>
                <w:iCs w:val="1"/>
                <w:color w:val="auto"/>
              </w:rPr>
              <w:t>.</w:t>
            </w: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12.2</w:t>
            </w: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Legal Defeasance and Discharge</w:t>
            </w:r>
            <w:r>
              <w:rPr>
                <w:rFonts w:ascii="Times New Roman" w:cs="Times New Roman" w:eastAsia="Times New Roman" w:hAnsi="Times New Roman"/>
                <w:sz w:val="18"/>
                <w:szCs w:val="18"/>
                <w:i w:val="1"/>
                <w:i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12.3</w:t>
            </w:r>
          </w:p>
        </w:tc>
        <w:tc>
          <w:tcPr>
            <w:tcW w:w="86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Covenant Defeasance</w:t>
            </w:r>
            <w:r>
              <w:rPr>
                <w:rFonts w:ascii="Times New Roman" w:cs="Times New Roman" w:eastAsia="Times New Roman" w:hAnsi="Times New Roman"/>
                <w:sz w:val="18"/>
                <w:szCs w:val="18"/>
                <w:i w:val="1"/>
                <w:iCs w:val="1"/>
                <w:color w:val="auto"/>
              </w:rPr>
              <w:t>.</w:t>
            </w: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12.4</w:t>
            </w: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Conditions to Legal or Covenant Defeasance</w:t>
            </w:r>
            <w:r>
              <w:rPr>
                <w:rFonts w:ascii="Times New Roman" w:cs="Times New Roman" w:eastAsia="Times New Roman" w:hAnsi="Times New Roman"/>
                <w:sz w:val="18"/>
                <w:szCs w:val="18"/>
                <w:i w:val="1"/>
                <w:i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12.5</w:t>
            </w:r>
          </w:p>
        </w:tc>
        <w:tc>
          <w:tcPr>
            <w:tcW w:w="86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Deposited Money and Government Securities to be Held in Trust; other Miscellaneous Provisions</w:t>
            </w:r>
            <w:r>
              <w:rPr>
                <w:rFonts w:ascii="Times New Roman" w:cs="Times New Roman" w:eastAsia="Times New Roman" w:hAnsi="Times New Roman"/>
                <w:sz w:val="18"/>
                <w:szCs w:val="18"/>
                <w:i w:val="1"/>
                <w:iCs w:val="1"/>
                <w:color w:val="auto"/>
              </w:rPr>
              <w:t>.</w:t>
            </w: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12.6</w:t>
            </w: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Repayment to Company</w:t>
            </w:r>
            <w:r>
              <w:rPr>
                <w:rFonts w:ascii="Times New Roman" w:cs="Times New Roman" w:eastAsia="Times New Roman" w:hAnsi="Times New Roman"/>
                <w:sz w:val="18"/>
                <w:szCs w:val="18"/>
                <w:i w:val="1"/>
                <w:i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12.7</w:t>
            </w:r>
          </w:p>
        </w:tc>
        <w:tc>
          <w:tcPr>
            <w:tcW w:w="86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Reinstatement.</w:t>
            </w: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8"/>
                <w:szCs w:val="18"/>
                <w:color w:val="auto"/>
              </w:rPr>
              <w:t>ARTICLE XIII IMMUNITY OF INCORPORATORS, STOCKHOLDERS, OFFICERS AND DIRECTORS</w:t>
            </w: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13.1</w:t>
            </w:r>
          </w:p>
        </w:tc>
        <w:tc>
          <w:tcPr>
            <w:tcW w:w="86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No Recourse.</w:t>
            </w: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67"/>
        </w:trPr>
        <w:tc>
          <w:tcPr>
            <w:tcW w:w="130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2" w:right="3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XIV MISCELLANEOUS PROVISIONS</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14.1</w:t>
            </w: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14.2</w:t>
            </w:r>
          </w:p>
        </w:tc>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Actions by Successor.</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14.3</w:t>
            </w: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14.4</w:t>
            </w:r>
          </w:p>
        </w:tc>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Notices.</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14.5</w:t>
            </w: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Governing Law/Waiver of Jury Trial.</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14.6</w:t>
            </w:r>
          </w:p>
        </w:tc>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14.7</w:t>
            </w: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Compliance Certificates and Opinions.</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14.8</w:t>
            </w:r>
          </w:p>
        </w:tc>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14.9</w:t>
            </w: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14.10</w:t>
            </w:r>
          </w:p>
        </w:tc>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Counterparts.</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14.11</w:t>
            </w: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Severability.</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14.12</w:t>
            </w:r>
          </w:p>
        </w:tc>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Compliance Certificates.</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14.13</w:t>
            </w: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Usa Patriot Act</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14.14</w:t>
            </w:r>
          </w:p>
        </w:tc>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Consent to Jurisdiction and Service</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14.15</w:t>
            </w: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Force Majeure</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7"/>
        </w:trPr>
        <w:tc>
          <w:tcPr>
            <w:tcW w:w="134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20" w:right="33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INDENTURE, dated as of , 2022, among ARCTURUS THERAPEUTICS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 a national banking association organized under the laws of the United States,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execution and delivery of this Indenture to provide for the issuance of debt securities (hereinafter referred to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in an unlimited aggregate principal amount to be issued from time to time in one or more series as in this Indenture provided, as registered Securities without coupons, to be authenticated by the Trustee;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to provide the terms and conditions upon which the Securities are to be authenticated, issued and delivered, the Company has duly authorized the execution of this Indenture;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all things necessary to make this Indenture a valid agreement of the Company, in accordance with its terms, have been done.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8"/>
          <w:szCs w:val="18"/>
          <w:b w:val="1"/>
          <w:bCs w:val="1"/>
          <w:color w:val="auto"/>
        </w:rPr>
        <w:t>DEFINITIONS OF TERMS.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Board Resolution or indenture supplemental hereto otherwise expressly provided or unless the context otherwise requires) for all purposes of this Indenture and of any Board Resolution or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(except as herein or any Board Resolution or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03" w:name="page104"/>
    <w:bookmarkEnd w:id="103"/>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Authenticating Agent</w:t>
      </w:r>
      <w:r>
        <w:rPr>
          <w:rFonts w:ascii="Times New Roman" w:cs="Times New Roman" w:eastAsia="Times New Roman" w:hAnsi="Times New Roman"/>
          <w:sz w:val="18"/>
          <w:szCs w:val="18"/>
          <w:color w:val="auto"/>
        </w:rPr>
        <w:t>” means an authenticating agent with respect to all or any of the series of Securities appointed by the Trustee pursuant to Section 2.10.</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Officer</w:t>
      </w:r>
      <w:r>
        <w:rPr>
          <w:rFonts w:ascii="Times New Roman" w:cs="Times New Roman" w:eastAsia="Times New Roman" w:hAnsi="Times New Roman"/>
          <w:sz w:val="18"/>
          <w:szCs w:val="18"/>
          <w:color w:val="auto"/>
        </w:rPr>
        <w:t>,” when used with respect to the Company, means the Chairman of the Board of Directors, the Co-Chief Executive Officers, the President, the Chief Operating Officer, the Chief Financial Officer, the Treasurer, any Assistant Treasurer, the Controller, the Secretary or any Executive Vice President or Senior Vice President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of such Board.</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one or more resolutions certified by the Secretary or an Assistant Secretary of the Company to have been duly adopted by the Board of Directors, or such committee of the Board of Directors or officers of the Company to which authority to act on behalf of the Board of Directors has been delegated, and to be in full force and effect on the date of such certification, and to be delivered to the Trustee.</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Arcturus Therapeutics Holdings Inc., a corporation duly organized and existing under the laws of the State of Delaware, and, subject to the provisions of Article X, shall also include its successors and assigns.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Request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request or order signed in the name of the Company by one or more Authorized Officers of the Company, and delivered to the Trustee.</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principal office of the Trustee at which, at any particular time, this Indenture shall be administered, which office at the date hereof is located at ; Attention: . With respect to presentation for transfer or exchange, conversions or principal payment, such address shall be ; Attention: , or such other address as the Trustee may designate from time to time by written notice to the Securityholders and the Company, or the principal corporate trust office of any successor Trustee (or such other address as such successor Trustee may designate from time to time by written notice to the Securityholders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 shall have the meaning set forth in Section 12.3.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act or condition that with notice or lapse of time, or both, would constitute an Event of Default.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2.1 or 2.11.</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with respect to Securities of a particular series, any event specified in Section 6.1, continued for the period of time, if any, therein designated.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Security</w:t>
      </w:r>
      <w:r>
        <w:rPr>
          <w:rFonts w:ascii="Times New Roman" w:cs="Times New Roman" w:eastAsia="Times New Roman" w:hAnsi="Times New Roman"/>
          <w:sz w:val="18"/>
          <w:szCs w:val="18"/>
          <w:color w:val="auto"/>
        </w:rPr>
        <w:t>”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Obligations</w:t>
      </w:r>
      <w:r>
        <w:rPr>
          <w:rFonts w:ascii="Times New Roman" w:cs="Times New Roman" w:eastAsia="Times New Roman" w:hAnsi="Times New Roman"/>
          <w:sz w:val="18"/>
          <w:szCs w:val="18"/>
          <w:color w:val="auto"/>
        </w:rPr>
        <w:t>” means securities that are (a) direct obligations of the U.S. for the payment of which its full faith and credit is pledged or (b) obligations of a Person controlled or supervised by and acting as an agency or instrumentality of the U.S., the payment of which is unconditionally guaranteed as a full faith and credit obligation by the U.S. that, in either case, are not callable or redeemable at the option of the issuer thereof, and shall also include a depositary receipt issued by a bank (as defined in Section 3(a)(2) of the Securities Act)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Board Resolutions or one or more indentures supplemental hereto entered into in accordance with the terms hereof.</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Defeasance</w:t>
      </w:r>
      <w:r>
        <w:rPr>
          <w:rFonts w:ascii="Times New Roman" w:cs="Times New Roman" w:eastAsia="Times New Roman" w:hAnsi="Times New Roman"/>
          <w:sz w:val="18"/>
          <w:szCs w:val="18"/>
          <w:color w:val="auto"/>
        </w:rPr>
        <w:t>” shall have the meaning set forth in Section 12.2.</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signed by an Authorized Officer of the Company that is delivered to the Trustee in accordance with the terms hereof. Each such certificate shall include the statements provided for in Section 14.7, if and to the extent required by the provisions thereof. An Officer’s Certificate given pursuant to Section 14.12 shall be signed by the principal executive, financial or accounting officer of the Company but need not contain the statements provided for in Section 14.7.</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14.7, if and to the extent required by the provisions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05" w:name="page106"/>
    <w:bookmarkEnd w:id="105"/>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reference to Securities of any series, means, subject to the provisions of Section 8.4, as of any particular time, all Securities of that series theretofore authenticated and delivered by the Trustee under this Indenture, except (a) Securities theretofore canceled by the Trustee, or delivered to the Trustee or any Paying Agent for cancellation or that have previously been canceled; (b) Securities or portions thereof for the payment or redemption of which cash or Governmental Obligations in the necessary amount shall have been irrevocably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2.7, unless the Trustee and the Company receive proof satisfactory to them that the replaced Security is held by a protected purchaser.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shall have the meaning set forth in Section 4.2(a).</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limited liability company or government or other entity, and includes any syndicate or group that would be deemed to be a “person” under Section 13(d)(3) of the Exchange Act.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2.7 in lieu of a lost, destroyed or stolen Security shall be deemed to evidence the same debt as the lost, destroyed or stolen 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when used with respect to any Security to be redeemed, means the date fixed for such redemption by or pursuant to this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shall have the meaning set forth in the recitals to this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shall be registered on the Security Register in accordance with the terms of this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shall have the meaning set forth in Section 4.2(a).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Registrar</w:t>
      </w:r>
      <w:r>
        <w:rPr>
          <w:rFonts w:ascii="Times New Roman" w:cs="Times New Roman" w:eastAsia="Times New Roman" w:hAnsi="Times New Roman"/>
          <w:sz w:val="18"/>
          <w:szCs w:val="18"/>
          <w:color w:val="auto"/>
        </w:rPr>
        <w:t>” shall have the meaning set forth in Section 4.2(a).</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Maturity</w:t>
      </w:r>
      <w:r>
        <w:rPr>
          <w:rFonts w:ascii="Times New Roman" w:cs="Times New Roman" w:eastAsia="Times New Roman" w:hAnsi="Times New Roman"/>
          <w:sz w:val="18"/>
          <w:szCs w:val="18"/>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06" w:name="page107"/>
    <w:bookmarkEnd w:id="106"/>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 and, subject to the provisions of Article VII,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Officer</w:t>
      </w:r>
      <w:r>
        <w:rPr>
          <w:rFonts w:ascii="Times New Roman" w:cs="Times New Roman" w:eastAsia="Times New Roman" w:hAnsi="Times New Roman"/>
          <w:sz w:val="18"/>
          <w:szCs w:val="18"/>
          <w:color w:val="auto"/>
        </w:rPr>
        <w:t>” means any officer of the Trustee with direct responsibility for the administration of this Indenture and also means, with respect to a particular corporate trust matter hereunder, any other officer of the Trustee to whom such matter is referred because of his or her knowledge of and familiarity with the particular subject.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Uniform Commercial Code</w:t>
      </w:r>
      <w:r>
        <w:rPr>
          <w:rFonts w:ascii="Times New Roman" w:cs="Times New Roman" w:eastAsia="Times New Roman" w:hAnsi="Times New Roman"/>
          <w:sz w:val="18"/>
          <w:szCs w:val="18"/>
          <w:color w:val="auto"/>
        </w:rPr>
        <w:t>” means the New York Uniform Commercial Code as in effect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shall have the meaning set forth in Section 14.13.</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71"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1.2</w:t>
      </w:r>
      <w:r>
        <w:rPr>
          <w:sz w:val="20"/>
          <w:szCs w:val="20"/>
          <w:color w:val="auto"/>
        </w:rPr>
        <w:tab/>
      </w:r>
      <w:r>
        <w:rPr>
          <w:rFonts w:ascii="Times New Roman" w:cs="Times New Roman" w:eastAsia="Times New Roman" w:hAnsi="Times New Roman"/>
          <w:sz w:val="17"/>
          <w:szCs w:val="17"/>
          <w:b w:val="1"/>
          <w:bCs w:val="1"/>
          <w:color w:val="auto"/>
        </w:rPr>
        <w:t>INCORPORATION BY REFERENCE OF TRUST INDENTURE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Whenever this Indenture refers to a provision of the Trust Indenture Act, the provision is incorporated by reference in and made a part of this Indenture.</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All Trust Indenture Act terms used in this Indenture that are defined by the Trust Indenture Act, defined by Trust Indenture Act reference to another statute or defined by Commission rule have the meanings assigned to them by such definitions.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 DESCRIPTION, TERMS, EXECUTION, REGISTRATION</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AND EXCHANGE OF SECURITIES</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2.1</w:t>
      </w:r>
      <w:r>
        <w:rPr>
          <w:sz w:val="20"/>
          <w:szCs w:val="20"/>
          <w:color w:val="auto"/>
        </w:rPr>
        <w:tab/>
      </w:r>
      <w:r>
        <w:rPr>
          <w:rFonts w:ascii="Times New Roman" w:cs="Times New Roman" w:eastAsia="Times New Roman" w:hAnsi="Times New Roman"/>
          <w:sz w:val="17"/>
          <w:szCs w:val="17"/>
          <w:b w:val="1"/>
          <w:bCs w:val="1"/>
          <w:color w:val="auto"/>
        </w:rPr>
        <w:t>DESIGNATION AND TERMS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80" w:lineRule="exact"/>
        <w:rPr>
          <w:sz w:val="20"/>
          <w:szCs w:val="20"/>
          <w:color w:val="auto"/>
        </w:rPr>
      </w:pPr>
    </w:p>
    <w:p>
      <w:pPr>
        <w:ind w:left="920" w:hanging="264"/>
        <w:spacing w:after="0"/>
        <w:tabs>
          <w:tab w:leader="none" w:pos="9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Securities being offered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07" w:name="page108"/>
    <w:bookmarkEnd w:id="107"/>
    <w:p>
      <w:pPr>
        <w:ind w:left="-656" w:firstLine="656"/>
        <w:spacing w:after="0" w:line="282" w:lineRule="auto"/>
        <w:tabs>
          <w:tab w:leader="none" w:pos="24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 any original issue discount that may apply to the Securities of that series upon their issuance, the principal amount due at maturity, and the place(s) of payment;</w:t>
      </w:r>
    </w:p>
    <w:p>
      <w:pPr>
        <w:spacing w:after="0" w:line="161" w:lineRule="exact"/>
        <w:rPr>
          <w:rFonts w:ascii="Times New Roman" w:cs="Times New Roman" w:eastAsia="Times New Roman" w:hAnsi="Times New Roman"/>
          <w:sz w:val="18"/>
          <w:szCs w:val="18"/>
          <w:color w:val="auto"/>
        </w:rPr>
      </w:pPr>
    </w:p>
    <w:p>
      <w:pPr>
        <w:ind w:left="-656" w:right="20" w:firstLine="656"/>
        <w:spacing w:after="0" w:line="282" w:lineRule="auto"/>
        <w:tabs>
          <w:tab w:leader="none" w:pos="24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 rates, if any, and whether the rate(s) are fixed or variable;</w:t>
      </w:r>
    </w:p>
    <w:p>
      <w:pPr>
        <w:spacing w:after="0" w:line="161" w:lineRule="exact"/>
        <w:rPr>
          <w:rFonts w:ascii="Times New Roman" w:cs="Times New Roman" w:eastAsia="Times New Roman" w:hAnsi="Times New Roman"/>
          <w:sz w:val="18"/>
          <w:szCs w:val="18"/>
          <w:color w:val="auto"/>
        </w:rPr>
      </w:pPr>
    </w:p>
    <w:p>
      <w:pPr>
        <w:jc w:val="both"/>
        <w:ind w:left="-656" w:right="20" w:firstLine="656"/>
        <w:spacing w:after="0" w:line="266" w:lineRule="auto"/>
        <w:tabs>
          <w:tab w:leader="none" w:pos="26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225" w:lineRule="exact"/>
        <w:rPr>
          <w:rFonts w:ascii="Times New Roman" w:cs="Times New Roman" w:eastAsia="Times New Roman" w:hAnsi="Times New Roman"/>
          <w:sz w:val="18"/>
          <w:szCs w:val="18"/>
          <w:color w:val="auto"/>
        </w:rPr>
      </w:pPr>
    </w:p>
    <w:p>
      <w:pPr>
        <w:ind w:left="-656" w:firstLine="656"/>
        <w:spacing w:after="0" w:line="282" w:lineRule="auto"/>
        <w:tabs>
          <w:tab w:leader="none" w:pos="26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225"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225" w:lineRule="exact"/>
        <w:rPr>
          <w:rFonts w:ascii="Times New Roman" w:cs="Times New Roman" w:eastAsia="Times New Roman" w:hAnsi="Times New Roman"/>
          <w:sz w:val="18"/>
          <w:szCs w:val="18"/>
          <w:color w:val="auto"/>
        </w:rPr>
      </w:pPr>
    </w:p>
    <w:p>
      <w:pPr>
        <w:ind w:left="-656" w:firstLine="656"/>
        <w:spacing w:after="0" w:line="282" w:lineRule="auto"/>
        <w:tabs>
          <w:tab w:leader="none" w:pos="33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two thousand U.S. dollars ($2,000) or any integral multiple of one thousand U.S. dollars ($1,000) in excess thereof, the minimum denominations and multiples in excess thereof in which the Securities of the series shall be issuable;</w:t>
      </w:r>
    </w:p>
    <w:p>
      <w:pPr>
        <w:spacing w:after="0" w:line="161"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are issuable as a Global Security and, in such case, the terms and the identity of the Depositary for such series;</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3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convertible into or exchangeable for shares of common stock or other securities of the Company or any other Person or other securities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179" w:lineRule="exact"/>
        <w:rPr>
          <w:rFonts w:ascii="Times New Roman" w:cs="Times New Roman" w:eastAsia="Times New Roman" w:hAnsi="Times New Roman"/>
          <w:sz w:val="18"/>
          <w:szCs w:val="18"/>
          <w:color w:val="auto"/>
        </w:rPr>
      </w:pPr>
    </w:p>
    <w:p>
      <w:pPr>
        <w:ind w:left="-656" w:firstLine="656"/>
        <w:spacing w:after="0" w:line="282" w:lineRule="auto"/>
        <w:tabs>
          <w:tab w:leader="none" w:pos="36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the series which shall be payable upon declaration of acceleration of the maturity thereof pursuant to Section 6.1;</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37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different Events of Default or restrictive covenants (which may but shall not be required to include, among other restrictions, restrictions on the Company’s ability or the ability of the Company’s Subsidiaries to: incur additional indebtedness; issue additional securities; create liens; pay dividends or make distributions in respect of their capital stock; redeem capital stock; in the case of such Subsidiaries, pay dividends, make distributions or transfer assets; make investments or other restricted payments; sell or otherwise dispose of assets; enter into sale leaseback transactions; engage in transactions with stockholders and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354330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02" w:right="339" w:bottom="1440" w:gutter="0" w:footer="0" w:header="0"/>
        </w:sectPr>
      </w:pPr>
    </w:p>
    <w:bookmarkStart w:id="108" w:name="page109"/>
    <w:bookmarkEnd w:id="108"/>
    <w:p>
      <w:pPr>
        <w:ind w:left="1020" w:hanging="364"/>
        <w:spacing w:after="0"/>
        <w:tabs>
          <w:tab w:leader="none" w:pos="10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coin or currency in which the Securities of the series are denominated (including, but not limited to, foreign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99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 and the terms and conditions, if any, relating to the Company’s ability to redeem such Securities if the Company is required to pay such additional amounts;</w:t>
      </w:r>
    </w:p>
    <w:p>
      <w:pPr>
        <w:spacing w:after="0" w:line="17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the Securities of the series;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Securities of the series;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00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relating to any auction or remarketing of the Securities of the series and any security for the obligations of the Company with respect to such Securities;</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are secured or unsecured, and if the Securities are secured, the terms of the secured Securities;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describing any book-entry features;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any guarantors and the terms of the guarantees; and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0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terms with respect to the series (which terms shall not be inconsistent with the terms of this Indenture, as amended by any Board Resolution or supplemental indenture, but which may modify or delete any provisions of this Indenture insofar as it applies to such series), including any terms which may be required by or advisable under the laws of the U.S. or regulations thereunder or advisable (as determined by the Company) in connection with the marketing of Securities of that series.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A series may be reopened for issuances of additional Securities of such series or to establish additional terms of such Securities.</w:t>
      </w:r>
    </w:p>
    <w:p>
      <w:pPr>
        <w:spacing w:after="0" w:line="176"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2.2</w:t>
      </w:r>
      <w:r>
        <w:rPr>
          <w:sz w:val="20"/>
          <w:szCs w:val="20"/>
          <w:color w:val="auto"/>
        </w:rPr>
        <w:tab/>
      </w:r>
      <w:r>
        <w:rPr>
          <w:rFonts w:ascii="Times New Roman" w:cs="Times New Roman" w:eastAsia="Times New Roman" w:hAnsi="Times New Roman"/>
          <w:sz w:val="17"/>
          <w:szCs w:val="17"/>
          <w:b w:val="1"/>
          <w:bCs w:val="1"/>
          <w:color w:val="auto"/>
        </w:rPr>
        <w:t>FORM OF SECURITIES AND TRUSTEE’S CERTIFICATE.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9" w:name="page110"/>
    <w:bookmarkEnd w:id="109"/>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2.3</w:t>
      </w:r>
      <w:r>
        <w:rPr>
          <w:sz w:val="20"/>
          <w:szCs w:val="20"/>
          <w:color w:val="auto"/>
        </w:rPr>
        <w:tab/>
      </w:r>
      <w:r>
        <w:rPr>
          <w:rFonts w:ascii="Times New Roman" w:cs="Times New Roman" w:eastAsia="Times New Roman" w:hAnsi="Times New Roman"/>
          <w:sz w:val="17"/>
          <w:szCs w:val="17"/>
          <w:b w:val="1"/>
          <w:bCs w:val="1"/>
          <w:color w:val="auto"/>
        </w:rPr>
        <w:t>DENOMINATIONS; PROVISIONS FOR PAYMENT.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minimum denomination of two thousand U.S. dollars ($2,000) or any integral multiple of one thousand U.S. dollars ($1,000) in excess thereof, subject to Section 2.1(11). The Securities of a particular series shall bear interest payable on the dates and at the rate specified with respect to that series. The principal of and the interest on the Securities of any series, as well as any premium thereon, shall be payable in the coin or currency of the U.S. that at the time is legal tender for public and private debt, at the office or agency of the Company maintained for that purpose in the United States, which shall initially be an office or agency of the Trustee. Each Security shall be dated the date of its authentication. Interest on the Securities shall be computed on the basis of a 360-day year composed of twelve 30-day months. Presentment and surrender of the Securities is required for final payment thereon.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for Securities of the same series (herein called “</w:t>
      </w:r>
      <w:r>
        <w:rPr>
          <w:rFonts w:ascii="Times New Roman" w:cs="Times New Roman" w:eastAsia="Times New Roman" w:hAnsi="Times New Roman"/>
          <w:sz w:val="18"/>
          <w:szCs w:val="18"/>
          <w:b w:val="1"/>
          <w:bCs w:val="1"/>
          <w:color w:val="auto"/>
        </w:rPr>
        <w:t>Defaulted Interest</w:t>
      </w:r>
      <w:r>
        <w:rPr>
          <w:rFonts w:ascii="Times New Roman" w:cs="Times New Roman" w:eastAsia="Times New Roman" w:hAnsi="Times New Roman"/>
          <w:sz w:val="18"/>
          <w:szCs w:val="18"/>
          <w:color w:val="auto"/>
        </w:rPr>
        <w: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76" w:lineRule="exact"/>
        <w:rPr>
          <w:sz w:val="20"/>
          <w:szCs w:val="20"/>
          <w:color w:val="auto"/>
        </w:rPr>
      </w:pPr>
    </w:p>
    <w:p>
      <w:pPr>
        <w:jc w:val="both"/>
        <w:ind w:firstLine="656"/>
        <w:spacing w:after="0" w:line="252" w:lineRule="auto"/>
        <w:tabs>
          <w:tab w:leader="none" w:pos="91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(or, in the case of Securities held in book-entry form, by electronic transmission),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97" w:lineRule="exact"/>
        <w:rPr>
          <w:rFonts w:ascii="Times New Roman" w:cs="Times New Roman" w:eastAsia="Times New Roman" w:hAnsi="Times New Roman"/>
          <w:sz w:val="18"/>
          <w:szCs w:val="18"/>
          <w:color w:val="auto"/>
        </w:rPr>
      </w:pPr>
    </w:p>
    <w:p>
      <w:pPr>
        <w:jc w:val="both"/>
        <w:ind w:firstLine="656"/>
        <w:spacing w:after="0" w:line="266" w:lineRule="auto"/>
        <w:tabs>
          <w:tab w:leader="none" w:pos="9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otherwise set forth in a Board Resolution or one or more indentures supplemental hereto establishing the terms of any series of Securities pursuant to Section 2.1 hereof, the term “</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as used in this Section with respect to a series of Securities and any Interest Payment Date for such series shall mean either the fifteenth day of the month immediately preceding the month in which an Interest Payment Date established for such series pursuant to Section 2.1 hereof shall occur, if such Interest Payment Date is the first day of a month, or the last day of the month immediately preceding the month in which an Interest Payment Date established for such series pursuant to Section 2.1 hereof shall occur, if such Interest Payment Date is the fifteenth day of a month, whether or not such date is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10" w:name="page111"/>
    <w:bookmarkEnd w:id="110"/>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foregoing provisions of this Section and Sections 2.5 and 2.11,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7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2.4</w:t>
      </w:r>
      <w:r>
        <w:rPr>
          <w:sz w:val="20"/>
          <w:szCs w:val="20"/>
          <w:color w:val="auto"/>
        </w:rPr>
        <w:tab/>
      </w:r>
      <w:r>
        <w:rPr>
          <w:rFonts w:ascii="Times New Roman" w:cs="Times New Roman" w:eastAsia="Times New Roman" w:hAnsi="Times New Roman"/>
          <w:sz w:val="17"/>
          <w:szCs w:val="17"/>
          <w:b w:val="1"/>
          <w:bCs w:val="1"/>
          <w:color w:val="auto"/>
        </w:rPr>
        <w:t>EXECUTION AND AUTHENTICATION.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Securities shall be signed on behalf of the Company by an Authorized Officer and, to the extent necessary, under its corporate seal. Signatures may be in the form of a manual or facsimile signature.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Authorized Officer thereof, notwithstanding the fact that at the time the Securities shall be authenticated and delivered or disposed of such Person shall have ceased to be such an officer of the Company. To the extent a Company seal is necessary, the Company seal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 by the Trustee.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Authorized Officer, and the Trustee in accordance with such Company Order shall authenticate and deliver such Securities.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receive, and (subject to Section 7.1) shall be fully protected in conclusively relying upon, an Opinion of Counsel stating that the form and terms thereof have been established in conformity with the provisions of this Indenture.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5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2.5</w:t>
      </w:r>
      <w:r>
        <w:rPr>
          <w:sz w:val="20"/>
          <w:szCs w:val="20"/>
          <w:color w:val="auto"/>
        </w:rPr>
        <w:tab/>
      </w:r>
      <w:r>
        <w:rPr>
          <w:rFonts w:ascii="Times New Roman" w:cs="Times New Roman" w:eastAsia="Times New Roman" w:hAnsi="Times New Roman"/>
          <w:sz w:val="17"/>
          <w:szCs w:val="17"/>
          <w:b w:val="1"/>
          <w:bCs w:val="1"/>
          <w:color w:val="auto"/>
        </w:rPr>
        <w:t>REGISTRATION OF TRANSFER AND EXCHANGE.</w:t>
      </w:r>
    </w:p>
    <w:p>
      <w:pPr>
        <w:spacing w:after="0" w:line="229" w:lineRule="exact"/>
        <w:rPr>
          <w:sz w:val="20"/>
          <w:szCs w:val="20"/>
          <w:color w:val="auto"/>
        </w:rPr>
      </w:pPr>
    </w:p>
    <w:p>
      <w:pPr>
        <w:jc w:val="both"/>
        <w:ind w:firstLine="656"/>
        <w:spacing w:after="0" w:line="258" w:lineRule="auto"/>
        <w:tabs>
          <w:tab w:leader="none" w:pos="89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series may be exchanged upon presentation thereof at the office of the Security Registrar,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for transfer of any Security at the office of the Security Registrar, the Company shall execute, the Trustee shall authenticate and the Security Registrar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11" w:name="page112"/>
    <w:bookmarkEnd w:id="111"/>
    <w:p>
      <w:pPr>
        <w:jc w:val="both"/>
        <w:ind w:firstLine="656"/>
        <w:spacing w:after="0" w:line="258" w:lineRule="auto"/>
        <w:tabs>
          <w:tab w:leader="none" w:pos="90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pursuant to Section 2.1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repurchase or redemption of any series, but the Company and the Trustee may require payment of a sum sufficient to cover any tax or other governmental charge in relation thereto, other than exchanges pursuant to Section 2.6, Section 3.3(b) and Section 9.4 not involving any transfer.</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 thereof called for redemption, other than the unredeemed portion of any such Securities being redeemed in part.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Successive registrations and registrations of transfers and exchanges as aforesaid may be made from time to time as desired, and each such registration shall be noted on the register for the Securities.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Registrar shall provide to the Trustee such information as the Trustee may reasonably require in connection with the delivery by such Security Registrar of Securities upon transfer or exchange of Securities.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2.5 are, with respect to any Global Security, subject to Section 2.11 hereof.</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agent shall have any responsibility or liability for any actions taken or not taken by the Depositary.</w:t>
      </w:r>
    </w:p>
    <w:p>
      <w:pPr>
        <w:spacing w:after="0" w:line="221"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2.6</w:t>
      </w:r>
      <w:r>
        <w:rPr>
          <w:sz w:val="20"/>
          <w:szCs w:val="20"/>
          <w:color w:val="auto"/>
        </w:rPr>
        <w:tab/>
      </w:r>
      <w:r>
        <w:rPr>
          <w:rFonts w:ascii="Times New Roman" w:cs="Times New Roman" w:eastAsia="Times New Roman" w:hAnsi="Times New Roman"/>
          <w:sz w:val="17"/>
          <w:szCs w:val="17"/>
          <w:b w:val="1"/>
          <w:bCs w:val="1"/>
          <w:color w:val="auto"/>
        </w:rPr>
        <w:t>TEMPORARY SECURITIES.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of the Security Registrar, and the Trustee shall authenticate and the Security Registrar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12" w:name="page113"/>
    <w:bookmarkEnd w:id="112"/>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2.7</w:t>
      </w:r>
      <w:r>
        <w:rPr>
          <w:sz w:val="20"/>
          <w:szCs w:val="20"/>
          <w:color w:val="auto"/>
        </w:rPr>
        <w:tab/>
      </w:r>
      <w:r>
        <w:rPr>
          <w:rFonts w:ascii="Times New Roman" w:cs="Times New Roman" w:eastAsia="Times New Roman" w:hAnsi="Times New Roman"/>
          <w:sz w:val="17"/>
          <w:szCs w:val="17"/>
          <w:b w:val="1"/>
          <w:bCs w:val="1"/>
          <w:color w:val="auto"/>
        </w:rPr>
        <w:t>MUTILATED, DESTROYED, LOST OR STOLEN SECURITIES.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case any temporary or definitive Security shall become mutilated or be destroyed, lost or stolen, the Company (subject to the next succeeding sentence) shall execute, and upon a Company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requirements of Section 8-405 of the Uniform Commercial Code shall be met and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delivery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2.8</w:t>
      </w:r>
      <w:r>
        <w:rPr>
          <w:sz w:val="20"/>
          <w:szCs w:val="20"/>
          <w:color w:val="auto"/>
        </w:rPr>
        <w:tab/>
      </w:r>
      <w:r>
        <w:rPr>
          <w:rFonts w:ascii="Times New Roman" w:cs="Times New Roman" w:eastAsia="Times New Roman" w:hAnsi="Times New Roman"/>
          <w:sz w:val="17"/>
          <w:szCs w:val="17"/>
          <w:b w:val="1"/>
          <w:bCs w:val="1"/>
          <w:color w:val="auto"/>
        </w:rPr>
        <w:t>CANCELLATION.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the delivery of a Company Order at the time of such surrender, the Trustee shall cancel Securities held by the Trustee in accordance with its standard procedures and applicable law and provide confirmation to the Company of such cancellation if requested by the Company. In the absence of such request, the Trustee may dispose of canceled Securities in accordance with its standard procedures and deliver evidence of cancellation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2.9</w:t>
      </w:r>
      <w:r>
        <w:rPr>
          <w:sz w:val="20"/>
          <w:szCs w:val="20"/>
          <w:color w:val="auto"/>
        </w:rPr>
        <w:tab/>
      </w:r>
      <w:r>
        <w:rPr>
          <w:rFonts w:ascii="Times New Roman" w:cs="Times New Roman" w:eastAsia="Times New Roman" w:hAnsi="Times New Roman"/>
          <w:sz w:val="18"/>
          <w:szCs w:val="18"/>
          <w:b w:val="1"/>
          <w:bCs w:val="1"/>
          <w:color w:val="auto"/>
        </w:rPr>
        <w:t>BENEFITS OF INDENTURE.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13" w:name="page114"/>
    <w:bookmarkEnd w:id="113"/>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2.10</w:t>
      </w:r>
      <w:r>
        <w:rPr>
          <w:sz w:val="20"/>
          <w:szCs w:val="20"/>
          <w:color w:val="auto"/>
        </w:rPr>
        <w:tab/>
      </w:r>
      <w:r>
        <w:rPr>
          <w:rFonts w:ascii="Times New Roman" w:cs="Times New Roman" w:eastAsia="Times New Roman" w:hAnsi="Times New Roman"/>
          <w:sz w:val="17"/>
          <w:szCs w:val="17"/>
          <w:b w:val="1"/>
          <w:bCs w:val="1"/>
          <w:color w:val="auto"/>
        </w:rPr>
        <w:t>AUTHENTICATING AGENT.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a Company Request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7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2.11</w:t>
      </w:r>
      <w:r>
        <w:rPr>
          <w:sz w:val="20"/>
          <w:szCs w:val="20"/>
          <w:color w:val="auto"/>
        </w:rPr>
        <w:tab/>
      </w:r>
      <w:r>
        <w:rPr>
          <w:rFonts w:ascii="Times New Roman" w:cs="Times New Roman" w:eastAsia="Times New Roman" w:hAnsi="Times New Roman"/>
          <w:sz w:val="17"/>
          <w:szCs w:val="17"/>
          <w:b w:val="1"/>
          <w:bCs w:val="1"/>
          <w:color w:val="auto"/>
        </w:rPr>
        <w:t>GLOBAL SECURITIES.</w:t>
      </w:r>
    </w:p>
    <w:p>
      <w:pPr>
        <w:spacing w:after="0" w:line="229" w:lineRule="exact"/>
        <w:rPr>
          <w:sz w:val="20"/>
          <w:szCs w:val="20"/>
          <w:color w:val="auto"/>
        </w:rPr>
      </w:pPr>
    </w:p>
    <w:p>
      <w:pPr>
        <w:jc w:val="both"/>
        <w:ind w:firstLine="656"/>
        <w:spacing w:after="0" w:line="256" w:lineRule="auto"/>
        <w:tabs>
          <w:tab w:leader="none" w:pos="90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establish pursuant to Section 2.1 that the Securities of a particular series are to be issued as a Global Security, then the Company shall execute and the Trustee shall, in accordance with Section 2.4,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this Indenture, this Security may be transferred, in whole but not in part, only to another nominee of the Depositary or to a successor Depositary or to a nominee of such successor Depositary.”</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1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2.5, the Global Security of a series may be transferred, in whole but not in part and in the manner provided in Section 2.5, only to another nominee of the Depositary for such series, or to a successor Depositary for such series selected or approved by the Company or to a nominee of such successor Depositary. Nothing in this Section 2.11(b) shall prohibit or render ineffective any transfer of a beneficial interest in a Global Security effected in accordance with the other provisions of this Indenture.</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89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this Section 2.11 shall no longer be applicable to the Securities of such series and the Company will execute, and subject to Section 2.4,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Persons in whose names such Securities are so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14" w:name="page115"/>
    <w:bookmarkEnd w:id="114"/>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2.12</w:t>
      </w:r>
      <w:r>
        <w:rPr>
          <w:sz w:val="20"/>
          <w:szCs w:val="20"/>
          <w:color w:val="auto"/>
        </w:rPr>
        <w:tab/>
      </w:r>
      <w:r>
        <w:rPr>
          <w:rFonts w:ascii="Times New Roman" w:cs="Times New Roman" w:eastAsia="Times New Roman" w:hAnsi="Times New Roman"/>
          <w:sz w:val="17"/>
          <w:szCs w:val="17"/>
          <w:b w:val="1"/>
          <w:bCs w:val="1"/>
          <w:color w:val="auto"/>
        </w:rPr>
        <w:t>CUSIP AND ISIN NUMBERS.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in issuing the Securities, shall use CUSIP and ISIN numbers for such Securities (if then generally in use). The Trustee shall use CUSIP and ISIN numbers in notices of redemption as a convenience to holders; provided, however, that neither the Company nor the Trustee shall have any responsibility for any defect in the CUSIP or ISIN number that appears on any Security, check, advice of payment or redemption notice, and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Company shall promptly notify the Trustee in writing in the event of any change in the CUSIP or ISIN numbers.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3.1</w:t>
      </w:r>
      <w:r>
        <w:rPr>
          <w:sz w:val="20"/>
          <w:szCs w:val="20"/>
          <w:color w:val="auto"/>
        </w:rPr>
        <w:tab/>
      </w:r>
      <w:r>
        <w:rPr>
          <w:rFonts w:ascii="Times New Roman" w:cs="Times New Roman" w:eastAsia="Times New Roman" w:hAnsi="Times New Roman"/>
          <w:sz w:val="17"/>
          <w:szCs w:val="17"/>
          <w:b w:val="1"/>
          <w:bCs w:val="1"/>
          <w:color w:val="auto"/>
        </w:rPr>
        <w:t>REDEMPTION.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2.1 hereof. The provisions of this Article III may be modified, amended or replaced, in part or in their entirety, with Securities of any series, by an Officer’s Certificate pursuant to a Board Resolution or one or more indentures supplemental hereto, in each case in accordance with Section 2.1 hereof.</w:t>
      </w:r>
    </w:p>
    <w:p>
      <w:pPr>
        <w:spacing w:after="0" w:line="176"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3.2</w:t>
      </w:r>
      <w:r>
        <w:rPr>
          <w:sz w:val="20"/>
          <w:szCs w:val="20"/>
          <w:color w:val="auto"/>
        </w:rPr>
        <w:tab/>
      </w:r>
      <w:r>
        <w:rPr>
          <w:rFonts w:ascii="Times New Roman" w:cs="Times New Roman" w:eastAsia="Times New Roman" w:hAnsi="Times New Roman"/>
          <w:sz w:val="17"/>
          <w:szCs w:val="17"/>
          <w:b w:val="1"/>
          <w:bCs w:val="1"/>
          <w:color w:val="auto"/>
        </w:rPr>
        <w:t>NOTICE OF REDEMPTION.</w:t>
      </w:r>
    </w:p>
    <w:p>
      <w:pPr>
        <w:spacing w:after="0" w:line="229" w:lineRule="exact"/>
        <w:rPr>
          <w:sz w:val="20"/>
          <w:szCs w:val="20"/>
          <w:color w:val="auto"/>
        </w:rPr>
      </w:pPr>
    </w:p>
    <w:p>
      <w:pPr>
        <w:jc w:val="both"/>
        <w:ind w:firstLine="656"/>
        <w:spacing w:after="0" w:line="253" w:lineRule="auto"/>
        <w:tabs>
          <w:tab w:leader="none" w:pos="91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desire to exercise such right to redeem all or, as the case may be, a portion of the Securities of any series in accordance with any right the Company reserved for itself to do so pursuant to Section 2.1 hereof, the Company shall, or shall cause the Trustee to, give notice of such redemption to holders of the Securities of such series to be redeemed by mailing, first class postage prepaid (or, in the case of Securities held in book-entry form, by electronic transmission), a notice of such redemption not less than 30 days and not more than 60 days (except in accordance with Articles XI and XII)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Paying Agent or as otherwise established in a Board Resolution or an indenture supplemental hereto,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15" w:name="page116"/>
    <w:bookmarkEnd w:id="115"/>
    <w:p>
      <w:pPr>
        <w:jc w:val="both"/>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76" w:lineRule="exact"/>
        <w:rPr>
          <w:sz w:val="20"/>
          <w:szCs w:val="20"/>
          <w:color w:val="auto"/>
        </w:rPr>
      </w:pPr>
    </w:p>
    <w:p>
      <w:pPr>
        <w:jc w:val="both"/>
        <w:ind w:firstLine="656"/>
        <w:spacing w:after="0" w:line="253" w:lineRule="auto"/>
        <w:tabs>
          <w:tab w:leader="none" w:pos="90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(i) if the Securities are in the form of Global Securities, in accordance with the procedures of the Depositary, or (ii) if the Securities are not in the form of Global Securities, by lot, a portion or portions (equal to one thousand U.S. dollars ($1,000) or any integral multiple thereof) of the principal amount of such Securities of a denomination larger than $2,000, the Securities to be redeemed and shall thereafter promptly notify the Company in writing of the numbers of the Securities to be redeemed, in whole or in part. The Company may, if and whenever it shall so elect, by delivery of instructions signed on its behalf by an Authorized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86"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3.3</w:t>
      </w:r>
      <w:r>
        <w:rPr>
          <w:sz w:val="20"/>
          <w:szCs w:val="20"/>
          <w:color w:val="auto"/>
        </w:rPr>
        <w:tab/>
      </w:r>
      <w:r>
        <w:rPr>
          <w:rFonts w:ascii="Times New Roman" w:cs="Times New Roman" w:eastAsia="Times New Roman" w:hAnsi="Times New Roman"/>
          <w:sz w:val="17"/>
          <w:szCs w:val="17"/>
          <w:b w:val="1"/>
          <w:bCs w:val="1"/>
          <w:color w:val="auto"/>
        </w:rPr>
        <w:t>PAYMENT UPON REDEMPTION.</w:t>
      </w:r>
    </w:p>
    <w:p>
      <w:pPr>
        <w:spacing w:after="0" w:line="229" w:lineRule="exact"/>
        <w:rPr>
          <w:sz w:val="20"/>
          <w:szCs w:val="20"/>
          <w:color w:val="auto"/>
        </w:rPr>
      </w:pPr>
    </w:p>
    <w:p>
      <w:pPr>
        <w:jc w:val="both"/>
        <w:ind w:firstLine="656"/>
        <w:spacing w:after="0" w:line="254" w:lineRule="auto"/>
        <w:tabs>
          <w:tab w:leader="none" w:pos="90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2.3).</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3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7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3.4</w:t>
      </w:r>
      <w:r>
        <w:rPr>
          <w:sz w:val="20"/>
          <w:szCs w:val="20"/>
          <w:color w:val="auto"/>
        </w:rPr>
        <w:tab/>
      </w:r>
      <w:r>
        <w:rPr>
          <w:rFonts w:ascii="Times New Roman" w:cs="Times New Roman" w:eastAsia="Times New Roman" w:hAnsi="Times New Roman"/>
          <w:sz w:val="17"/>
          <w:szCs w:val="17"/>
          <w:b w:val="1"/>
          <w:bCs w:val="1"/>
          <w:color w:val="auto"/>
        </w:rPr>
        <w:t>SINKING FUND.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Securities of a series provide for a sinking fund as contemplated by Section 2.1, the provisions of this Section 3.4 and Sections 3.5 and 3.6 shall be applicable to any sinking fund for the retirement of Securities of a series, except as otherwise specified as contemplated by Section 2.1 for Securities of such series.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w:t>
      </w:r>
      <w:r>
        <w:rPr>
          <w:rFonts w:ascii="Times New Roman" w:cs="Times New Roman" w:eastAsia="Times New Roman" w:hAnsi="Times New Roman"/>
          <w:sz w:val="18"/>
          <w:szCs w:val="18"/>
          <w:b w:val="1"/>
          <w:bCs w:val="1"/>
          <w:color w:val="auto"/>
        </w:rPr>
        <w:t>mandatory sinking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fund payment</w:t>
      </w:r>
      <w:r>
        <w:rPr>
          <w:rFonts w:ascii="Times New Roman" w:cs="Times New Roman" w:eastAsia="Times New Roman" w:hAnsi="Times New Roman"/>
          <w:sz w:val="18"/>
          <w:szCs w:val="18"/>
          <w:color w:val="auto"/>
        </w:rPr>
        <w:t>,” and any payment in excess of such minimum amount provided for by the terms of Securities of any series is herein referred to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sinking fund payment</w:t>
      </w:r>
      <w:r>
        <w:rPr>
          <w:rFonts w:ascii="Times New Roman" w:cs="Times New Roman" w:eastAsia="Times New Roman" w:hAnsi="Times New Roman"/>
          <w:sz w:val="18"/>
          <w:szCs w:val="18"/>
          <w:color w:val="auto"/>
        </w:rPr>
        <w:t>.” If provided for by the terms of Securities of any series, the cash amount of any sinking fund payment may be subject to reduction as provided in Section 3.5. Each sinking fund payment shall be applied to the redemption of Securities of any series as provided for by the terms of Securities of such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16" w:name="page117"/>
    <w:bookmarkEnd w:id="116"/>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3.5</w:t>
      </w:r>
      <w:r>
        <w:rPr>
          <w:sz w:val="20"/>
          <w:szCs w:val="20"/>
          <w:color w:val="auto"/>
        </w:rPr>
        <w:tab/>
      </w:r>
      <w:r>
        <w:rPr>
          <w:rFonts w:ascii="Times New Roman" w:cs="Times New Roman" w:eastAsia="Times New Roman" w:hAnsi="Times New Roman"/>
          <w:sz w:val="17"/>
          <w:szCs w:val="17"/>
          <w:b w:val="1"/>
          <w:bCs w:val="1"/>
          <w:color w:val="auto"/>
        </w:rPr>
        <w:t>SATISFACTION OF SINKING FUND PAYMENTS WITH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3.6</w:t>
      </w:r>
      <w:r>
        <w:rPr>
          <w:sz w:val="20"/>
          <w:szCs w:val="20"/>
          <w:color w:val="auto"/>
        </w:rPr>
        <w:tab/>
      </w:r>
      <w:r>
        <w:rPr>
          <w:rFonts w:ascii="Times New Roman" w:cs="Times New Roman" w:eastAsia="Times New Roman" w:hAnsi="Times New Roman"/>
          <w:sz w:val="17"/>
          <w:szCs w:val="17"/>
          <w:b w:val="1"/>
          <w:bCs w:val="1"/>
          <w:color w:val="auto"/>
        </w:rPr>
        <w:t>REDEMPTION OF SECURITIES FOR SINKING FUND.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3.2. Such notice having been duly given, the redemption of such Securities shall be made upon the terms and in the manner stated in Section 3.3.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4.1</w:t>
      </w:r>
      <w:r>
        <w:rPr>
          <w:sz w:val="20"/>
          <w:szCs w:val="20"/>
          <w:color w:val="auto"/>
        </w:rPr>
        <w:tab/>
      </w:r>
      <w:r>
        <w:rPr>
          <w:rFonts w:ascii="Times New Roman" w:cs="Times New Roman" w:eastAsia="Times New Roman" w:hAnsi="Times New Roman"/>
          <w:sz w:val="17"/>
          <w:szCs w:val="17"/>
          <w:b w:val="1"/>
          <w:bCs w:val="1"/>
          <w:color w:val="auto"/>
        </w:rPr>
        <w:t>PAYMENT OF PRINCIPAL, PREMIUM AND INTEREST.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(such a wire transfer to be made only to a Securityholder of an aggregate principal amount of Securities of the applicable series in excess of U.S. $2,000,000 and only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(such a wire transfer to be made only to a Securityholder of an aggregate principal amount of Securities of the applicable series in excess of U.S. $2,000,000 and only if such Securityholder shall have furnished wire instructions in writing to the Security Registrar and the Trustee no later than 15 days prior to the relevant payment date).</w:t>
      </w:r>
    </w:p>
    <w:p>
      <w:pPr>
        <w:spacing w:after="0" w:line="190"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4.2</w:t>
      </w:r>
      <w:r>
        <w:rPr>
          <w:sz w:val="20"/>
          <w:szCs w:val="20"/>
          <w:color w:val="auto"/>
        </w:rPr>
        <w:tab/>
      </w:r>
      <w:r>
        <w:rPr>
          <w:rFonts w:ascii="Times New Roman" w:cs="Times New Roman" w:eastAsia="Times New Roman" w:hAnsi="Times New Roman"/>
          <w:sz w:val="17"/>
          <w:szCs w:val="17"/>
          <w:b w:val="1"/>
          <w:bCs w:val="1"/>
          <w:color w:val="auto"/>
        </w:rPr>
        <w:t>PAYING AGENT AND SECURITY REGISTRAR.</w:t>
      </w:r>
    </w:p>
    <w:p>
      <w:pPr>
        <w:spacing w:after="0" w:line="229" w:lineRule="exact"/>
        <w:rPr>
          <w:sz w:val="20"/>
          <w:szCs w:val="20"/>
          <w:color w:val="auto"/>
        </w:rPr>
      </w:pPr>
    </w:p>
    <w:p>
      <w:pPr>
        <w:jc w:val="both"/>
        <w:ind w:firstLine="656"/>
        <w:spacing w:after="0" w:line="255" w:lineRule="auto"/>
        <w:tabs>
          <w:tab w:leader="none" w:pos="89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series of the Securities remain Outstanding, the Company shall maintain an office or agency where Securities may be presented for registration of transfer or for exchange (“</w:t>
      </w:r>
      <w:r>
        <w:rPr>
          <w:rFonts w:ascii="Times New Roman" w:cs="Times New Roman" w:eastAsia="Times New Roman" w:hAnsi="Times New Roman"/>
          <w:sz w:val="18"/>
          <w:szCs w:val="18"/>
          <w:b w:val="1"/>
          <w:bCs w:val="1"/>
          <w:color w:val="auto"/>
        </w:rPr>
        <w:t>Security Registrar</w:t>
      </w:r>
      <w:r>
        <w:rPr>
          <w:rFonts w:ascii="Times New Roman" w:cs="Times New Roman" w:eastAsia="Times New Roman" w:hAnsi="Times New Roman"/>
          <w:sz w:val="18"/>
          <w:szCs w:val="18"/>
          <w:color w:val="auto"/>
        </w:rPr>
        <w:t>”), an office or agency where Securities may be presented for payment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an office or agency where notices to or upon the Company in respect of the Securities and this Indenture may be served. The Security Registrar shall keep a register for the recordation of, and shall record, the names and addresses of holders of the Securities, the Securities held by each holder and the transfer and exchange of Securities (the “</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The entries in the Security Register shall be conclusive, and the parties may treat each Person whose name is recorded in the Security Register pursuant to the terms hereof as a holder hereunder for all purposes of this Indenture. The Company may have one or more co-Security Registrars and one or more additional Paying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17" w:name="page118"/>
    <w:bookmarkEnd w:id="117"/>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hereby initially designates the Trustee as Paying Agent and Security Registrar, and the Corporate Trust Office shall be considered as one such office or agency of the Company for each of the aforesaid purposes, such designation to continue with respect to such office or agency until the Company shall, by written notice signed by an Authorized Officer and delivered to the Trustee, designate some other office or agency for such purposes or any of them.</w:t>
      </w:r>
    </w:p>
    <w:p>
      <w:pPr>
        <w:spacing w:after="0" w:line="180" w:lineRule="exact"/>
        <w:rPr>
          <w:sz w:val="20"/>
          <w:szCs w:val="20"/>
          <w:color w:val="auto"/>
        </w:rPr>
      </w:pPr>
    </w:p>
    <w:p>
      <w:pPr>
        <w:jc w:val="both"/>
        <w:ind w:firstLine="656"/>
        <w:spacing w:after="0" w:line="258" w:lineRule="auto"/>
        <w:tabs>
          <w:tab w:leader="none" w:pos="91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enter into an appropriate agency agreement with any Security Registrar, Paying Agent, or co-registrar not a party to this Indenture, which shall incorporate the terms of the Trust Indenture Act. The agreement shall implement the provisions of this Indenture that relate to such agent. The Company shall notify the Trustee in writing of the name and address of any such agent. If the Company fails to maintain a Security Registrar or Paying Agent, the Trustee shall act as such and shall be entitled to appropriate compensation therefor. The Company and any of its Subsidiaries may act as Paying Agent, Security Registrar or co-registrar.</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9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to the contrary,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18" w:name="page119"/>
    <w:bookmarkEnd w:id="118"/>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4.3</w:t>
      </w:r>
      <w:r>
        <w:rPr>
          <w:sz w:val="20"/>
          <w:szCs w:val="20"/>
          <w:color w:val="auto"/>
        </w:rPr>
        <w:tab/>
      </w:r>
      <w:r>
        <w:rPr>
          <w:rFonts w:ascii="Times New Roman" w:cs="Times New Roman" w:eastAsia="Times New Roman" w:hAnsi="Times New Roman"/>
          <w:sz w:val="17"/>
          <w:szCs w:val="17"/>
          <w:b w:val="1"/>
          <w:bCs w:val="1"/>
          <w:color w:val="auto"/>
        </w:rPr>
        <w:t>APPOINTMENT TO FILL VACANCY IN OFFICE OF TRUSTEE.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5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4.4</w:t>
      </w:r>
      <w:r>
        <w:rPr>
          <w:sz w:val="20"/>
          <w:szCs w:val="20"/>
          <w:color w:val="auto"/>
        </w:rPr>
        <w:tab/>
      </w:r>
      <w:r>
        <w:rPr>
          <w:rFonts w:ascii="Times New Roman" w:cs="Times New Roman" w:eastAsia="Times New Roman" w:hAnsi="Times New Roman"/>
          <w:sz w:val="17"/>
          <w:szCs w:val="17"/>
          <w:b w:val="1"/>
          <w:bCs w:val="1"/>
          <w:color w:val="auto"/>
        </w:rPr>
        <w:t>COMPLIANCE WITH CONSOLIDATION PROVISIONS.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X hereof are complied with.</w:t>
      </w:r>
    </w:p>
    <w:p>
      <w:pPr>
        <w:sectPr>
          <w:pgSz w:w="11900" w:h="16838" w:orient="portrait"/>
          <w:cols w:equalWidth="0" w:num="1">
            <w:col w:w="11240"/>
          </w:cols>
          <w:pgMar w:left="320" w:top="6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5.1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THE COMPANY AND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TO FURNISH TRUSTEE NAMES AND ADDRESSES OF SECURITYHOLDERS.</w:t>
      </w:r>
    </w:p>
    <w:p>
      <w:pPr>
        <w:spacing w:after="0" w:line="200" w:lineRule="exact"/>
        <w:rPr>
          <w:sz w:val="20"/>
          <w:szCs w:val="20"/>
          <w:color w:val="auto"/>
        </w:rPr>
      </w:pPr>
    </w:p>
    <w:p>
      <w:pPr>
        <w:sectPr>
          <w:pgSz w:w="11900" w:h="16838" w:orient="portrait"/>
          <w:cols w:equalWidth="0" w:num="2">
            <w:col w:w="1820" w:space="720"/>
            <w:col w:w="8700"/>
          </w:cols>
          <w:pgMar w:left="320" w:top="698" w:right="339" w:bottom="1440" w:gutter="0" w:footer="0" w:header="0"/>
          <w:type w:val="continuous"/>
        </w:sectPr>
      </w:pP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furnish or cause to be furnished to the Trustee (a) on each regular record date (as defined in Section 2.3)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83"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18"/>
          <w:szCs w:val="18"/>
          <w:b w:val="1"/>
          <w:bCs w:val="1"/>
          <w:color w:val="auto"/>
        </w:rPr>
        <w:t>SECTION 5.2</w:t>
      </w:r>
      <w:r>
        <w:rPr>
          <w:sz w:val="20"/>
          <w:szCs w:val="20"/>
          <w:color w:val="auto"/>
        </w:rPr>
        <w:tab/>
      </w:r>
      <w:r>
        <w:rPr>
          <w:rFonts w:ascii="Times New Roman" w:cs="Times New Roman" w:eastAsia="Times New Roman" w:hAnsi="Times New Roman"/>
          <w:sz w:val="17"/>
          <w:szCs w:val="17"/>
          <w:b w:val="1"/>
          <w:bCs w:val="1"/>
          <w:color w:val="auto"/>
        </w:rPr>
        <w:t>PRESERVATION OF INFORMATION; COMMUNICATIONS WITH SECURITYHOLDERS.</w:t>
      </w:r>
    </w:p>
    <w:p>
      <w:pPr>
        <w:spacing w:after="0" w:line="229" w:lineRule="exact"/>
        <w:rPr>
          <w:sz w:val="20"/>
          <w:szCs w:val="20"/>
          <w:color w:val="auto"/>
        </w:rPr>
      </w:pPr>
    </w:p>
    <w:p>
      <w:pPr>
        <w:jc w:val="both"/>
        <w:ind w:firstLine="656"/>
        <w:spacing w:after="0" w:line="258" w:lineRule="auto"/>
        <w:tabs>
          <w:tab w:leader="none" w:pos="89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the Securityholders of each series of Securities and shall otherwise comply with Section 312(a) of the Trust Indenture Act. If the Trustee is not the Security Registrar, the Company shall furnish to the Trustee at least ten (10) days before each interest payment date with respect to any series of Securities and at such other times as the Trustee may request in writing a list, in such form and as of such date as the Trustee may reasonably require, of the names and addresses of the Securityholders of such series of Securities, which list may be conclusively relied upon by the Trustee.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0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of any series may communicate pursuant to Section 312(b) of the Trust Indenture Act with other Securityholders of that series or any other series with respect to their rights under this Indenture or the Securities of that series or any other series.</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Trustee, the Security Registrar and any other Person shall have the protection of Section 312(c) of the Trust Indenture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type w:val="continuous"/>
        </w:sectPr>
      </w:pPr>
    </w:p>
    <w:bookmarkStart w:id="119" w:name="page120"/>
    <w:bookmarkEnd w:id="119"/>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5.3</w:t>
      </w:r>
      <w:r>
        <w:rPr>
          <w:sz w:val="20"/>
          <w:szCs w:val="20"/>
          <w:color w:val="auto"/>
        </w:rPr>
        <w:tab/>
      </w:r>
      <w:r>
        <w:rPr>
          <w:rFonts w:ascii="Times New Roman" w:cs="Times New Roman" w:eastAsia="Times New Roman" w:hAnsi="Times New Roman"/>
          <w:sz w:val="17"/>
          <w:szCs w:val="17"/>
          <w:b w:val="1"/>
          <w:bCs w:val="1"/>
          <w:color w:val="auto"/>
        </w:rPr>
        <w:t>REPORTS BY THE COMPANY.</w:t>
      </w:r>
    </w:p>
    <w:p>
      <w:pPr>
        <w:spacing w:after="0" w:line="229" w:lineRule="exact"/>
        <w:rPr>
          <w:sz w:val="20"/>
          <w:szCs w:val="20"/>
          <w:color w:val="auto"/>
        </w:rPr>
      </w:pPr>
    </w:p>
    <w:p>
      <w:pPr>
        <w:jc w:val="both"/>
        <w:ind w:firstLine="656"/>
        <w:spacing w:after="0" w:line="254" w:lineRule="auto"/>
        <w:tabs>
          <w:tab w:leader="none" w:pos="89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Security is Outstanding, the Company shall furnish a copy to the Trustee, within 15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files with the Commission pursuant to Section 13 or Section 15(d) of the Exchange Act; provided, however, the Company shall not be required to deliver to the Trustee any materials for which the Company has sought and received confidential treatment by the Commission; and provided further, so long as such filings by the Company are available on the Commission’s Electronic Data Gathering, Analysis and Retrieval System (EDGAR), such filings shall be deemed to have been furnished to the Trustee for purposes of this Section 5.3 without any further action required by the Company. The Trustee shall have no obligation whatsoever to determine whether or not such filings have been made.</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such reports, information and documents to the Trustee shall be for informational purposes only and the Trustee’s receipt of such shall not constitute constructive notice of any information contained therein or determinable from information contained therein, including the Company’s compliance with any of the covenants contained in this Indenture (as to which the Trustee is entitled to conclusively rely upon an Officer’s Certificate).</w:t>
      </w:r>
    </w:p>
    <w:p>
      <w:pPr>
        <w:spacing w:after="0" w:line="17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5.4</w:t>
      </w:r>
      <w:r>
        <w:rPr>
          <w:sz w:val="20"/>
          <w:szCs w:val="20"/>
          <w:color w:val="auto"/>
        </w:rPr>
        <w:tab/>
      </w:r>
      <w:r>
        <w:rPr>
          <w:rFonts w:ascii="Times New Roman" w:cs="Times New Roman" w:eastAsia="Times New Roman" w:hAnsi="Times New Roman"/>
          <w:sz w:val="17"/>
          <w:szCs w:val="17"/>
          <w:b w:val="1"/>
          <w:bCs w:val="1"/>
          <w:color w:val="auto"/>
        </w:rPr>
        <w:t>REPORTS BY THE TRUSTEE.</w:t>
      </w:r>
    </w:p>
    <w:p>
      <w:pPr>
        <w:spacing w:after="0" w:line="229" w:lineRule="exact"/>
        <w:rPr>
          <w:sz w:val="20"/>
          <w:szCs w:val="20"/>
          <w:color w:val="auto"/>
        </w:rPr>
      </w:pPr>
    </w:p>
    <w:p>
      <w:pPr>
        <w:jc w:val="both"/>
        <w:ind w:firstLine="656"/>
        <w:spacing w:after="0" w:line="261" w:lineRule="auto"/>
        <w:tabs>
          <w:tab w:leader="none" w:pos="90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transmit to the Securityholders such reports concerning the Trustee and its actions under this Indenture as may be required pursuant to the Trust Indenture Act at the time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EVENT OF DEFAULT</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6.1</w:t>
      </w:r>
      <w:r>
        <w:rPr>
          <w:sz w:val="20"/>
          <w:szCs w:val="20"/>
          <w:color w:val="auto"/>
        </w:rPr>
        <w:tab/>
      </w:r>
      <w:r>
        <w:rPr>
          <w:rFonts w:ascii="Times New Roman" w:cs="Times New Roman" w:eastAsia="Times New Roman" w:hAnsi="Times New Roman"/>
          <w:sz w:val="17"/>
          <w:szCs w:val="17"/>
          <w:b w:val="1"/>
          <w:bCs w:val="1"/>
          <w:color w:val="auto"/>
        </w:rPr>
        <w:t>EVENTS OF DEFAULT.</w:t>
      </w:r>
    </w:p>
    <w:p>
      <w:pPr>
        <w:spacing w:after="0" w:line="229" w:lineRule="exact"/>
        <w:rPr>
          <w:sz w:val="20"/>
          <w:szCs w:val="20"/>
          <w:color w:val="auto"/>
        </w:rPr>
      </w:pPr>
    </w:p>
    <w:p>
      <w:pPr>
        <w:ind w:firstLine="656"/>
        <w:spacing w:after="0" w:line="282" w:lineRule="auto"/>
        <w:tabs>
          <w:tab w:leader="none" w:pos="91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herein with respect to Securities of a particular series, unless otherwise specified in a Board Resolution or in an indenture supplemental hereto,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one or more of the following events that has occurred and is continuing:</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such default continues for a period of 30 days; provided, however, that a valid extension of an interest payment period by the Company in accordance with the terms of any Board Resolution or indenture supplemental hereto shall not constitute a default in the payment of interest for this purpose;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Board Resolution or indenture supplemental hereto shall not constitute a default in the payment of principal or premium,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20" w:name="page121"/>
    <w:bookmarkEnd w:id="120"/>
    <w:p>
      <w:pPr>
        <w:jc w:val="both"/>
        <w:ind w:left="660" w:firstLine="644"/>
        <w:spacing w:after="0" w:line="256" w:lineRule="auto"/>
        <w:tabs>
          <w:tab w:leader="none" w:pos="1593"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performance or breach of its covenants or agreements with respect to that series contained in this Indenture or otherwise established with respect to that series of Securities pursuant to Section 2.1 hereof (other than a covenant or agreement that has been expressly included in this Indenture solely for the benefit of one or more series of Securities other than such series) for a period of 90 consecutive days after the date on which written notice of such failure, requiring the same to be remedied and stating that such notice is a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Default</w:t>
      </w:r>
      <w:r>
        <w:rPr>
          <w:rFonts w:ascii="Times New Roman" w:cs="Times New Roman" w:eastAsia="Times New Roman" w:hAnsi="Times New Roman"/>
          <w:sz w:val="18"/>
          <w:szCs w:val="18"/>
          <w:color w:val="auto"/>
        </w:rPr>
        <w:t>” hereunder, shall have been given to the Company by the Trustee, by registered or certified mail, or to the Company and the Trustee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at least 25% in principal amount of the Securities of that series at the time Outstanding;</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0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60 consecutive days; or</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specified events, as may be provided for in a Board Resolution or in a supplemental indenture.</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and the Trustee at the request of the holders of not less than 25% in aggregate principal amount of the Securities of that series then outstanding hereunder shall,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7.6, and (ii) any and all Events of Default under this Indenture with respect to such series, other than the nonpayment of principal of (and premium, if any, on) and accrued and unpaid interest on Securities of that series that shall not have become due by their terms, shall have been remedied or waived as provided in Section 6.6.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21" w:name="page122"/>
    <w:bookmarkEnd w:id="121"/>
    <w:p>
      <w:pPr>
        <w:jc w:val="both"/>
        <w:ind w:firstLine="656"/>
        <w:spacing w:after="0" w:line="258" w:lineRule="auto"/>
        <w:tabs>
          <w:tab w:leader="none" w:pos="90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79" w:lineRule="exact"/>
        <w:rPr>
          <w:sz w:val="20"/>
          <w:szCs w:val="20"/>
          <w:color w:val="auto"/>
        </w:rPr>
      </w:pPr>
    </w:p>
    <w:p>
      <w:pPr>
        <w:spacing w:after="0"/>
        <w:tabs>
          <w:tab w:leader="none" w:pos="2680" w:val="left"/>
        </w:tabs>
        <w:rPr>
          <w:sz w:val="20"/>
          <w:szCs w:val="20"/>
          <w:color w:val="auto"/>
        </w:rPr>
      </w:pPr>
      <w:r>
        <w:rPr>
          <w:rFonts w:ascii="Times New Roman" w:cs="Times New Roman" w:eastAsia="Times New Roman" w:hAnsi="Times New Roman"/>
          <w:sz w:val="18"/>
          <w:szCs w:val="18"/>
          <w:b w:val="1"/>
          <w:bCs w:val="1"/>
          <w:color w:val="auto"/>
        </w:rPr>
        <w:t>SECTION 6.2</w:t>
      </w:r>
      <w:r>
        <w:rPr>
          <w:sz w:val="20"/>
          <w:szCs w:val="20"/>
          <w:color w:val="auto"/>
        </w:rPr>
        <w:tab/>
      </w:r>
      <w:r>
        <w:rPr>
          <w:rFonts w:ascii="Times New Roman" w:cs="Times New Roman" w:eastAsia="Times New Roman" w:hAnsi="Times New Roman"/>
          <w:sz w:val="17"/>
          <w:szCs w:val="17"/>
          <w:b w:val="1"/>
          <w:bCs w:val="1"/>
          <w:color w:val="auto"/>
        </w:rPr>
        <w:t>COLLECTION OF INDEBTEDNESS AND SUITS FOR ENFORCEMENT BY TRUSTEE.</w:t>
      </w:r>
    </w:p>
    <w:p>
      <w:pPr>
        <w:spacing w:after="0" w:line="229" w:lineRule="exact"/>
        <w:rPr>
          <w:sz w:val="20"/>
          <w:szCs w:val="20"/>
          <w:color w:val="auto"/>
        </w:rPr>
      </w:pPr>
    </w:p>
    <w:p>
      <w:pPr>
        <w:jc w:val="both"/>
        <w:ind w:firstLine="656"/>
        <w:spacing w:after="0" w:line="254" w:lineRule="auto"/>
        <w:tabs>
          <w:tab w:leader="none" w:pos="90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 in case it shall default in the payment of any installment of interest on any of the Securities of a series, and such default shall have continued for a period of 30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or in any payment required by any sinking or analogous fund established with respect to that series as and when the same shall have become due and payable,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7.6.</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5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7.6.</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0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7.6, be for the ratable benefit of the holders of the Securities of such series.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22" w:name="page123"/>
    <w:bookmarkEnd w:id="122"/>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6.3</w:t>
      </w:r>
      <w:r>
        <w:rPr>
          <w:sz w:val="20"/>
          <w:szCs w:val="20"/>
          <w:color w:val="auto"/>
        </w:rPr>
        <w:tab/>
      </w:r>
      <w:r>
        <w:rPr>
          <w:rFonts w:ascii="Times New Roman" w:cs="Times New Roman" w:eastAsia="Times New Roman" w:hAnsi="Times New Roman"/>
          <w:sz w:val="17"/>
          <w:szCs w:val="17"/>
          <w:b w:val="1"/>
          <w:bCs w:val="1"/>
          <w:color w:val="auto"/>
        </w:rPr>
        <w:t>APPLICATION OF MONEYS COLLECTED.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moneys collected by the Trustee pursuant to this Article VI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To the payment of reasonable costs and expenses of collection and of all amounts payable to the Trustee under Section 7.6;</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SECOND: To the payment to holders of Securities of the amounts then due and unpaid upon Securities of such series for principal (and premium, if any), amounts payable upon redemption or repurchase of the Securities,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 or any other Person lawfully entitled thereto.</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pursuant to this Section 6.3. At least 15 days before such record date, the Company shall mail to each holder and the Trustee a notice that states the record date, the payment date and the amount to be paid.</w:t>
      </w:r>
    </w:p>
    <w:p>
      <w:pPr>
        <w:spacing w:after="0" w:line="15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6.4</w:t>
      </w:r>
      <w:r>
        <w:rPr>
          <w:sz w:val="20"/>
          <w:szCs w:val="20"/>
          <w:color w:val="auto"/>
        </w:rPr>
        <w:tab/>
      </w:r>
      <w:r>
        <w:rPr>
          <w:rFonts w:ascii="Times New Roman" w:cs="Times New Roman" w:eastAsia="Times New Roman" w:hAnsi="Times New Roman"/>
          <w:sz w:val="17"/>
          <w:szCs w:val="17"/>
          <w:b w:val="1"/>
          <w:bCs w:val="1"/>
          <w:color w:val="auto"/>
        </w:rPr>
        <w:t>LIMITATION ON SUITS.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indemnity reasonably satisfactory to it against the costs, losses, expenses and liabilities to be incurred therein or thereby; (iv) the Trustee for 60 days after its receipt of such notice, request and offer of indemnity, shall have failed to institute any such action, suit or proceeding and (v) during such 60 day period, the holders of a majority in principal amount of the Securities of that series do not give the Trustee a direction inconsistent with the request.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(it being understood that the Trustee does not have an affirmative duty to ascertain whether or not such actions or forbearances are unduly prejudicial to such holders). For the protection and enforcement of the provisions of this Section, each and every Securityholder and the Trustee shall be entitled to such relief as can be given either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23" w:name="page124"/>
    <w:bookmarkEnd w:id="123"/>
    <w:p>
      <w:pPr>
        <w:spacing w:after="0"/>
        <w:tabs>
          <w:tab w:leader="none" w:pos="2600" w:val="left"/>
        </w:tabs>
        <w:rPr>
          <w:sz w:val="20"/>
          <w:szCs w:val="20"/>
          <w:color w:val="auto"/>
        </w:rPr>
      </w:pPr>
      <w:r>
        <w:rPr>
          <w:rFonts w:ascii="Times New Roman" w:cs="Times New Roman" w:eastAsia="Times New Roman" w:hAnsi="Times New Roman"/>
          <w:sz w:val="18"/>
          <w:szCs w:val="18"/>
          <w:b w:val="1"/>
          <w:bCs w:val="1"/>
          <w:color w:val="auto"/>
        </w:rPr>
        <w:t>SECTION 6.5</w:t>
      </w:r>
      <w:r>
        <w:rPr>
          <w:sz w:val="20"/>
          <w:szCs w:val="20"/>
          <w:color w:val="auto"/>
        </w:rPr>
        <w:tab/>
      </w:r>
      <w:r>
        <w:rPr>
          <w:rFonts w:ascii="Times New Roman" w:cs="Times New Roman" w:eastAsia="Times New Roman" w:hAnsi="Times New Roman"/>
          <w:sz w:val="17"/>
          <w:szCs w:val="17"/>
          <w:b w:val="1"/>
          <w:bCs w:val="1"/>
          <w:color w:val="auto"/>
        </w:rPr>
        <w:t>RIGHTS AND REMEDIES CUMULATIVE; DELAY OR OMISSION NOT WAIVER.</w:t>
      </w:r>
    </w:p>
    <w:p>
      <w:pPr>
        <w:spacing w:after="0" w:line="229" w:lineRule="exact"/>
        <w:rPr>
          <w:sz w:val="20"/>
          <w:szCs w:val="20"/>
          <w:color w:val="auto"/>
        </w:rPr>
      </w:pPr>
    </w:p>
    <w:p>
      <w:pPr>
        <w:jc w:val="both"/>
        <w:ind w:firstLine="656"/>
        <w:spacing w:after="0" w:line="261" w:lineRule="auto"/>
        <w:tabs>
          <w:tab w:leader="none" w:pos="89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2.7, all powers and remedies given by this Article VI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6.4, every power and remedy given by this Article VI or by law to the Trustee or the Securityholders may be exercised from time to time, and as often as shall be deemed expedient, by the Trustee or by the Securityholders.</w:t>
      </w:r>
    </w:p>
    <w:p>
      <w:pPr>
        <w:spacing w:after="0" w:line="176"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6.6</w:t>
      </w:r>
      <w:r>
        <w:rPr>
          <w:sz w:val="20"/>
          <w:szCs w:val="20"/>
          <w:color w:val="auto"/>
        </w:rPr>
        <w:tab/>
      </w:r>
      <w:r>
        <w:rPr>
          <w:rFonts w:ascii="Times New Roman" w:cs="Times New Roman" w:eastAsia="Times New Roman" w:hAnsi="Times New Roman"/>
          <w:sz w:val="17"/>
          <w:szCs w:val="17"/>
          <w:b w:val="1"/>
          <w:bCs w:val="1"/>
          <w:color w:val="auto"/>
        </w:rPr>
        <w:t>CONTROL BY SECURITYHOLDERS.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Subject to the provisions of Section 7.1, the Trustee shall have the right to decline to follow any such direction if the Trustee in good faith shall, by a Trust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8.4, may on behalf of the holders of all of the Securities of such series waive any past default in the performance of any of the covenants contained herein or established pursuant to Section 2.1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6.1(c)), which requires the consent of each holder affected by such waiver.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9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6.7</w:t>
      </w:r>
      <w:r>
        <w:rPr>
          <w:sz w:val="20"/>
          <w:szCs w:val="20"/>
          <w:color w:val="auto"/>
        </w:rPr>
        <w:tab/>
      </w:r>
      <w:r>
        <w:rPr>
          <w:rFonts w:ascii="Times New Roman" w:cs="Times New Roman" w:eastAsia="Times New Roman" w:hAnsi="Times New Roman"/>
          <w:sz w:val="17"/>
          <w:szCs w:val="17"/>
          <w:b w:val="1"/>
          <w:bCs w:val="1"/>
          <w:color w:val="auto"/>
        </w:rPr>
        <w:t>UNDERTAKING TO PAY COSTS.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7.1</w:t>
      </w:r>
      <w:r>
        <w:rPr>
          <w:sz w:val="20"/>
          <w:szCs w:val="20"/>
          <w:color w:val="auto"/>
        </w:rPr>
        <w:tab/>
      </w:r>
      <w:r>
        <w:rPr>
          <w:rFonts w:ascii="Times New Roman" w:cs="Times New Roman" w:eastAsia="Times New Roman" w:hAnsi="Times New Roman"/>
          <w:sz w:val="17"/>
          <w:szCs w:val="17"/>
          <w:b w:val="1"/>
          <w:bCs w:val="1"/>
          <w:color w:val="auto"/>
        </w:rPr>
        <w:t>CERTAIN DUTIES AND RESPONSIBILITIES OF TRUSTEE.</w:t>
      </w:r>
    </w:p>
    <w:p>
      <w:pPr>
        <w:spacing w:after="0" w:line="229" w:lineRule="exact"/>
        <w:rPr>
          <w:sz w:val="20"/>
          <w:szCs w:val="20"/>
          <w:color w:val="auto"/>
        </w:rPr>
      </w:pPr>
    </w:p>
    <w:p>
      <w:pPr>
        <w:jc w:val="both"/>
        <w:ind w:firstLine="656"/>
        <w:spacing w:after="0" w:line="253" w:lineRule="auto"/>
        <w:tabs>
          <w:tab w:leader="none" w:pos="89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his or her own affairs. Except during the continuance of an Event of Default with respect to the Securities of a series, in the absence of bad faith on its part, the Trustee may with respect to the Securities of such series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1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subsection (b) shall not be construed to limit the effect of subsection (a) of this Section;</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7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Trust Officer or Trust Officers of the Trustee, unless it shall be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4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9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25" w:name="page126"/>
    <w:bookmarkEnd w:id="125"/>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7.2</w:t>
      </w:r>
      <w:r>
        <w:rPr>
          <w:sz w:val="20"/>
          <w:szCs w:val="20"/>
          <w:color w:val="auto"/>
        </w:rPr>
        <w:tab/>
      </w:r>
      <w:r>
        <w:rPr>
          <w:rFonts w:ascii="Times New Roman" w:cs="Times New Roman" w:eastAsia="Times New Roman" w:hAnsi="Times New Roman"/>
          <w:sz w:val="17"/>
          <w:szCs w:val="17"/>
          <w:b w:val="1"/>
          <w:bCs w:val="1"/>
          <w:color w:val="auto"/>
        </w:rPr>
        <w:t>CERTAIN RIGHTS OF TRUSTEE.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provided in Section 7.1:</w:t>
      </w:r>
    </w:p>
    <w:p>
      <w:pPr>
        <w:spacing w:after="0" w:line="225" w:lineRule="exact"/>
        <w:rPr>
          <w:sz w:val="20"/>
          <w:szCs w:val="20"/>
          <w:color w:val="auto"/>
        </w:rPr>
      </w:pPr>
    </w:p>
    <w:p>
      <w:pPr>
        <w:jc w:val="both"/>
        <w:ind w:firstLine="656"/>
        <w:spacing w:after="0" w:line="266" w:lineRule="auto"/>
        <w:tabs>
          <w:tab w:leader="none" w:pos="90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3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advice of such counsel or any Opinion of Counsel shall be full and complete authorization and protection in respect of any action taken or suffered or omitted hereunder in good faith and in reliance thereon;</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0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satisfactory to it against the costs, losses,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person would exercise or use under the circumstances in the conduct of his or her own affairs;</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88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8.4), and, if so requested, except as otherwise prohibited by applicable law or as would reasonably be expected to violate or result in the loss or impairment of any attorney-client or work product privilege, the Trustee shall be entitled to examine the books, records, and premises of the Company, personally or by agent, or attorney, and it shall incur no liability or additional liability of any kind by reason of such inquiry or investigation; provided, however, that the Company shall not be required to provide access or furnish information in the event of any litigation involving this Indenture or the Securities except pursuant to applicable rules of discovery; and provided, further,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92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6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Trust Officer has actual knowledge thereof or unless written notice of any event which is in fact such a default is received by the Trustee at the Corporate Trust Office of the Trustee, and such notice references the Securities and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26" w:name="page127"/>
    <w:bookmarkEnd w:id="126"/>
    <w:p>
      <w:pPr>
        <w:jc w:val="both"/>
        <w:ind w:firstLine="656"/>
        <w:spacing w:after="0" w:line="266" w:lineRule="auto"/>
        <w:tabs>
          <w:tab w:leader="none" w:pos="87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86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the acts or omissions of any other agent of the Company, and may assume performance by any such agent of its duties, absent written notice or actual knowledge to the contrary; and</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 of the Trustee to take the actions permitted by this Indenture shall not be construed as an obligation or duty to do so.</w:t>
      </w:r>
    </w:p>
    <w:p>
      <w:pPr>
        <w:spacing w:after="0" w:line="221"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SECTION 7.3</w:t>
      </w:r>
      <w:r>
        <w:rPr>
          <w:sz w:val="20"/>
          <w:szCs w:val="20"/>
          <w:color w:val="auto"/>
        </w:rPr>
        <w:tab/>
      </w:r>
      <w:r>
        <w:rPr>
          <w:rFonts w:ascii="Times New Roman" w:cs="Times New Roman" w:eastAsia="Times New Roman" w:hAnsi="Times New Roman"/>
          <w:sz w:val="17"/>
          <w:szCs w:val="17"/>
          <w:b w:val="1"/>
          <w:bCs w:val="1"/>
          <w:color w:val="auto"/>
        </w:rPr>
        <w:t>TRUSTEE NOT RESPONSIBLE FOR RECITALS OR ISSUANCE OR SECURITIES.</w:t>
      </w:r>
    </w:p>
    <w:p>
      <w:pPr>
        <w:spacing w:after="0" w:line="229" w:lineRule="exact"/>
        <w:rPr>
          <w:sz w:val="20"/>
          <w:szCs w:val="20"/>
          <w:color w:val="auto"/>
        </w:rPr>
      </w:pPr>
    </w:p>
    <w:p>
      <w:pPr>
        <w:ind w:firstLine="656"/>
        <w:spacing w:after="0" w:line="282" w:lineRule="auto"/>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2.1, or for the use or application of any moneys received by any Paying Agent other than the Trustee.</w:t>
      </w:r>
    </w:p>
    <w:p>
      <w:pPr>
        <w:spacing w:after="0" w:line="172"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SECTION 7.4</w:t>
      </w:r>
      <w:r>
        <w:rPr>
          <w:sz w:val="20"/>
          <w:szCs w:val="20"/>
          <w:color w:val="auto"/>
        </w:rPr>
        <w:tab/>
      </w:r>
      <w:r>
        <w:rPr>
          <w:rFonts w:ascii="Times New Roman" w:cs="Times New Roman" w:eastAsia="Times New Roman" w:hAnsi="Times New Roman"/>
          <w:sz w:val="17"/>
          <w:szCs w:val="17"/>
          <w:b w:val="1"/>
          <w:bCs w:val="1"/>
          <w:color w:val="auto"/>
        </w:rPr>
        <w:t>MAY HOLD SECURITIES AND OTHERWISE DEAL WITH THE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Trust Indenture Act, the Trustee, the Security Registrar, any Paying Agent or any other agent of the Company, in its individual or any other capacity, may buy, own, hold, sell and become the pledgee of any of the Securities or any other evidences of indebtedness or other securities, whether heretofore or hereafter created or issued, of the Company or any Subsidiary or Affiliate of the Company with the same rights it would have if it were not Trustee, Security Registrar, Paying Agent or such other agent; and the Trustee may engage or be interested in any financial or other transaction with the Company or any Subsidiary or Affiliate of the Company, including, without limitation, secured and unsecured loans to the Company or any Subsidiary or Affiliate of the Company; and may maintain any and all other general banking and business relations with the Company and any Subsidiary or Affiliate of the Company with like effect and in the same manner and to the same extent as if the Trustee were not a party to this Indenture; and no implied covenant shall be read into this Indenture against the Trustee in respect of any such matters.</w:t>
      </w:r>
    </w:p>
    <w:p>
      <w:pPr>
        <w:spacing w:after="0" w:line="18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7.5</w:t>
      </w:r>
      <w:r>
        <w:rPr>
          <w:sz w:val="20"/>
          <w:szCs w:val="20"/>
          <w:color w:val="auto"/>
        </w:rPr>
        <w:tab/>
      </w:r>
      <w:r>
        <w:rPr>
          <w:rFonts w:ascii="Times New Roman" w:cs="Times New Roman" w:eastAsia="Times New Roman" w:hAnsi="Times New Roman"/>
          <w:sz w:val="17"/>
          <w:szCs w:val="17"/>
          <w:b w:val="1"/>
          <w:bCs w:val="1"/>
          <w:color w:val="auto"/>
        </w:rPr>
        <w:t>MONEYS HELD IN TRUST.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Sections 11.2, 12.5, 12.6 and 12.7,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27" w:name="page128"/>
    <w:bookmarkEnd w:id="127"/>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7.6</w:t>
      </w:r>
      <w:r>
        <w:rPr>
          <w:sz w:val="20"/>
          <w:szCs w:val="20"/>
          <w:color w:val="auto"/>
        </w:rPr>
        <w:tab/>
      </w:r>
      <w:r>
        <w:rPr>
          <w:rFonts w:ascii="Times New Roman" w:cs="Times New Roman" w:eastAsia="Times New Roman" w:hAnsi="Times New Roman"/>
          <w:sz w:val="17"/>
          <w:szCs w:val="17"/>
          <w:b w:val="1"/>
          <w:bCs w:val="1"/>
          <w:color w:val="auto"/>
        </w:rPr>
        <w:t>COMPENSATION AND REIMBURSEMENT.</w:t>
      </w:r>
    </w:p>
    <w:p>
      <w:pPr>
        <w:spacing w:after="0" w:line="229" w:lineRule="exact"/>
        <w:rPr>
          <w:sz w:val="20"/>
          <w:szCs w:val="20"/>
          <w:color w:val="auto"/>
        </w:rPr>
      </w:pPr>
    </w:p>
    <w:p>
      <w:pPr>
        <w:jc w:val="both"/>
        <w:ind w:firstLine="656"/>
        <w:spacing w:after="0" w:line="253" w:lineRule="auto"/>
        <w:tabs>
          <w:tab w:leader="none" w:pos="90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willful misconduct and except as the Company and Trustee may from time to time agree in writing. The Company also covenants to indemnify the Trustee (and its officers, agents, directors and employees) for, and to hold it harmless against, any loss, costs, damages, liability or expense incurred without negligence or willful misconduct on the part of the Trustee (as determined by a court of competent jurisdiction in a final and non-appealable judgment) and arising out of or in connection with the acceptance or administration of this trust, including the reasonable costs and expenses of defending itself against any claim of liability in the premises.</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Company’s payment obligations in this Section 7.6, the Trustee shall have a lien prior to the Securities of any series on all money or property held or collected by the Trustee, except that held in trust to pay principal of and interest on particular Securities of such series.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6.1(a)(4) or 6.1(a)(5) occurs, the expenses and the compensation for the services are intended to constitute expenses of administration under any Bankruptcy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this Section 7.6 shall survive the resignation or removal of the Trustee and the termination or satisfaction of this Indenture.</w:t>
      </w:r>
    </w:p>
    <w:p>
      <w:pPr>
        <w:spacing w:after="0" w:line="221"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7.7</w:t>
      </w:r>
      <w:r>
        <w:rPr>
          <w:sz w:val="20"/>
          <w:szCs w:val="20"/>
          <w:color w:val="auto"/>
        </w:rPr>
        <w:tab/>
      </w:r>
      <w:r>
        <w:rPr>
          <w:rFonts w:ascii="Times New Roman" w:cs="Times New Roman" w:eastAsia="Times New Roman" w:hAnsi="Times New Roman"/>
          <w:sz w:val="17"/>
          <w:szCs w:val="17"/>
          <w:b w:val="1"/>
          <w:bCs w:val="1"/>
          <w:color w:val="auto"/>
        </w:rPr>
        <w:t>RELIANCE ON OFFICER’S CERTIFICATE.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delivered to the Trustee and such certificate, in the absence of negligence or willful misconduct on the part of the Trustee, shall be full warrant to the Trustee for any action taken, suffered or omitted to be taken by it under the provisions of this Indenture upon the faith thereof.</w:t>
      </w:r>
    </w:p>
    <w:p>
      <w:pPr>
        <w:spacing w:after="0" w:line="18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7.8</w:t>
      </w:r>
      <w:r>
        <w:rPr>
          <w:sz w:val="20"/>
          <w:szCs w:val="20"/>
          <w:color w:val="auto"/>
        </w:rPr>
        <w:tab/>
      </w:r>
      <w:r>
        <w:rPr>
          <w:rFonts w:ascii="Times New Roman" w:cs="Times New Roman" w:eastAsia="Times New Roman" w:hAnsi="Times New Roman"/>
          <w:sz w:val="17"/>
          <w:szCs w:val="17"/>
          <w:b w:val="1"/>
          <w:bCs w:val="1"/>
          <w:color w:val="auto"/>
        </w:rPr>
        <w:t>DISQUALIFICATION; CONFLICTING INTERESTS.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5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7.9</w:t>
      </w:r>
      <w:r>
        <w:rPr>
          <w:sz w:val="20"/>
          <w:szCs w:val="20"/>
          <w:color w:val="auto"/>
        </w:rPr>
        <w:tab/>
      </w:r>
      <w:r>
        <w:rPr>
          <w:rFonts w:ascii="Times New Roman" w:cs="Times New Roman" w:eastAsia="Times New Roman" w:hAnsi="Times New Roman"/>
          <w:sz w:val="17"/>
          <w:szCs w:val="17"/>
          <w:b w:val="1"/>
          <w:bCs w:val="1"/>
          <w:color w:val="auto"/>
        </w:rPr>
        <w:t>CORPORATE TRUSTEE REQUIRED; ELIGIBILITY.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shall at all times be a Trustee with respect to the Securities issued hereunder which shall at all times be a corporation organized and doing business under the laws of the U.S. or any state or territory thereof or of the District of Columbia, or a corporation or other Person permitted to act as trustee by the Commission, authorized under such laws to exercise corporate trust powers, having (or, in the case of a subsidiary of a bank holding company, its bank holding company parent shall have) a combined capital and surplus of at least one hundred million U.S. dollars ($100,000,000), and subject to supervision or examination by federal, state, territorial, or District of Columbia authority.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28" w:name="page129"/>
    <w:bookmarkEnd w:id="128"/>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7.10</w:t>
      </w:r>
      <w:r>
        <w:rPr>
          <w:sz w:val="20"/>
          <w:szCs w:val="20"/>
          <w:color w:val="auto"/>
        </w:rPr>
        <w:tab/>
      </w:r>
      <w:r>
        <w:rPr>
          <w:rFonts w:ascii="Times New Roman" w:cs="Times New Roman" w:eastAsia="Times New Roman" w:hAnsi="Times New Roman"/>
          <w:sz w:val="17"/>
          <w:szCs w:val="17"/>
          <w:b w:val="1"/>
          <w:bCs w:val="1"/>
          <w:color w:val="auto"/>
        </w:rPr>
        <w:t>RESIGNATION AND REMOVAL; APPOINTMENT OF SUCCESSOR.</w:t>
      </w:r>
    </w:p>
    <w:p>
      <w:pPr>
        <w:spacing w:after="0" w:line="229" w:lineRule="exact"/>
        <w:rPr>
          <w:sz w:val="20"/>
          <w:szCs w:val="20"/>
          <w:color w:val="auto"/>
        </w:rPr>
      </w:pPr>
    </w:p>
    <w:p>
      <w:pPr>
        <w:jc w:val="both"/>
        <w:ind w:firstLine="656"/>
        <w:spacing w:after="0" w:line="253" w:lineRule="auto"/>
        <w:tabs>
          <w:tab w:leader="none" w:pos="89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by transmitting notice of resignation by mail, first class postage prepaid (or, in the case of Securities held in book-entry form, by electronic transmission),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at the expense of the Company, petition any court of competent jurisdiction for the appointment of a successor trustee with respect to Securities of such series, or the holders of at least 10% in the aggregate principal amount of Outstanding Securities may petition any such court for the appointment of a successor trustee. Such court may thereupon after such notice, if any, as it may deem proper and prescribe, appoint a successor trustee.</w:t>
      </w:r>
    </w:p>
    <w:p>
      <w:pPr>
        <w:spacing w:after="0" w:line="19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5"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Section 7.8 after written request therefor by the Company or by any Securityholder who has been a bona fide holder of a Security or Securities for at least six months; or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9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7.9 and shall fail to resign after written request therefor by the Company or by any such Securityholder;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42"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3" w:lineRule="exact"/>
        <w:rPr>
          <w:sz w:val="20"/>
          <w:szCs w:val="20"/>
          <w:color w:val="auto"/>
        </w:rPr>
      </w:pPr>
    </w:p>
    <w:p>
      <w:pPr>
        <w:jc w:val="both"/>
        <w:ind w:firstLine="656"/>
        <w:spacing w:after="0" w:line="266" w:lineRule="auto"/>
        <w:tabs>
          <w:tab w:leader="none" w:pos="91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upon 30 days’ notice, remove the Trustee with respect to such series by so notifying the Trustee and the Company and may appoint a successor Trustee for such series with the consent of the Company.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29" w:name="page130"/>
    <w:bookmarkEnd w:id="129"/>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7.11</w:t>
      </w:r>
      <w:r>
        <w:rPr>
          <w:sz w:val="20"/>
          <w:szCs w:val="20"/>
          <w:color w:val="auto"/>
        </w:rPr>
        <w:tab/>
      </w:r>
      <w:r>
        <w:rPr>
          <w:rFonts w:ascii="Times New Roman" w:cs="Times New Roman" w:eastAsia="Times New Roman" w:hAnsi="Times New Roman"/>
          <w:sz w:val="17"/>
          <w:szCs w:val="17"/>
          <w:b w:val="1"/>
          <w:bCs w:val="1"/>
          <w:color w:val="auto"/>
        </w:rPr>
        <w:t>ACCEPTANCE OF APPOINTMENT BY SUCCESSOR.</w:t>
      </w:r>
    </w:p>
    <w:p>
      <w:pPr>
        <w:spacing w:after="0" w:line="229" w:lineRule="exact"/>
        <w:rPr>
          <w:sz w:val="20"/>
          <w:szCs w:val="20"/>
          <w:color w:val="auto"/>
        </w:rPr>
      </w:pPr>
    </w:p>
    <w:p>
      <w:pPr>
        <w:jc w:val="both"/>
        <w:ind w:firstLine="656"/>
        <w:spacing w:after="0" w:line="256" w:lineRule="auto"/>
        <w:tabs>
          <w:tab w:leader="none" w:pos="91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90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1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 VII.</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30" w:name="page131"/>
    <w:bookmarkEnd w:id="130"/>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7.12</w:t>
      </w:r>
      <w:r>
        <w:rPr>
          <w:sz w:val="20"/>
          <w:szCs w:val="20"/>
          <w:color w:val="auto"/>
        </w:rPr>
        <w:tab/>
      </w:r>
      <w:r>
        <w:rPr>
          <w:rFonts w:ascii="Times New Roman" w:cs="Times New Roman" w:eastAsia="Times New Roman" w:hAnsi="Times New Roman"/>
          <w:sz w:val="17"/>
          <w:szCs w:val="17"/>
          <w:b w:val="1"/>
          <w:bCs w:val="1"/>
          <w:color w:val="auto"/>
        </w:rPr>
        <w:t>MERGER, CONVERSION, CONSOLIDATION OR SUCCESSION TO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(including the administration of the trust created by this Indenture), shall be the successor of the Trustee hereunder, provided that such corporation shall be qualified under the provisions of Section 7.8 and eligible under the provisions of Section 7.9,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7.13</w:t>
      </w:r>
      <w:r>
        <w:rPr>
          <w:sz w:val="20"/>
          <w:szCs w:val="20"/>
          <w:color w:val="auto"/>
        </w:rPr>
        <w:tab/>
      </w:r>
      <w:r>
        <w:rPr>
          <w:rFonts w:ascii="Times New Roman" w:cs="Times New Roman" w:eastAsia="Times New Roman" w:hAnsi="Times New Roman"/>
          <w:sz w:val="17"/>
          <w:szCs w:val="17"/>
          <w:b w:val="1"/>
          <w:bCs w:val="1"/>
          <w:color w:val="auto"/>
        </w:rPr>
        <w:t>PREFERENTIAL COLLECTION OF CLAIMS AGAINST THE COMPANY.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5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7.14</w:t>
      </w:r>
      <w:r>
        <w:rPr>
          <w:sz w:val="20"/>
          <w:szCs w:val="20"/>
          <w:color w:val="auto"/>
        </w:rPr>
        <w:tab/>
      </w:r>
      <w:r>
        <w:rPr>
          <w:rFonts w:ascii="Times New Roman" w:cs="Times New Roman" w:eastAsia="Times New Roman" w:hAnsi="Times New Roman"/>
          <w:sz w:val="17"/>
          <w:szCs w:val="17"/>
          <w:b w:val="1"/>
          <w:bCs w:val="1"/>
          <w:color w:val="auto"/>
        </w:rPr>
        <w:t>NOTICE OF DEFAULT.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Default or any Event of Default occurs and is continuing and if the Trustee has notice of such Default or Event of Default, the Trustee shall mail to each Securityholder in the manner and to the extent provided in Section 313(c) of the Trust Indenture Act notice of the Default or Event of Default within 90 days after it occurs (or, the Trustee does not have notice of such Default or Event of Default until after that time, 15 days after the Trustee has notice of such Default or Event of Default), unless such Default or Event of Default has been cured; provided, however, that, except in the case of a default in the payment of the principal of (or premium, if any) or interest on any Security, the Trustee shall be protected in withholding such notice if and so long as the Trustee in good faith determines that the withholding of such notice is in the interest of the Securityholders.</w:t>
      </w:r>
    </w:p>
    <w:p>
      <w:pPr>
        <w:spacing w:after="0" w:line="18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7.15</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Trustee is entering into this Indenture and the other documents contemplated hereby and related hereto to which it is a party solely in its capacity as trustee under the Indenture and not in its individual capacity (except as expressly stated herein) and in no case shall the Trustee (or any Person acting as successor trustee under this Indenture) be personally liable for or on account of any of the statements, representations, warranties, covenants or obligations stated to be those of the Company hereunder or thereunder, all such liability, if any, being expressly waived by the parties hereto and any person claiming by, through or under such party.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8.1</w:t>
      </w:r>
      <w:r>
        <w:rPr>
          <w:sz w:val="20"/>
          <w:szCs w:val="20"/>
          <w:color w:val="auto"/>
        </w:rPr>
        <w:tab/>
      </w:r>
      <w:r>
        <w:rPr>
          <w:rFonts w:ascii="Times New Roman" w:cs="Times New Roman" w:eastAsia="Times New Roman" w:hAnsi="Times New Roman"/>
          <w:sz w:val="17"/>
          <w:szCs w:val="17"/>
          <w:b w:val="1"/>
          <w:bCs w:val="1"/>
          <w:color w:val="auto"/>
        </w:rPr>
        <w:t>EVIDENCE OF ACTION BY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31" w:name="page132"/>
    <w:bookmarkEnd w:id="131"/>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84"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8.2</w:t>
      </w:r>
      <w:r>
        <w:rPr>
          <w:sz w:val="20"/>
          <w:szCs w:val="20"/>
          <w:color w:val="auto"/>
        </w:rPr>
        <w:tab/>
      </w:r>
      <w:r>
        <w:rPr>
          <w:rFonts w:ascii="Times New Roman" w:cs="Times New Roman" w:eastAsia="Times New Roman" w:hAnsi="Times New Roman"/>
          <w:sz w:val="17"/>
          <w:szCs w:val="17"/>
          <w:b w:val="1"/>
          <w:bCs w:val="1"/>
          <w:color w:val="auto"/>
        </w:rPr>
        <w:t>PROOF OF EXECUTION BY SECURITYHOLDERS.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62" w:lineRule="exact"/>
        <w:rPr>
          <w:sz w:val="20"/>
          <w:szCs w:val="20"/>
          <w:color w:val="auto"/>
        </w:rPr>
      </w:pPr>
    </w:p>
    <w:p>
      <w:pPr>
        <w:ind w:left="900" w:hanging="244"/>
        <w:spacing w:after="0"/>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 to the Trustee.</w:t>
      </w:r>
    </w:p>
    <w:p>
      <w:pPr>
        <w:spacing w:after="0" w:line="225" w:lineRule="exact"/>
        <w:rPr>
          <w:rFonts w:ascii="Times New Roman" w:cs="Times New Roman" w:eastAsia="Times New Roman" w:hAnsi="Times New Roman"/>
          <w:sz w:val="18"/>
          <w:szCs w:val="18"/>
          <w:color w:val="auto"/>
        </w:rPr>
      </w:pPr>
    </w:p>
    <w:p>
      <w:pPr>
        <w:ind w:right="340" w:firstLine="656"/>
        <w:spacing w:after="0" w:line="498" w:lineRule="auto"/>
        <w:tabs>
          <w:tab w:leader="none" w:pos="90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1"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8.3</w:t>
      </w:r>
      <w:r>
        <w:rPr>
          <w:sz w:val="20"/>
          <w:szCs w:val="20"/>
          <w:color w:val="auto"/>
        </w:rPr>
        <w:tab/>
      </w:r>
      <w:r>
        <w:rPr>
          <w:rFonts w:ascii="Times New Roman" w:cs="Times New Roman" w:eastAsia="Times New Roman" w:hAnsi="Times New Roman"/>
          <w:sz w:val="17"/>
          <w:szCs w:val="17"/>
          <w:b w:val="1"/>
          <w:bCs w:val="1"/>
          <w:color w:val="auto"/>
        </w:rPr>
        <w:t>WHO MAY BE DEEMED OWNERS.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2.3) interest on such Security and for all other purposes; and neither the Company nor the Trustee nor any Paying Agent nor any Security Registrar shall be affected by any notice to the contrary.</w:t>
      </w:r>
    </w:p>
    <w:p>
      <w:pPr>
        <w:spacing w:after="0" w:line="18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8.4</w:t>
      </w:r>
      <w:r>
        <w:rPr>
          <w:sz w:val="20"/>
          <w:szCs w:val="20"/>
          <w:color w:val="auto"/>
        </w:rPr>
        <w:tab/>
      </w:r>
      <w:r>
        <w:rPr>
          <w:rFonts w:ascii="Times New Roman" w:cs="Times New Roman" w:eastAsia="Times New Roman" w:hAnsi="Times New Roman"/>
          <w:sz w:val="17"/>
          <w:szCs w:val="17"/>
          <w:b w:val="1"/>
          <w:bCs w:val="1"/>
          <w:color w:val="auto"/>
        </w:rPr>
        <w:t>CERTAIN SECURITIES OWNED BY COMPANY DISREGARDED.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4"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8.5</w:t>
      </w:r>
      <w:r>
        <w:rPr>
          <w:sz w:val="20"/>
          <w:szCs w:val="20"/>
          <w:color w:val="auto"/>
        </w:rPr>
        <w:tab/>
      </w:r>
      <w:r>
        <w:rPr>
          <w:rFonts w:ascii="Times New Roman" w:cs="Times New Roman" w:eastAsia="Times New Roman" w:hAnsi="Times New Roman"/>
          <w:sz w:val="17"/>
          <w:szCs w:val="17"/>
          <w:b w:val="1"/>
          <w:bCs w:val="1"/>
          <w:color w:val="auto"/>
        </w:rPr>
        <w:t>ACTIONS BINDING ON FUTURE SECURITYHOLDERS.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5"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18"/>
          <w:szCs w:val="18"/>
          <w:b w:val="1"/>
          <w:bCs w:val="1"/>
          <w:color w:val="auto"/>
        </w:rPr>
        <w:t>SECTION 9.1</w:t>
      </w:r>
      <w:r>
        <w:rPr>
          <w:sz w:val="20"/>
          <w:szCs w:val="20"/>
          <w:color w:val="auto"/>
        </w:rPr>
        <w:tab/>
      </w:r>
      <w:r>
        <w:rPr>
          <w:rFonts w:ascii="Times New Roman" w:cs="Times New Roman" w:eastAsia="Times New Roman" w:hAnsi="Times New Roman"/>
          <w:sz w:val="17"/>
          <w:szCs w:val="17"/>
          <w:b w:val="1"/>
          <w:bCs w:val="1"/>
          <w:color w:val="auto"/>
        </w:rPr>
        <w:t>SUPPLEMENTAL INDENTURES WITHOUT THE CONSENT OF SECURITYHOLDERS.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comply with the provisions of the Trust Indenture Act as then in effect), without the consent of the Securityholders, for one or more of the following purposes:</w:t>
      </w:r>
    </w:p>
    <w:p>
      <w:pPr>
        <w:spacing w:after="0" w:line="176" w:lineRule="exact"/>
        <w:rPr>
          <w:sz w:val="20"/>
          <w:szCs w:val="20"/>
          <w:color w:val="auto"/>
        </w:rPr>
      </w:pPr>
    </w:p>
    <w:p>
      <w:pPr>
        <w:ind w:firstLine="656"/>
        <w:spacing w:after="0" w:line="282" w:lineRule="auto"/>
        <w:tabs>
          <w:tab w:leader="none" w:pos="91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omission or inconsistency herein or in the Securities of any series (with such ambiguity, defect, omission or inconsistency being evidenced by an Officer’s Certificate);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X, including to evidence the succession of another Person to the Company and the assumption by any such successor of the covenants of the Company herein and in the Securities contained or to provide for the assumption of a guarantor’s obligations to holders of the Securities in the case of a merger or consolidation or sale of all or substantially all of the guarantor’s assets;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9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for uncertificated Securities in addition to or in place of certificated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uncertificated Securities are issued in registered form for purposes of Section 163(f) of the Code;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or any guarantor for the benefit of the holders of the Securities of any series or to surrender any right or power conferred upon the Company or any guarantor;</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Securities of any series in accordance with the terms of this Indenture;</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 Trust Indenture Act;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security for the Securities of any series or to provide for any guarantee of the Securities of any series or to confirm or evidence the release, termination or discharge of any guarantee of or lien securing the Securities of any series when such release, termination or discharge is permitted by this Indenture;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6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the Securities of any series or that does not adversely affect the legal rights under this Indenture of any holder;</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8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amendment to the provision of this Indenture relating to the transfer and legending of the Securities of any series; provided, however, that (1) compliance with this Indenture as so amended would not result in Securities of such series being transferred in violation of the Securities Act or any other applicable securities law and (2) such amendment does not materially and adversely affect the rights of holders to transfer Securities of such series;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33" w:name="page134"/>
    <w:bookmarkEnd w:id="133"/>
    <w:p>
      <w:pPr>
        <w:jc w:val="both"/>
        <w:ind w:firstLine="656"/>
        <w:spacing w:after="0" w:line="256" w:lineRule="auto"/>
        <w:tabs>
          <w:tab w:leader="none" w:pos="91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this Indenture, any guarantee of the Securities of any series or the notes to any provision of the “Description of Debt Securities and Guarantees” included in the prospectus forming a part of the registration statement filed by the Company with the Commission on Form S-3 on August 4, 2016 or any subsequent description of Securities contained in any prospectus supplement, to the extent that such provision in that “Description of Debt Securities and Guarantees” or any subsequent description of Securities contained in any prospectus supplement was intended by the Company to be a verbatim recitation of a provision of this Indenture, any guarantee of the Securities of any series or the Securities, as applicable (with such intention being evidenced by an Officer’s Certificate).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9.2.</w:t>
      </w:r>
    </w:p>
    <w:p>
      <w:pPr>
        <w:spacing w:after="0" w:line="158"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SECTION 9.2</w:t>
      </w:r>
      <w:r>
        <w:rPr>
          <w:sz w:val="20"/>
          <w:szCs w:val="20"/>
          <w:color w:val="auto"/>
        </w:rPr>
        <w:tab/>
      </w:r>
      <w:r>
        <w:rPr>
          <w:rFonts w:ascii="Times New Roman" w:cs="Times New Roman" w:eastAsia="Times New Roman" w:hAnsi="Times New Roman"/>
          <w:sz w:val="17"/>
          <w:szCs w:val="17"/>
          <w:b w:val="1"/>
          <w:bCs w:val="1"/>
          <w:color w:val="auto"/>
        </w:rPr>
        <w:t>SUPPLEMENTAL INDENTURES WITH THE CONSENT OF SECURITYHOLDERS.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the consent (evidenced as provided in Section 8.1) of the holders of not less than a majority in aggregate principal amount of the Securities of each series affected by such supplemental indenture or indentures at the time Outstanding (including consents obtained in connection with a tender offer or exchange offer for the Securities), the Company, when authorized by a Board Resolution, and the Trustee may from time to time and at any time enter into an indenture or indentures supplemental hereto (which shall comply with the provisions of the Trust Indenture Act as then in effect) for the purpose of adding any provisions to or changing in any manner or eliminating (or waiving any past default or compliance with) any of the provisions of this Indenture or of any supplemental indenture or of modifying in any manner not covered by Section 9.1 the rights of the holders of the Securities of such series under this Indenture; provided, however, that no such supplemental indenture shall, without the consent of the holders of each Security then Outstanding and affected thereby,</w:t>
      </w:r>
    </w:p>
    <w:p>
      <w:pPr>
        <w:spacing w:after="0" w:line="192" w:lineRule="exact"/>
        <w:rPr>
          <w:sz w:val="20"/>
          <w:szCs w:val="20"/>
          <w:color w:val="auto"/>
        </w:rPr>
      </w:pPr>
    </w:p>
    <w:p>
      <w:pPr>
        <w:ind w:right="20" w:firstLine="656"/>
        <w:spacing w:after="0" w:line="282" w:lineRule="auto"/>
        <w:tabs>
          <w:tab w:leader="none" w:pos="93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or aggregate principal amount of Securities, the holders of which are required to consent to any modification, amendment, supplement or waiver;</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premium, if any, or rate of interest on, such Securities;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fixed maturity of such Securities;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payment of interest on such Securities;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or repurchase price of such Securities or change the time at which the Securities may or must be redeemed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w:t>
      </w:r>
    </w:p>
    <w:p>
      <w:pPr>
        <w:spacing w:after="0" w:line="206"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of payment of principal of, or premium, if any, or interest on, such Securities;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principal of, premium, if any, or interest on such Securities (except as provided in Section 6.1(c));</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release a guarantor of such Securities other than in accordance with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34" w:name="page135"/>
    <w:bookmarkEnd w:id="134"/>
    <w:p>
      <w:pPr>
        <w:ind w:firstLine="656"/>
        <w:spacing w:after="0" w:line="282" w:lineRule="auto"/>
        <w:tabs>
          <w:tab w:leader="none" w:pos="89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or aggregate principal amount of Outstanding Securities the consent of whose holders is necessary for waiver of compliance with certain provisions of this Indenture or for waiver of certain defaults;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after the stated maturity (or, in the case of a redemption, on or after the redemption date) of such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5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9.3</w:t>
      </w:r>
      <w:r>
        <w:rPr>
          <w:sz w:val="20"/>
          <w:szCs w:val="20"/>
          <w:color w:val="auto"/>
        </w:rPr>
        <w:tab/>
      </w:r>
      <w:r>
        <w:rPr>
          <w:rFonts w:ascii="Times New Roman" w:cs="Times New Roman" w:eastAsia="Times New Roman" w:hAnsi="Times New Roman"/>
          <w:sz w:val="17"/>
          <w:szCs w:val="17"/>
          <w:b w:val="1"/>
          <w:bCs w:val="1"/>
          <w:color w:val="auto"/>
        </w:rPr>
        <w:t>EFFECT OF SUPPLEMENTAL INDENTURES.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IX or of Section 10.1,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9.4</w:t>
      </w:r>
      <w:r>
        <w:rPr>
          <w:sz w:val="20"/>
          <w:szCs w:val="20"/>
          <w:color w:val="auto"/>
        </w:rPr>
        <w:tab/>
      </w:r>
      <w:r>
        <w:rPr>
          <w:rFonts w:ascii="Times New Roman" w:cs="Times New Roman" w:eastAsia="Times New Roman" w:hAnsi="Times New Roman"/>
          <w:sz w:val="17"/>
          <w:szCs w:val="17"/>
          <w:b w:val="1"/>
          <w:bCs w:val="1"/>
          <w:color w:val="auto"/>
        </w:rPr>
        <w:t>SECURITIES AFFECTED BY SUPPLEMENTAL INDENTURES.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IX or of Section 10.1,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8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9.5</w:t>
      </w:r>
      <w:r>
        <w:rPr>
          <w:sz w:val="20"/>
          <w:szCs w:val="20"/>
          <w:color w:val="auto"/>
        </w:rPr>
        <w:tab/>
      </w:r>
      <w:r>
        <w:rPr>
          <w:rFonts w:ascii="Times New Roman" w:cs="Times New Roman" w:eastAsia="Times New Roman" w:hAnsi="Times New Roman"/>
          <w:sz w:val="17"/>
          <w:szCs w:val="17"/>
          <w:b w:val="1"/>
          <w:bCs w:val="1"/>
          <w:color w:val="auto"/>
        </w:rPr>
        <w:t>EXECUTION OF SUPPLEMENTAL INDENTURES.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in addition to the documents required by Section 14.7(a), an Officer’s Certificate and an Opinion of Counsel stating that and as conclusive evidence that any supplemental indenture executed pursuant to this Article IX is authorized or permitted by, and conforms to, the terms of this Article IX, constitutes the legal, valid and binding obligation of the Company, enforceable against it in accordance with its terms (subject to customary exceptions) and that it is proper for the Trustee under the provisions of this Article IX to join in the execution thereof.</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Company shall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such notice, or any defect therein, shall not, however, in any way impair or affect the validity of any such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10.1</w:t>
      </w:r>
      <w:r>
        <w:rPr>
          <w:sz w:val="20"/>
          <w:szCs w:val="20"/>
          <w:color w:val="auto"/>
        </w:rPr>
        <w:tab/>
      </w:r>
      <w:r>
        <w:rPr>
          <w:rFonts w:ascii="Times New Roman" w:cs="Times New Roman" w:eastAsia="Times New Roman" w:hAnsi="Times New Roman"/>
          <w:sz w:val="17"/>
          <w:szCs w:val="17"/>
          <w:b w:val="1"/>
          <w:bCs w:val="1"/>
          <w:color w:val="auto"/>
        </w:rPr>
        <w:t>COMPANY MAY CONSOLIDATE, ETC.</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Except as provided pursuant to Section 2.1 pursuant to a Board Resolution, and set forth in an Officer’s Certificate, or established in one or more indentures supplemental to this Indenture,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(a)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2.1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18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10.2</w:t>
      </w:r>
      <w:r>
        <w:rPr>
          <w:sz w:val="20"/>
          <w:szCs w:val="20"/>
          <w:color w:val="auto"/>
        </w:rPr>
        <w:tab/>
      </w:r>
      <w:r>
        <w:rPr>
          <w:rFonts w:ascii="Times New Roman" w:cs="Times New Roman" w:eastAsia="Times New Roman" w:hAnsi="Times New Roman"/>
          <w:sz w:val="17"/>
          <w:szCs w:val="17"/>
          <w:b w:val="1"/>
          <w:bCs w:val="1"/>
          <w:color w:val="auto"/>
        </w:rPr>
        <w:t>SUCCESSOR ENTITY SUBSTITUTED.</w:t>
      </w:r>
    </w:p>
    <w:p>
      <w:pPr>
        <w:spacing w:after="0" w:line="229" w:lineRule="exact"/>
        <w:rPr>
          <w:sz w:val="20"/>
          <w:szCs w:val="20"/>
          <w:color w:val="auto"/>
        </w:rPr>
      </w:pPr>
    </w:p>
    <w:p>
      <w:pPr>
        <w:jc w:val="both"/>
        <w:ind w:firstLine="656"/>
        <w:spacing w:after="0" w:line="258" w:lineRule="auto"/>
        <w:tabs>
          <w:tab w:leader="none" w:pos="90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X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7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10.3</w:t>
      </w:r>
      <w:r>
        <w:rPr>
          <w:sz w:val="20"/>
          <w:szCs w:val="20"/>
          <w:color w:val="auto"/>
        </w:rPr>
        <w:tab/>
      </w:r>
      <w:r>
        <w:rPr>
          <w:rFonts w:ascii="Times New Roman" w:cs="Times New Roman" w:eastAsia="Times New Roman" w:hAnsi="Times New Roman"/>
          <w:sz w:val="17"/>
          <w:szCs w:val="17"/>
          <w:b w:val="1"/>
          <w:bCs w:val="1"/>
          <w:color w:val="auto"/>
        </w:rPr>
        <w:t>EVIDENCE OF CONSOLIDATION, ETC. TO TRUSTEE.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subject to the provisions of Section 7.1, shall receive an Officer’s Certificate and an Opinion of Counsel stating that and as conclusive evidence that any such consolidation, merger, sale, conveyance, transfer or other disposition, and any such assumption, comply with the provisions of this Article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5"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b w:val="1"/>
          <w:bCs w:val="1"/>
          <w:color w:val="auto"/>
        </w:rPr>
        <w:t>SECTION 11.1</w:t>
      </w:r>
      <w:r>
        <w:rPr>
          <w:sz w:val="20"/>
          <w:szCs w:val="20"/>
          <w:color w:val="auto"/>
        </w:rPr>
        <w:tab/>
      </w:r>
      <w:r>
        <w:rPr>
          <w:rFonts w:ascii="Times New Roman" w:cs="Times New Roman" w:eastAsia="Times New Roman" w:hAnsi="Times New Roman"/>
          <w:sz w:val="17"/>
          <w:szCs w:val="17"/>
          <w:b w:val="1"/>
          <w:bCs w:val="1"/>
          <w:color w:val="auto"/>
        </w:rPr>
        <w:t>SATISFACTION AND DISCHARGE OF INDENTURE.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Indenture shall upon Company Request cease to be of further effect with respect to any series of Securities (except as to any surviving rights of registration of transfer or exchange of Securities of such series herein expressly provided for or in the form of Security for such series and any right to receive additional amounts), and the Trustee, at the expense of the Company, shall execute proper instruments acknowledging satisfaction and discharge of this Indenture as to such series, when</w:t>
      </w:r>
    </w:p>
    <w:p>
      <w:pPr>
        <w:spacing w:after="0" w:line="180" w:lineRule="exact"/>
        <w:rPr>
          <w:sz w:val="20"/>
          <w:szCs w:val="20"/>
          <w:color w:val="auto"/>
        </w:rPr>
      </w:pPr>
    </w:p>
    <w:p>
      <w:pPr>
        <w:ind w:left="900" w:hanging="244"/>
        <w:spacing w:after="0"/>
        <w:tabs>
          <w:tab w:leader="none" w:pos="9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27"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(i) Securities which have been destroyed, lost or stolen and which have been replaced or paid as provided in Section 2.7 and (ii) Securities for whose payment cash, Governmental Obligations or a combination thereof has theretofore been deposited in trust or segregated and held in trust by the Company and thereafter repaid to the Company or discharged from such trust, as provided in Sections 12.5 and 12.6) have been delivered to the Trustee for cancellation; or</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of such series not theretofore delivered to the Trustee for cancellation, or</w:t>
      </w:r>
    </w:p>
    <w:p>
      <w:pPr>
        <w:spacing w:after="0" w:line="225" w:lineRule="exact"/>
        <w:rPr>
          <w:sz w:val="20"/>
          <w:szCs w:val="20"/>
          <w:color w:val="auto"/>
        </w:rPr>
      </w:pPr>
    </w:p>
    <w:p>
      <w:pPr>
        <w:ind w:left="1600" w:hanging="296"/>
        <w:spacing w:after="0"/>
        <w:tabs>
          <w:tab w:leader="none" w:pos="16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by reason of the mailing of a notice of redemption or otherwise, or</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within one year,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the Company, in the case of (A) or (B) above, has deposited or caused to be deposited with the Trustee as trust funds in trust specifically pledged as security for, and dedicated solely to, the benefit of the Securityholders of the Securities of that series, cash in U.S. dollars, Governmental Obligations or a combination thereof in such amount as will be sufficient, without consideration of any reinvestment of interest,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the Redemption Date, as the case may be;</w:t>
      </w:r>
    </w:p>
    <w:p>
      <w:pPr>
        <w:spacing w:after="0" w:line="183" w:lineRule="exact"/>
        <w:rPr>
          <w:sz w:val="20"/>
          <w:szCs w:val="20"/>
          <w:color w:val="auto"/>
        </w:rPr>
      </w:pPr>
    </w:p>
    <w:p>
      <w:pPr>
        <w:jc w:val="both"/>
        <w:ind w:firstLine="656"/>
        <w:spacing w:after="0" w:line="266" w:lineRule="auto"/>
        <w:tabs>
          <w:tab w:leader="none" w:pos="90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clause (a)(ii), no Event of Default has occurred and is continuing on the date of deposit (other than an Event of Default resulting from the borrowing of funds to be applied to such deposit and any similar deposit relating to other indebtedness and, in each case, the granting of certain liens to secure such borrowing);</w:t>
      </w:r>
    </w:p>
    <w:p>
      <w:pPr>
        <w:spacing w:after="0" w:line="17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guarantor has paid or caused to be paid all other sums payable hereunder by the Company with respect to such series; and</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1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irrevocable instructions to the Trustee under this Indenture to apply the deposited money towards the payment of the notes at maturity or on the redemption date, as the case may be.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with respect to such series, the obligations of the Company to the Trustee with respect to such series under this Section 11.1 and Sections 7.6 and 7.10, the obligations of the Company to any Authenticating Agent under Section 2.10, and, if cash, Governmental Obligations or a combination thereof shall have been deposited with the Trustee pursuant to subclause (ii) of clause (a) of this Section, the obligations of the Trustee under Section 11.2, shall survive.</w:t>
      </w:r>
    </w:p>
    <w:p>
      <w:pPr>
        <w:spacing w:after="0" w:line="176"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11.2</w:t>
      </w:r>
      <w:r>
        <w:rPr>
          <w:sz w:val="20"/>
          <w:szCs w:val="20"/>
          <w:color w:val="auto"/>
        </w:rPr>
        <w:tab/>
      </w:r>
      <w:r>
        <w:rPr>
          <w:rFonts w:ascii="Times New Roman" w:cs="Times New Roman" w:eastAsia="Times New Roman" w:hAnsi="Times New Roman"/>
          <w:sz w:val="17"/>
          <w:szCs w:val="17"/>
          <w:b w:val="1"/>
          <w:bCs w:val="1"/>
          <w:color w:val="auto"/>
        </w:rPr>
        <w:t>APPLICATION OF TRUST MONEY.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provisions of Section 12.6, all cash and Governmental Obligations deposited with the Trustee pursuant to Section 11.1 shall be held in trust and applied by the Trustee, in accordance with the provisions of the series of Securities and this Indenture, to the payment, either directly or through any Paying Agent (including the Company or any of its Subsidiaries acting as Paying Agent) as the Trustee may determine, to the Persons entitled thereto, of all sums due and to become due thereon in respect of the principal of (and premium, if any) and interest, if any, on the Securities for which payment of such cash and Governmental Obligations has been deposited with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37" w:name="page138"/>
    <w:bookmarkEnd w:id="137"/>
    <w:p>
      <w:pPr>
        <w:jc w:val="both"/>
        <w:spacing w:after="0" w:line="255" w:lineRule="auto"/>
        <w:rPr>
          <w:sz w:val="20"/>
          <w:szCs w:val="20"/>
          <w:color w:val="auto"/>
        </w:rPr>
      </w:pPr>
      <w:r>
        <w:rPr>
          <w:rFonts w:ascii="Times New Roman" w:cs="Times New Roman" w:eastAsia="Times New Roman" w:hAnsi="Times New Roman"/>
          <w:sz w:val="18"/>
          <w:szCs w:val="18"/>
          <w:color w:val="auto"/>
        </w:rPr>
        <w:t>If the Trustee or Paying Agent is unable to apply any cash or Governmental Obligations in accordance with this Article XI by reason of any legal proceeding or by reason of any order or judgment of any court or governmental authority enjoining, restraining or otherwise prohibiting such application, then the obligations of the Company under this Indenture and the Securities of such series shall be revived and reinstated as though no deposit had occurred pursuant to this Article XI until such time as the Trustee or Paying Agent is permitted to apply all such cash and Governmental Obligations in accordance with this Article XI; provided, however, that, if the Company has made any payment of principal, premium, if any, interest on or principal of any Securities because of the reinstatement of its obligations, the Company shall be subrogated to the rights of the holders of such Securities to receive such payment from the cash and Governmental Obligations held by the Trustee or Paying Agent.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12.1</w:t>
      </w:r>
      <w:r>
        <w:rPr>
          <w:sz w:val="20"/>
          <w:szCs w:val="20"/>
          <w:color w:val="auto"/>
        </w:rPr>
        <w:tab/>
      </w:r>
      <w:r>
        <w:rPr>
          <w:rFonts w:ascii="Times New Roman" w:cs="Times New Roman" w:eastAsia="Times New Roman" w:hAnsi="Times New Roman"/>
          <w:sz w:val="17"/>
          <w:szCs w:val="17"/>
          <w:b w:val="1"/>
          <w:bCs w:val="1"/>
          <w:color w:val="auto"/>
        </w:rPr>
        <w:t>OPTION TO EFFECT LEGAL DEFEASANCE OR COVENANT DEFEASANCE</w:t>
      </w:r>
      <w:r>
        <w:rPr>
          <w:rFonts w:ascii="Times New Roman" w:cs="Times New Roman" w:eastAsia="Times New Roman" w:hAnsi="Times New Roman"/>
          <w:sz w:val="17"/>
          <w:szCs w:val="17"/>
          <w:b w:val="1"/>
          <w:bCs w:val="1"/>
          <w:i w:val="1"/>
          <w:iCs w:val="1"/>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at any time, at the option of its Board of Directors evidenced by a Board Resolution set forth in an Officer’s Certificate, elect to have either Section 12.2 or 12.3 hereof be applied to all outstanding Securities of a series upon compliance with the conditions set forth below in this Article XII.</w:t>
      </w:r>
    </w:p>
    <w:p>
      <w:pPr>
        <w:spacing w:after="0" w:line="15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12.2</w:t>
      </w:r>
      <w:r>
        <w:rPr>
          <w:sz w:val="20"/>
          <w:szCs w:val="20"/>
          <w:color w:val="auto"/>
        </w:rPr>
        <w:tab/>
      </w:r>
      <w:r>
        <w:rPr>
          <w:rFonts w:ascii="Times New Roman" w:cs="Times New Roman" w:eastAsia="Times New Roman" w:hAnsi="Times New Roman"/>
          <w:sz w:val="17"/>
          <w:szCs w:val="17"/>
          <w:b w:val="1"/>
          <w:bCs w:val="1"/>
          <w:color w:val="auto"/>
        </w:rPr>
        <w:t>LEGAL DEFEASANCE AND DISCHARGE</w:t>
      </w:r>
      <w:r>
        <w:rPr>
          <w:rFonts w:ascii="Times New Roman" w:cs="Times New Roman" w:eastAsia="Times New Roman" w:hAnsi="Times New Roman"/>
          <w:sz w:val="17"/>
          <w:szCs w:val="17"/>
          <w:b w:val="1"/>
          <w:bCs w:val="1"/>
          <w:i w:val="1"/>
          <w:iCs w:val="1"/>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Company’s exercise under Section 12.1 hereof of the option applicable to this Section 12.2 with respect to a series of Securities, the Company will, subject to the satisfaction of the conditions set forth in Section 12.4 hereof, be deemed to have been discharged from its obligations with respect to all outstanding Securities of such series on the date the conditions set forth below are satisfied (hereinafter, “</w:t>
      </w:r>
      <w:r>
        <w:rPr>
          <w:rFonts w:ascii="Times New Roman" w:cs="Times New Roman" w:eastAsia="Times New Roman" w:hAnsi="Times New Roman"/>
          <w:sz w:val="18"/>
          <w:szCs w:val="18"/>
          <w:b w:val="1"/>
          <w:bCs w:val="1"/>
          <w:color w:val="auto"/>
        </w:rPr>
        <w:t>Legal Defeasance</w:t>
      </w:r>
      <w:r>
        <w:rPr>
          <w:rFonts w:ascii="Times New Roman" w:cs="Times New Roman" w:eastAsia="Times New Roman" w:hAnsi="Times New Roman"/>
          <w:sz w:val="18"/>
          <w:szCs w:val="18"/>
          <w:color w:val="auto"/>
        </w:rPr>
        <w:t>”). For this purpose, Legal Defeasance means that the Company will be deemed to have paid and discharged the entire Indebtedness represented by the Outstanding Securities of such series, which will thereafter be deemed to be Outstanding only for the purposes of Section 12.5 hereof and the Articles and other Sections of this Indenture referred to in clauses (1) and (2) below, and to have satisfied all their other obligations under such Securities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92" w:lineRule="exact"/>
        <w:rPr>
          <w:sz w:val="20"/>
          <w:szCs w:val="20"/>
          <w:color w:val="auto"/>
        </w:rPr>
      </w:pPr>
    </w:p>
    <w:p>
      <w:pPr>
        <w:ind w:firstLine="656"/>
        <w:spacing w:after="0" w:line="282" w:lineRule="auto"/>
        <w:tabs>
          <w:tab w:leader="none" w:pos="90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Securities of such series to receive payments in respect of the principal of, premium on, if any, or interest on such Securities when such payments are due from the trust referred to in Section 12.4 hereof;</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such Securities under Article 2 and Section 4.2 hereof;</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hereunder and the Company’s obligations in connection therewith;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XII.</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XII, the Company may exercise its option under this Section 12.2 with respect to a series of Securities, notwithstanding the prior exercise of its option under Section 12.3 hereof with respect to such series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38" w:name="page139"/>
    <w:bookmarkEnd w:id="138"/>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12.3</w:t>
      </w:r>
      <w:r>
        <w:rPr>
          <w:sz w:val="20"/>
          <w:szCs w:val="20"/>
          <w:color w:val="auto"/>
        </w:rPr>
        <w:tab/>
      </w:r>
      <w:r>
        <w:rPr>
          <w:rFonts w:ascii="Times New Roman" w:cs="Times New Roman" w:eastAsia="Times New Roman" w:hAnsi="Times New Roman"/>
          <w:sz w:val="17"/>
          <w:szCs w:val="17"/>
          <w:b w:val="1"/>
          <w:bCs w:val="1"/>
          <w:color w:val="auto"/>
        </w:rPr>
        <w:t>COVENANT DEFEASANCE</w:t>
      </w:r>
      <w:r>
        <w:rPr>
          <w:rFonts w:ascii="Times New Roman" w:cs="Times New Roman" w:eastAsia="Times New Roman" w:hAnsi="Times New Roman"/>
          <w:sz w:val="17"/>
          <w:szCs w:val="17"/>
          <w:b w:val="1"/>
          <w:bCs w:val="1"/>
          <w:i w:val="1"/>
          <w:iCs w:val="1"/>
          <w:color w:val="auto"/>
        </w:rPr>
        <w:t>.</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Upon the Company’s exercise under Section 12.1 hereof of the option applicable to this Section 12.3 with respect to a series of Securities, the Company will, subject to the satisfaction of the conditions set forth in Section 12.4 hereof, be released from its obligations under Section 5.3 and Article X and any additional covenants specified in any Board Resolution or indenture supplemental hereto with respect to the Outstanding Securities of such series on and after the date the conditions set forth in Section 12.4 hereof are satisfied (hereinafter, “</w:t>
      </w:r>
      <w:r>
        <w:rPr>
          <w:rFonts w:ascii="Times New Roman" w:cs="Times New Roman" w:eastAsia="Times New Roman" w:hAnsi="Times New Roman"/>
          <w:sz w:val="17"/>
          <w:szCs w:val="17"/>
          <w:b w:val="1"/>
          <w:bCs w:val="1"/>
          <w:color w:val="auto"/>
        </w:rPr>
        <w:t>Covenant Defeasance</w:t>
      </w:r>
      <w:r>
        <w:rPr>
          <w:rFonts w:ascii="Times New Roman" w:cs="Times New Roman" w:eastAsia="Times New Roman" w:hAnsi="Times New Roman"/>
          <w:sz w:val="17"/>
          <w:szCs w:val="17"/>
          <w:color w:val="auto"/>
        </w:rPr>
        <w:t>”), and the Securities of such series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Securities will not be deemed Outstanding for accounting purposes). For this purpose, Covenant Defeasance means that, with respect to the Outstanding Securities of such series, the Company may omit to comply with and shall have no liability in respect of any term, condition or limitation set forth in Section 5.3 or Article X and any additional covenants specified in any Board Resolution or indenture supplemental hereto, whether directly or indirectly, by reason of any reference elsewhere herein to any such Section or Article or by reason of any reference in any such Section or Article to any other provision herein or in any other document and such omission to comply shall not constitute a Default or an Event of Default under Section 6.1 hereof with respect to Outstanding Securities of such series, but, except as specified above, the remainder of this Indenture and such Securities shall be unaffected thereby.</w:t>
      </w:r>
    </w:p>
    <w:p>
      <w:pPr>
        <w:spacing w:after="0" w:line="17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12.4</w:t>
      </w:r>
      <w:r>
        <w:rPr>
          <w:sz w:val="20"/>
          <w:szCs w:val="20"/>
          <w:color w:val="auto"/>
        </w:rPr>
        <w:tab/>
      </w:r>
      <w:r>
        <w:rPr>
          <w:rFonts w:ascii="Times New Roman" w:cs="Times New Roman" w:eastAsia="Times New Roman" w:hAnsi="Times New Roman"/>
          <w:sz w:val="17"/>
          <w:szCs w:val="17"/>
          <w:b w:val="1"/>
          <w:bCs w:val="1"/>
          <w:color w:val="auto"/>
        </w:rPr>
        <w:t>CONDITIONS TO LEGAL OR COVENANT DEFEASANCE</w:t>
      </w:r>
      <w:r>
        <w:rPr>
          <w:rFonts w:ascii="Times New Roman" w:cs="Times New Roman" w:eastAsia="Times New Roman" w:hAnsi="Times New Roman"/>
          <w:sz w:val="17"/>
          <w:szCs w:val="17"/>
          <w:b w:val="1"/>
          <w:bCs w:val="1"/>
          <w:i w:val="1"/>
          <w:iCs w:val="1"/>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exercise either Legal Defeasance or Covenant Defeasance under either Section 12.2 or 12.3 hereof with respect to the Outstanding Securities of a particular series:</w:t>
      </w:r>
    </w:p>
    <w:p>
      <w:pPr>
        <w:spacing w:after="0" w:line="162" w:lineRule="exact"/>
        <w:rPr>
          <w:sz w:val="20"/>
          <w:szCs w:val="20"/>
          <w:color w:val="auto"/>
        </w:rPr>
      </w:pPr>
    </w:p>
    <w:p>
      <w:pPr>
        <w:jc w:val="both"/>
        <w:ind w:firstLine="656"/>
        <w:spacing w:after="0" w:line="258" w:lineRule="auto"/>
        <w:tabs>
          <w:tab w:leader="none" w:pos="91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irrevocably deposit with the Trustee, in trust, for the benefit of the Securityholders of the Securities of that series, cash in U.S. dollars, Governmental Obligations, or a combination thereof, in such amounts as will be sufficient, in the opinion of a nationally recognized investment bank, appraisal firm, or firm of independent public accountants, to pay the principal of, premium on, if any, and interest on, the Outstanding Securities of such series on the stated date for payment thereof or on the applicable redemption date, as the case may be, and the Company must specify whether the Securities of such series are being defeased to such stated date for payment or to a particular redemption date;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12.2 hereof, the Company must deliver to the Trustee an Opinion of Counsel reasonably acceptable to the Trustee confirming that:</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from, or there has been published by, the Internal Revenue Service a ruling; or</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Indenture, there has been a change in the applicable federal income tax law,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either case to the effect that, and based thereon such Opinion of Counsel shall confirm that, the holders of the Outstanding Securities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76" w:lineRule="exact"/>
        <w:rPr>
          <w:sz w:val="20"/>
          <w:szCs w:val="20"/>
          <w:color w:val="auto"/>
        </w:rPr>
      </w:pPr>
    </w:p>
    <w:p>
      <w:pPr>
        <w:jc w:val="both"/>
        <w:ind w:firstLine="656"/>
        <w:spacing w:after="0" w:line="261" w:lineRule="auto"/>
        <w:tabs>
          <w:tab w:leader="none" w:pos="90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12.3 hereof, the Company must deliver to the Trustee an Opinion of Counsel reasonably acceptable to the Trustee confirming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1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39" w:name="page140"/>
    <w:bookmarkEnd w:id="139"/>
    <w:p>
      <w:pPr>
        <w:jc w:val="both"/>
        <w:ind w:firstLine="656"/>
        <w:spacing w:after="0" w:line="266" w:lineRule="auto"/>
        <w:tabs>
          <w:tab w:leader="none" w:pos="90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is a party or by which the Company is bound;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58" w:lineRule="exact"/>
        <w:rPr>
          <w:sz w:val="20"/>
          <w:szCs w:val="20"/>
          <w:color w:val="auto"/>
        </w:rPr>
      </w:pPr>
    </w:p>
    <w:p>
      <w:pPr>
        <w:jc w:val="both"/>
        <w:ind w:left="1700" w:hanging="1686"/>
        <w:spacing w:after="0" w:line="286" w:lineRule="auto"/>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12.5</w:t>
      </w:r>
      <w:r>
        <w:rPr>
          <w:sz w:val="20"/>
          <w:szCs w:val="20"/>
          <w:color w:val="auto"/>
        </w:rPr>
        <w:tab/>
      </w:r>
      <w:r>
        <w:rPr>
          <w:rFonts w:ascii="Times New Roman" w:cs="Times New Roman" w:eastAsia="Times New Roman" w:hAnsi="Times New Roman"/>
          <w:sz w:val="18"/>
          <w:szCs w:val="18"/>
          <w:b w:val="1"/>
          <w:bCs w:val="1"/>
          <w:color w:val="auto"/>
        </w:rPr>
        <w:t>DEPOSITED MONEY AND GOVERNMENT SECURITIES TO BE HELD IN TRUST; OTHER MISCELLANEOUS PROVISIONS</w:t>
      </w:r>
      <w:r>
        <w:rPr>
          <w:rFonts w:ascii="Times New Roman" w:cs="Times New Roman" w:eastAsia="Times New Roman" w:hAnsi="Times New Roman"/>
          <w:sz w:val="18"/>
          <w:szCs w:val="18"/>
          <w:b w:val="1"/>
          <w:bCs w:val="1"/>
          <w:i w:val="1"/>
          <w:iCs w:val="1"/>
          <w:color w:val="auto"/>
        </w:rPr>
        <w: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Section 12.6 hereof, all cash and Governmental Obligations (including the proceeds thereof) deposited with the Trustee pursuant to Section 12.4 hereof in respect of the Outstanding Securities of a particular series shall be held in trust and applied by the Trustee, in accordance with the provisions of such Securities and this Indenture, to the payment, either directly or through any Paying Agent (including the Company acting as Paying Agent) as the Trustee may determine, to the holders of such Securities of all sums due and to become due thereon in respect of principal, premium, if any, and interest, but such money need not be segregated from other funds except to the extent required by law.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pay and indemnify the Trustee against any tax, fee or other charge imposed on or assessed against the cash or Governmental Obligations deposited pursuant to Section 12.4 hereof or the principal and interest received in respect thereof other than any such tax, fee or other charge which by law is for the account of the holders of the Outstanding Securities of the applicable series.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Article XII to the contrary, the Trustee shall deliver or pay to the Company from time to time upon Company Request any cash or Governmental Obligations held by it as provided in Section 12.4 hereof which, in the opinion of a nationally recognized firm of independent public accountants expressed in a written certification thereof delivered to the Trustee (which may be the opinion delivered under Section 12.4(1) hereof), are in excess of the amount thereof that would then be required to be deposited to effect an equivalent Legal Defeasance or Covenant Defeasance.</w:t>
      </w:r>
    </w:p>
    <w:p>
      <w:pPr>
        <w:spacing w:after="0" w:line="176"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12.6</w:t>
      </w:r>
      <w:r>
        <w:rPr>
          <w:sz w:val="20"/>
          <w:szCs w:val="20"/>
          <w:color w:val="auto"/>
        </w:rPr>
        <w:tab/>
      </w:r>
      <w:r>
        <w:rPr>
          <w:rFonts w:ascii="Times New Roman" w:cs="Times New Roman" w:eastAsia="Times New Roman" w:hAnsi="Times New Roman"/>
          <w:sz w:val="17"/>
          <w:szCs w:val="17"/>
          <w:b w:val="1"/>
          <w:bCs w:val="1"/>
          <w:color w:val="auto"/>
        </w:rPr>
        <w:t>REPAYMENT TO COMPANY</w:t>
      </w:r>
      <w:r>
        <w:rPr>
          <w:rFonts w:ascii="Times New Roman" w:cs="Times New Roman" w:eastAsia="Times New Roman" w:hAnsi="Times New Roman"/>
          <w:sz w:val="17"/>
          <w:szCs w:val="17"/>
          <w:b w:val="1"/>
          <w:bCs w:val="1"/>
          <w:i w:val="1"/>
          <w:iCs w:val="1"/>
          <w:color w:val="auto"/>
        </w:rPr>
        <w: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Any money deposited with the Trustee or any Paying Agent, or then held by the Company, in trust for the payment of the principal of, premium on, if any, or interest on any Security and remaining unclaimed for two years after such principal, premium, if any, or interest, has become due and payable shall, unless otherwise required by mandatory provisions of applicable escheat or abandoned or unclaimed property law, be paid to the Company on its request or (if then held by the Company) will be discharged from such trust; and the holder of such Security will thereafter, as an unsecured general creditor, be permitted to look only to the Company for payment thereof, and all liability of the Trustee or such Paying Agent with respect to such trust money, and all liability of the Company as trustee thereof, will thereupon cease;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Trustee or such Paying Agent, before being required to make any such repayment, may give written notice to the holder of such Security, at such holder’s address as it appears upon the Security Register, that such money remains unclaimed and that, after a date specified therein, which will not be less than 30 days from the date of such notification, any unclaimed balance of such money then remaining will, unless otherwise required by mandatory provisions of applicable escheat or abandoned or unclaimed property law, be repaid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40" w:name="page141"/>
    <w:bookmarkEnd w:id="140"/>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12.7</w:t>
      </w:r>
      <w:r>
        <w:rPr>
          <w:sz w:val="20"/>
          <w:szCs w:val="20"/>
          <w:color w:val="auto"/>
        </w:rPr>
        <w:tab/>
      </w:r>
      <w:r>
        <w:rPr>
          <w:rFonts w:ascii="Times New Roman" w:cs="Times New Roman" w:eastAsia="Times New Roman" w:hAnsi="Times New Roman"/>
          <w:sz w:val="17"/>
          <w:szCs w:val="17"/>
          <w:b w:val="1"/>
          <w:bCs w:val="1"/>
          <w:color w:val="auto"/>
        </w:rPr>
        <w:t>REINSTATEMENT.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cash or Governmental Obligations in accordance with Section 12.2 or 12.3 hereof, as the case may be, by reason of any order or judgment of any court or governmental authority enjoining, restraining or otherwise prohibiting such application, then the Company’s obligations under this Indenture and the Securities of the particular series shall be revived and reinstated as though no deposit had occurred pursuant to Section 12.2 or 12.3 hereof until such time as the Trustee or Paying Agent is permitted to apply all such cash or Governmental Obligations in accordance with Section 12.2 or 12.3 hereof,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makes any payment of principal of, premium on, if any, or interest on, any Security of the particular series following the reinstatement of its obligations, the Company shall be subrogated to the rights of the holders of such Securities to receive such payment from the cash or Governmental Obligations held by the Trustee or Paying Agent.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AND DIRECTORS</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13.1</w:t>
      </w:r>
      <w:r>
        <w:rPr>
          <w:sz w:val="20"/>
          <w:szCs w:val="20"/>
          <w:color w:val="auto"/>
        </w:rPr>
        <w:tab/>
      </w:r>
      <w:r>
        <w:rPr>
          <w:rFonts w:ascii="Times New Roman" w:cs="Times New Roman" w:eastAsia="Times New Roman" w:hAnsi="Times New Roman"/>
          <w:sz w:val="17"/>
          <w:szCs w:val="17"/>
          <w:b w:val="1"/>
          <w:bCs w:val="1"/>
          <w:color w:val="auto"/>
        </w:rPr>
        <w:t>NO RECOURSE.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14.1</w:t>
      </w:r>
      <w:r>
        <w:rPr>
          <w:sz w:val="20"/>
          <w:szCs w:val="20"/>
          <w:color w:val="auto"/>
        </w:rPr>
        <w:tab/>
      </w:r>
      <w:r>
        <w:rPr>
          <w:rFonts w:ascii="Times New Roman" w:cs="Times New Roman" w:eastAsia="Times New Roman" w:hAnsi="Times New Roman"/>
          <w:sz w:val="17"/>
          <w:szCs w:val="17"/>
          <w:b w:val="1"/>
          <w:bCs w:val="1"/>
          <w:color w:val="auto"/>
        </w:rPr>
        <w:t>EFFECT ON SUCCESSORS AND ASSIGNS.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 All the covenants, stipulations, promises and agreements in this Indenture made by or on behalf of the Trustee shall bind its successors and assigns, whether so expressed or not.</w:t>
      </w:r>
    </w:p>
    <w:p>
      <w:pPr>
        <w:spacing w:after="0" w:line="17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14.2</w:t>
      </w:r>
      <w:r>
        <w:rPr>
          <w:sz w:val="20"/>
          <w:szCs w:val="20"/>
          <w:color w:val="auto"/>
        </w:rPr>
        <w:tab/>
      </w:r>
      <w:r>
        <w:rPr>
          <w:rFonts w:ascii="Times New Roman" w:cs="Times New Roman" w:eastAsia="Times New Roman" w:hAnsi="Times New Roman"/>
          <w:sz w:val="17"/>
          <w:szCs w:val="17"/>
          <w:b w:val="1"/>
          <w:bCs w:val="1"/>
          <w:color w:val="auto"/>
        </w:rPr>
        <w:t>ACTIONS BY SUCCESSOR.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41" w:name="page142"/>
    <w:bookmarkEnd w:id="141"/>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14.3</w:t>
      </w:r>
      <w:r>
        <w:rPr>
          <w:sz w:val="20"/>
          <w:szCs w:val="20"/>
          <w:color w:val="auto"/>
        </w:rPr>
        <w:tab/>
      </w:r>
      <w:r>
        <w:rPr>
          <w:rFonts w:ascii="Times New Roman" w:cs="Times New Roman" w:eastAsia="Times New Roman" w:hAnsi="Times New Roman"/>
          <w:sz w:val="17"/>
          <w:szCs w:val="17"/>
          <w:b w:val="1"/>
          <w:bCs w:val="1"/>
          <w:color w:val="auto"/>
        </w:rPr>
        <w:t>SURRENDER OF COMPANY POWERS.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5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14.4</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as follows: Arcturus Therapeutics Holdings Inc., 10628 Science Center Drive, Suite 250, San Diego, California 92121, Attention: Secretary.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8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14.5</w:t>
      </w:r>
      <w:r>
        <w:rPr>
          <w:sz w:val="20"/>
          <w:szCs w:val="20"/>
          <w:color w:val="auto"/>
        </w:rPr>
        <w:tab/>
      </w:r>
      <w:r>
        <w:rPr>
          <w:rFonts w:ascii="Times New Roman" w:cs="Times New Roman" w:eastAsia="Times New Roman" w:hAnsi="Times New Roman"/>
          <w:sz w:val="17"/>
          <w:szCs w:val="17"/>
          <w:b w:val="1"/>
          <w:bCs w:val="1"/>
          <w:color w:val="auto"/>
        </w:rPr>
        <w:t>GOVERNING LAW/WAIVER OF JURY TRIAL.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Indenture and each Security shall be deemed to be a contract made under the internal laws of the State of New York, and for all purposes shall be construed in accordance with the laws of said State, except to the extent that the Trust Indenture Act is applicable. EACH PARTY HERETO HEREBY WAIVES, TO THE FULLEST EXTENT PERMITTED BY APPLICABLE LAW, ANY RIGHT IT MAY HAVE TO A TRIAL BY JURY IN RESPECT OF ANY LITIGATION DIRECTLY OR INDIRECTLY ARISING OUT OF, UNDER OR IN CONNECTION WITH THIS AGREEMENT.</w:t>
      </w:r>
    </w:p>
    <w:p>
      <w:pPr>
        <w:spacing w:after="0" w:line="176"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14.6</w:t>
      </w:r>
      <w:r>
        <w:rPr>
          <w:sz w:val="20"/>
          <w:szCs w:val="20"/>
          <w:color w:val="auto"/>
        </w:rPr>
        <w:tab/>
      </w:r>
      <w:r>
        <w:rPr>
          <w:rFonts w:ascii="Times New Roman" w:cs="Times New Roman" w:eastAsia="Times New Roman" w:hAnsi="Times New Roman"/>
          <w:sz w:val="17"/>
          <w:szCs w:val="17"/>
          <w:b w:val="1"/>
          <w:bCs w:val="1"/>
          <w:color w:val="auto"/>
        </w:rPr>
        <w:t>TREATMENT OF SECURITIES AS 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5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14.7</w:t>
      </w:r>
      <w:r>
        <w:rPr>
          <w:sz w:val="20"/>
          <w:szCs w:val="20"/>
          <w:color w:val="auto"/>
        </w:rPr>
        <w:tab/>
      </w:r>
      <w:r>
        <w:rPr>
          <w:rFonts w:ascii="Times New Roman" w:cs="Times New Roman" w:eastAsia="Times New Roman" w:hAnsi="Times New Roman"/>
          <w:sz w:val="17"/>
          <w:szCs w:val="17"/>
          <w:b w:val="1"/>
          <w:bCs w:val="1"/>
          <w:color w:val="auto"/>
        </w:rPr>
        <w:t>COMPLIANCE CERTIFICATES AND OPINIONS.</w:t>
      </w:r>
    </w:p>
    <w:p>
      <w:pPr>
        <w:spacing w:after="0" w:line="229" w:lineRule="exact"/>
        <w:rPr>
          <w:sz w:val="20"/>
          <w:szCs w:val="20"/>
          <w:color w:val="auto"/>
        </w:rPr>
      </w:pPr>
    </w:p>
    <w:p>
      <w:pPr>
        <w:jc w:val="both"/>
        <w:ind w:firstLine="656"/>
        <w:spacing w:after="0" w:line="258" w:lineRule="auto"/>
        <w:tabs>
          <w:tab w:leader="none" w:pos="89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0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14.8</w:t>
      </w:r>
      <w:r>
        <w:rPr>
          <w:sz w:val="20"/>
          <w:szCs w:val="20"/>
          <w:color w:val="auto"/>
        </w:rPr>
        <w:tab/>
      </w:r>
      <w:r>
        <w:rPr>
          <w:rFonts w:ascii="Times New Roman" w:cs="Times New Roman" w:eastAsia="Times New Roman" w:hAnsi="Times New Roman"/>
          <w:sz w:val="17"/>
          <w:szCs w:val="17"/>
          <w:b w:val="1"/>
          <w:bCs w:val="1"/>
          <w:color w:val="auto"/>
        </w:rPr>
        <w:t>PAYMENTS ON BUSINESS DAYS.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provided pursuant to Section 2.1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42" w:name="page143"/>
    <w:bookmarkEnd w:id="142"/>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14.9</w:t>
      </w:r>
      <w:r>
        <w:rPr>
          <w:sz w:val="20"/>
          <w:szCs w:val="20"/>
          <w:color w:val="auto"/>
        </w:rPr>
        <w:tab/>
      </w:r>
      <w:r>
        <w:rPr>
          <w:rFonts w:ascii="Times New Roman" w:cs="Times New Roman" w:eastAsia="Times New Roman" w:hAnsi="Times New Roman"/>
          <w:sz w:val="17"/>
          <w:szCs w:val="17"/>
          <w:b w:val="1"/>
          <w:bCs w:val="1"/>
          <w:color w:val="auto"/>
        </w:rPr>
        <w:t>CONFLICT WITH TRUST INDENTURE ACT.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any provision of the Trust Indenture Act, such Trust Indenture Act provision shall control.</w:t>
      </w:r>
    </w:p>
    <w:p>
      <w:pPr>
        <w:spacing w:after="0" w:line="15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14.10</w:t>
      </w:r>
      <w:r>
        <w:rPr>
          <w:sz w:val="20"/>
          <w:szCs w:val="20"/>
          <w:color w:val="auto"/>
        </w:rPr>
        <w:tab/>
      </w:r>
      <w:r>
        <w:rPr>
          <w:rFonts w:ascii="Times New Roman" w:cs="Times New Roman" w:eastAsia="Times New Roman" w:hAnsi="Times New Roman"/>
          <w:sz w:val="17"/>
          <w:szCs w:val="17"/>
          <w:b w:val="1"/>
          <w:bCs w:val="1"/>
          <w:color w:val="auto"/>
        </w:rPr>
        <w:t>COUNTERPARTS.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deemed an original, but such counterparts shall together constitute but one and the same instrument.</w:t>
      </w:r>
    </w:p>
    <w:p>
      <w:pPr>
        <w:spacing w:after="0" w:line="15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14.11</w:t>
      </w:r>
      <w:r>
        <w:rPr>
          <w:sz w:val="20"/>
          <w:szCs w:val="20"/>
          <w:color w:val="auto"/>
        </w:rPr>
        <w:tab/>
      </w:r>
      <w:r>
        <w:rPr>
          <w:rFonts w:ascii="Times New Roman" w:cs="Times New Roman" w:eastAsia="Times New Roman" w:hAnsi="Times New Roman"/>
          <w:sz w:val="17"/>
          <w:szCs w:val="17"/>
          <w:b w:val="1"/>
          <w:bCs w:val="1"/>
          <w:color w:val="auto"/>
        </w:rPr>
        <w:t>SEVERABILITY.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7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14.12</w:t>
      </w:r>
      <w:r>
        <w:rPr>
          <w:sz w:val="20"/>
          <w:szCs w:val="20"/>
          <w:color w:val="auto"/>
        </w:rPr>
        <w:tab/>
      </w:r>
      <w:r>
        <w:rPr>
          <w:rFonts w:ascii="Times New Roman" w:cs="Times New Roman" w:eastAsia="Times New Roman" w:hAnsi="Times New Roman"/>
          <w:sz w:val="17"/>
          <w:szCs w:val="17"/>
          <w:b w:val="1"/>
          <w:bCs w:val="1"/>
          <w:color w:val="auto"/>
        </w:rPr>
        <w:t>COMPLIANCE CERTIFICATES.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during which any Securities of any series were outstanding, an Officer’s Certificate stating whether or not the signers know of any Default or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14.12, such compliance shall be determined without regard to any period of grace or requirement of notice provided under this Indenture. If any of the officers of the Company signing such certificate has knowledge of such a Default or Event of Default, the certificate shall describe any such Default or Event of Default and its status.</w:t>
      </w:r>
    </w:p>
    <w:p>
      <w:pPr>
        <w:spacing w:after="0" w:line="18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14.13</w:t>
      </w:r>
      <w:r>
        <w:rPr>
          <w:sz w:val="20"/>
          <w:szCs w:val="20"/>
          <w:color w:val="auto"/>
        </w:rPr>
        <w:tab/>
      </w:r>
      <w:r>
        <w:rPr>
          <w:rFonts w:ascii="Times New Roman" w:cs="Times New Roman" w:eastAsia="Times New Roman" w:hAnsi="Times New Roman"/>
          <w:sz w:val="17"/>
          <w:szCs w:val="17"/>
          <w:b w:val="1"/>
          <w:bCs w:val="1"/>
          <w:color w:val="auto"/>
        </w:rPr>
        <w:t>USA PATRIOT ACT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(Title III of Pub. L. 107-56 (signed into law October 26, 2001)) (as amended, modified or supplemented from time to time, the “</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the Trustee, like all financial institutions, is required to obtain, verify, and record information that identifies each Person or legal entity that opens an account. The parties to this Indenture agree that they will provide the Trustee with such information as the Trustee may request in order for the Trustee to satisfy the requirements of the USA Patriot Act.</w:t>
      </w:r>
    </w:p>
    <w:p>
      <w:pPr>
        <w:spacing w:after="0" w:line="176"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14.14</w:t>
      </w:r>
      <w:r>
        <w:rPr>
          <w:sz w:val="20"/>
          <w:szCs w:val="20"/>
          <w:color w:val="auto"/>
        </w:rPr>
        <w:tab/>
      </w:r>
      <w:r>
        <w:rPr>
          <w:rFonts w:ascii="Times New Roman" w:cs="Times New Roman" w:eastAsia="Times New Roman" w:hAnsi="Times New Roman"/>
          <w:sz w:val="17"/>
          <w:szCs w:val="17"/>
          <w:b w:val="1"/>
          <w:bCs w:val="1"/>
          <w:color w:val="auto"/>
        </w:rPr>
        <w:t>CONSENT TO JURISDICTION AND SERVICE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fullest extent permitted by applicable law, each party hereby irrevocably submits to the non-exclusive jurisdiction of any Federal or State court located in the Borough of Manhattan in The City of New York, New York in any suit, action or proceeding based on or arising out of or relating to this Indenture or any Securities and irrevocably agrees that all claims in respect of such suit or proceeding may be determined in any such court. Each party irrevocably waives, to the fullest extent permitted by law, any objection which it may have to the laying of the venue of any such suit, action or proceeding brought in an inconvenient forum. Each party agrees that final judgment in any such suit, action or proceeding brought in such a court shall be conclusive and binding upon such party, and may be enforced in any courts to the jurisdiction of which such party is subject by a suit upon such judgment, provided, that service of process is effected upon such party in the manner specified herein or as otherwise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43" w:name="page144"/>
    <w:bookmarkEnd w:id="143"/>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14.15</w:t>
      </w:r>
      <w:r>
        <w:rPr>
          <w:sz w:val="20"/>
          <w:szCs w:val="20"/>
          <w:color w:val="auto"/>
        </w:rPr>
        <w:tab/>
      </w:r>
      <w:r>
        <w:rPr>
          <w:rFonts w:ascii="Times New Roman" w:cs="Times New Roman" w:eastAsia="Times New Roman" w:hAnsi="Times New Roman"/>
          <w:sz w:val="17"/>
          <w:szCs w:val="17"/>
          <w:b w:val="1"/>
          <w:bCs w:val="1"/>
          <w:color w:val="auto"/>
        </w:rPr>
        <w:t>FORCE MAJEURE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all as of the day and year first above written.</w:t>
      </w:r>
    </w:p>
    <w:p>
      <w:pPr>
        <w:spacing w:after="0" w:line="2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17145</wp:posOffset>
            </wp:positionV>
            <wp:extent cx="30600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 as Trustee</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17145</wp:posOffset>
            </wp:positionV>
            <wp:extent cx="30600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900"/>
          </w:cols>
          <w:pgMar w:left="980" w:top="702" w:right="101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977265" cy="2571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977265" cy="25717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NY 10020-1089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dentons.com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have acted as counsel to Arcturus Therapeutics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of a Registration Statement on 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registration under the Securities Act and the proposed issuance and sale from time to time by the Company of up to an aggregate offering amount of $500,000,000 of the following securities (each a “</w:t>
      </w:r>
      <w:r>
        <w:rPr>
          <w:rFonts w:ascii="Times New Roman" w:cs="Times New Roman" w:eastAsia="Times New Roman" w:hAnsi="Times New Roman"/>
          <w:sz w:val="18"/>
          <w:szCs w:val="18"/>
          <w:u w:val="single" w:color="auto"/>
          <w:color w:val="auto"/>
        </w:rPr>
        <w:t>Company Security</w:t>
      </w:r>
      <w:r>
        <w:rPr>
          <w:rFonts w:ascii="Times New Roman" w:cs="Times New Roman" w:eastAsia="Times New Roman" w:hAnsi="Times New Roman"/>
          <w:sz w:val="18"/>
          <w:szCs w:val="18"/>
          <w:color w:val="auto"/>
        </w:rPr>
        <w:t>” and collectively, or in any combination, the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880" w:hanging="224"/>
        <w:spacing w:after="0"/>
        <w:tabs>
          <w:tab w:leader="none" w:pos="8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Company’s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classes or series of shares of the Company’s preferred stock, par value $0.001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series of debt securities, which may be senior or subordinated debt or senior or subordinated convertible debt (the “</w:t>
      </w:r>
      <w:r>
        <w:rPr>
          <w:rFonts w:ascii="Times New Roman" w:cs="Times New Roman" w:eastAsia="Times New Roman" w:hAnsi="Times New Roman"/>
          <w:sz w:val="18"/>
          <w:szCs w:val="18"/>
          <w:u w:val="single" w:color="auto"/>
          <w:color w:val="auto"/>
        </w:rPr>
        <w:t>Debt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representing the rights to purchase shares of Common Stock, Preferred Stock, or Debt Securities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shares of Common Stock, Preferred Stock or Debt Securities (the “</w:t>
      </w:r>
      <w:r>
        <w:rPr>
          <w:rFonts w:ascii="Times New Roman" w:cs="Times New Roman" w:eastAsia="Times New Roman" w:hAnsi="Times New Roman"/>
          <w:sz w:val="18"/>
          <w:szCs w:val="18"/>
          <w:u w:val="single" w:color="auto"/>
          <w:color w:val="auto"/>
        </w:rPr>
        <w:t>Subscription Rights</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one or more of the Company Securities in one or more series and in any combination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For the purposes of this opinion letter, the Company Securities shall be deemed to include any additional Common Stock, Preferred Stock, Debt Securities, Warrants, Subscription Rights and Units that may be registered pursuant to any registration statement that the Company may hereafter file with the Commission pursuant to Rule 462(b) under the Securities Act.</w:t>
      </w:r>
    </w:p>
    <w:p>
      <w:pPr>
        <w:spacing w:after="0" w:line="176" w:lineRule="exact"/>
        <w:rPr>
          <w:sz w:val="20"/>
          <w:szCs w:val="20"/>
          <w:color w:val="auto"/>
        </w:rPr>
      </w:pPr>
    </w:p>
    <w:p>
      <w:pPr>
        <w:jc w:val="both"/>
        <w:ind w:right="80" w:firstLine="648"/>
        <w:spacing w:after="0" w:line="226" w:lineRule="exact"/>
        <w:rPr>
          <w:sz w:val="20"/>
          <w:szCs w:val="20"/>
          <w:color w:val="auto"/>
        </w:rPr>
      </w:pPr>
      <w:r>
        <w:rPr>
          <w:rFonts w:ascii="Times New Roman" w:cs="Times New Roman" w:eastAsia="Times New Roman" w:hAnsi="Times New Roman"/>
          <w:sz w:val="18"/>
          <w:szCs w:val="18"/>
          <w:color w:val="auto"/>
        </w:rPr>
        <w:t>We advise you that we have also examined the prospectus supplement to the Registration Statement in connection with the registration under the Securities Act of up to $200,000,000 of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 be issued and sold by the Company. We understand that the Company has agreed to issue and sell the Shares, from time to time, through Cantor Fitzgerald &amp; Co. and Wells Fargo Securities, LLC, as sales agents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pursuant to a Controlled Equity Offering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Sales Agreement by and between the Company and the Agents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6" w:name="page147"/>
    <w:bookmarkEnd w:id="146"/>
    <w:p>
      <w:pPr>
        <w:ind w:left="3400"/>
        <w:spacing w:after="0"/>
        <w:rPr>
          <w:sz w:val="20"/>
          <w:szCs w:val="20"/>
          <w:color w:val="auto"/>
        </w:rPr>
      </w:pPr>
      <w:r>
        <w:rPr>
          <w:rFonts w:ascii="Times New Roman" w:cs="Times New Roman" w:eastAsia="Times New Roman" w:hAnsi="Times New Roman"/>
          <w:sz w:val="17"/>
          <w:szCs w:val="17"/>
          <w:color w:val="auto"/>
        </w:rPr>
        <w:t>Arcturus Therapeutics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977265" cy="2571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977265" cy="257175"/>
                    </a:xfrm>
                    <a:prstGeom prst="rect">
                      <a:avLst/>
                    </a:prstGeom>
                    <a:noFill/>
                  </pic:spPr>
                </pic:pic>
              </a:graphicData>
            </a:graphic>
          </wp:anchor>
        </w:drawing>
      </w:r>
    </w:p>
    <w:p>
      <w:pPr>
        <w:spacing w:after="0" w:line="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dentons.com</w:t>
      </w:r>
    </w:p>
    <w:p>
      <w:pPr>
        <w:spacing w:after="0" w:line="243" w:lineRule="exact"/>
        <w:rPr>
          <w:sz w:val="20"/>
          <w:szCs w:val="20"/>
          <w:color w:val="auto"/>
        </w:rPr>
      </w:pPr>
    </w:p>
    <w:p>
      <w:pPr>
        <w:sectPr>
          <w:pgSz w:w="11900" w:h="16838" w:orient="portrait"/>
          <w:cols w:equalWidth="0" w:num="2">
            <w:col w:w="9600" w:space="720"/>
            <w:col w:w="920"/>
          </w:cols>
          <w:pgMar w:left="320" w:top="702" w:right="339" w:bottom="1440" w:gutter="0" w:footer="0" w:header="0"/>
        </w:sectPr>
      </w:pPr>
    </w:p>
    <w:p>
      <w:pPr>
        <w:ind w:left="3400"/>
        <w:spacing w:after="0"/>
        <w:rPr>
          <w:sz w:val="20"/>
          <w:szCs w:val="20"/>
          <w:color w:val="auto"/>
        </w:rPr>
      </w:pPr>
      <w:r>
        <w:rPr>
          <w:rFonts w:ascii="Times New Roman" w:cs="Times New Roman" w:eastAsia="Times New Roman" w:hAnsi="Times New Roman"/>
          <w:sz w:val="17"/>
          <w:szCs w:val="17"/>
          <w:color w:val="auto"/>
        </w:rPr>
        <w:t>Page 2</w:t>
      </w:r>
    </w:p>
    <w:p>
      <w:pPr>
        <w:sectPr>
          <w:pgSz w:w="11900" w:h="16838" w:orient="portrait"/>
          <w:cols w:equalWidth="0" w:num="1">
            <w:col w:w="11240"/>
          </w:cols>
          <w:pgMar w:left="320" w:top="702" w:right="339" w:bottom="1440" w:gutter="0" w:footer="0" w:header="0"/>
          <w:type w:val="continuous"/>
        </w:sectPr>
      </w:pPr>
    </w:p>
    <w:p>
      <w:pPr>
        <w:spacing w:after="0" w:line="21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opinion letter is being furnished to the Company in accordance with the requirements of Item 601(b)(5) of Regulation S-K. The opinions set forth herein are limited to applicable laws as in effect on the date hereof.</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Securities may be issued and sold by the Company from time to time on a delayed or continuous basis pursuant to applicable provisions of Rule 415 under the Securities Act, in amounts, at prices and on terms to be determined in light of market conditions at the time of sale, and as set forth in the Registration Statement, any amendment thereto, the prospectus contained therein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and any supplements to the Prospectus (each, together with the Base Prospectus, a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We are basing this opinion letter on our understanding that, prior to issuing any Company Securities in connection with the Registration Statement, the Company will advise us in writing of the terms thereof and other information material thereto, will afford us an opportunity to review the operative documents pursuant to which such Company Securities are to be issued (including the Registration Statement, the Prospectus and the applicable supplement to the Prospectus, as then in effect) and will file such supplement or amendment to this opinion letter (if any) as we may reasonably consider necessary or appropriate with respect to such Company Securities. However, we undertake no responsibility to monitor the Company’s future compliance with applicable laws, rules or regulations of the Commission or other governmental body.</w:t>
      </w:r>
    </w:p>
    <w:p>
      <w:pPr>
        <w:spacing w:after="0" w:line="18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rendering this opinion, we have examined originals, certified copies or copies otherwise identified as being true copies of the following:</w:t>
      </w:r>
    </w:p>
    <w:p>
      <w:pPr>
        <w:spacing w:after="0" w:line="162" w:lineRule="exact"/>
        <w:rPr>
          <w:sz w:val="20"/>
          <w:szCs w:val="20"/>
          <w:color w:val="auto"/>
        </w:rPr>
      </w:pPr>
    </w:p>
    <w:p>
      <w:pPr>
        <w:ind w:left="900" w:hanging="244"/>
        <w:spacing w:after="0"/>
        <w:tabs>
          <w:tab w:leader="none" w:pos="9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Company, as amended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Company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proceedings of the Company relating to its proposed issuance of the Company Securities; and</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instruments and documents as we have deemed relevant or necessary in connection with our opinions set forth herein.</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Unless otherwise provided in any Prospectus relating to a particular series of Debt Securities, the Debt Securities will be issued pursuant to an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a trustee to be named in the applicable supplement to the Prospectus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Any Debt Securities may be convertible into shares of Common Stock or other Company Securities. The Company Securities are to be sold pursuant to a purchase, underwriting or similar agreement in substantially the form to be filed under a Current Report on Form 8-K. The Warrants will be issued under one or more warrant agreements (each, a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The Subscription Rights will be issued under one or more subscription rights agreements (each a “</w:t>
      </w:r>
      <w:r>
        <w:rPr>
          <w:rFonts w:ascii="Times New Roman" w:cs="Times New Roman" w:eastAsia="Times New Roman" w:hAnsi="Times New Roman"/>
          <w:sz w:val="18"/>
          <w:szCs w:val="18"/>
          <w:u w:val="single" w:color="auto"/>
          <w:color w:val="auto"/>
        </w:rPr>
        <w:t>Subscription Rights Agreement</w:t>
      </w:r>
      <w:r>
        <w:rPr>
          <w:rFonts w:ascii="Times New Roman" w:cs="Times New Roman" w:eastAsia="Times New Roman" w:hAnsi="Times New Roman"/>
          <w:sz w:val="18"/>
          <w:szCs w:val="18"/>
          <w:color w:val="auto"/>
        </w:rPr>
        <w:t>”). The Units will be issued under one or more unit purchase agreements (each a “</w:t>
      </w:r>
      <w:r>
        <w:rPr>
          <w:rFonts w:ascii="Times New Roman" w:cs="Times New Roman" w:eastAsia="Times New Roman" w:hAnsi="Times New Roman"/>
          <w:sz w:val="18"/>
          <w:szCs w:val="18"/>
          <w:u w:val="single" w:color="auto"/>
          <w:color w:val="auto"/>
        </w:rPr>
        <w:t>Unit Purchase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making the aforesaid examinations, we have assumed the genuineness and authenticity of all documents examined by us and all signatures therein and the conformity to originals of all copies of all documents examined by us. We have also assumed that the corporate records furnished to us by the Company include all corporate proceedings taken by it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147" w:name="page148"/>
    <w:bookmarkEnd w:id="147"/>
    <w:p>
      <w:pPr>
        <w:ind w:left="2744"/>
        <w:spacing w:after="0"/>
        <w:rPr>
          <w:sz w:val="20"/>
          <w:szCs w:val="20"/>
          <w:color w:val="auto"/>
        </w:rPr>
      </w:pPr>
      <w:r>
        <w:rPr>
          <w:rFonts w:ascii="Times New Roman" w:cs="Times New Roman" w:eastAsia="Times New Roman" w:hAnsi="Times New Roman"/>
          <w:sz w:val="17"/>
          <w:szCs w:val="17"/>
          <w:color w:val="auto"/>
        </w:rPr>
        <w:t>Arcturus Therapeutics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-111760</wp:posOffset>
            </wp:positionV>
            <wp:extent cx="977265" cy="2571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977265" cy="257175"/>
                    </a:xfrm>
                    <a:prstGeom prst="rect">
                      <a:avLst/>
                    </a:prstGeom>
                    <a:noFill/>
                  </pic:spPr>
                </pic:pic>
              </a:graphicData>
            </a:graphic>
          </wp:anchor>
        </w:drawing>
      </w:r>
    </w:p>
    <w:p>
      <w:pPr>
        <w:spacing w:after="0" w:line="19" w:lineRule="exact"/>
        <w:rPr>
          <w:sz w:val="20"/>
          <w:szCs w:val="20"/>
          <w:color w:val="auto"/>
        </w:rPr>
      </w:pPr>
    </w:p>
    <w:p>
      <w:pPr>
        <w:ind w:left="3384"/>
        <w:spacing w:after="0"/>
        <w:rPr>
          <w:sz w:val="20"/>
          <w:szCs w:val="20"/>
          <w:color w:val="auto"/>
        </w:rPr>
      </w:pPr>
      <w:r>
        <w:rPr>
          <w:rFonts w:ascii="Times New Roman" w:cs="Times New Roman" w:eastAsia="Times New Roman" w:hAnsi="Times New Roman"/>
          <w:sz w:val="18"/>
          <w:szCs w:val="18"/>
          <w:color w:val="auto"/>
        </w:rPr>
        <w:t>,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dentons.com</w:t>
      </w:r>
    </w:p>
    <w:p>
      <w:pPr>
        <w:spacing w:after="0" w:line="243" w:lineRule="exact"/>
        <w:rPr>
          <w:sz w:val="20"/>
          <w:szCs w:val="20"/>
          <w:color w:val="auto"/>
        </w:rPr>
      </w:pPr>
    </w:p>
    <w:p>
      <w:pPr>
        <w:sectPr>
          <w:pgSz w:w="11900" w:h="16838" w:orient="portrait"/>
          <w:cols w:equalWidth="0" w:num="2">
            <w:col w:w="8944" w:space="720"/>
            <w:col w:w="920"/>
          </w:cols>
          <w:pgMar w:left="976" w:top="702" w:right="339" w:bottom="1440" w:gutter="0" w:footer="0" w:header="0"/>
        </w:sectPr>
      </w:pPr>
    </w:p>
    <w:p>
      <w:pPr>
        <w:ind w:left="2744"/>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Based on and subject to the assumptions, qualifications and limitations set forth herein, we are of the opinion that:</w:t>
      </w:r>
    </w:p>
    <w:p>
      <w:pPr>
        <w:sectPr>
          <w:pgSz w:w="11900" w:h="16838" w:orient="portrait"/>
          <w:cols w:equalWidth="0" w:num="1">
            <w:col w:w="10584"/>
          </w:cols>
          <w:pgMar w:left="976" w:top="702" w:right="339" w:bottom="1440" w:gutter="0" w:footer="0" w:header="0"/>
          <w:type w:val="continuous"/>
        </w:sectPr>
      </w:pPr>
    </w:p>
    <w:p>
      <w:pPr>
        <w:spacing w:after="0" w:line="225" w:lineRule="exact"/>
        <w:rPr>
          <w:sz w:val="20"/>
          <w:szCs w:val="20"/>
          <w:color w:val="auto"/>
        </w:rPr>
      </w:pPr>
    </w:p>
    <w:p>
      <w:pPr>
        <w:ind w:left="-656" w:right="20" w:firstLine="656"/>
        <w:spacing w:after="0" w:line="253" w:lineRule="auto"/>
        <w:tabs>
          <w:tab w:leader="none" w:pos="24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Common Stock, when all necessary corporate action of the Company has been taken to approve an issuance of shares of Common Stock, and certificates representing the shares of Common Stock have been duly executed, countersigned, registered and delivered (or non-certificated shares of Common Stock shall have been properly issued), either (i) in accordance with the applicable definitive purchase, underwriting or similar agreement approved by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upon payment of the consideration therefor (which consideration shall not be less than the par value of the Common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for the consideration therefor set forth in the applicable agreement and approved by the Board of Directors, which consideration shall not be less than the par value of the Common Stock, such shares of Common Stock, including the shares of Common Stock that form a part of any Units, will be validly issued, fully paid and non-assessable.</w:t>
      </w:r>
    </w:p>
    <w:p>
      <w:pPr>
        <w:spacing w:after="0" w:line="194" w:lineRule="exact"/>
        <w:rPr>
          <w:rFonts w:ascii="Times New Roman" w:cs="Times New Roman" w:eastAsia="Times New Roman" w:hAnsi="Times New Roman"/>
          <w:sz w:val="18"/>
          <w:szCs w:val="18"/>
          <w:color w:val="auto"/>
        </w:rPr>
      </w:pPr>
    </w:p>
    <w:p>
      <w:pPr>
        <w:ind w:left="-656" w:right="20" w:firstLine="656"/>
        <w:spacing w:after="0" w:line="253" w:lineRule="auto"/>
        <w:tabs>
          <w:tab w:leader="none" w:pos="24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any series of Preferred Stock, when all necessary corporate action of the Company has been taken to approve an issuance of shares of Preferred Stock and the terms of the shares of such series, including the adoption of a certificate of designation or amendment to the Articles of Incorporation fixing and determining the terms of such Preferred Stock conforming to the Delaware General Corporation Law, the filing of a certificate or amendment, as applicable, with the Secretary of State of the State of Delaware, the payment in full of any filing fees attendant thereto, and the due reservation of any Common Stock and Preferred Stock for issuance, and certificates representing the shares of the series of Preferred Stock have been duly executed, countersigned, registered and delivered, either (i) in accordance with the applicable definitive purchase, underwriting or similar agreement approved by the Board of Directors, upon payment of the consideration therefor (which consideration shall not be less than the par value of the Preferred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for the consideration approved by the Board of Directors, which consideration shall not be less than the par value of the Preferred Stock, the shares of such series of Preferred Stock, including the shares of Preferred Stock that form a part of any Units, will be validly issued, fully paid and non-assessable.</w:t>
      </w:r>
    </w:p>
    <w:p>
      <w:pPr>
        <w:spacing w:after="0" w:line="189" w:lineRule="exact"/>
        <w:rPr>
          <w:rFonts w:ascii="Times New Roman" w:cs="Times New Roman" w:eastAsia="Times New Roman" w:hAnsi="Times New Roman"/>
          <w:sz w:val="18"/>
          <w:szCs w:val="18"/>
          <w:color w:val="auto"/>
        </w:rPr>
      </w:pPr>
    </w:p>
    <w:p>
      <w:pPr>
        <w:ind w:left="-656" w:right="80" w:firstLine="656"/>
        <w:spacing w:after="0" w:line="254" w:lineRule="auto"/>
        <w:tabs>
          <w:tab w:leader="none" w:pos="24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series of Debt Securities, when (a) the Indenture and the applicable supplement, if any, to the Indenture have been duly authorized and validly executed and delivered by the Company and any Trustee named in the Prospectus relating to such series, (b) the Indenture, as then and theretofore amended or supplemented, has been duly qualified under the Trust Indenture Act of 1939, as amended (the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(c) the Company has taken all necessary corporate action to authorize and approve the issuance and terms of such series of Debt Securities, (d) the terms of such Debt Securities and of their issuance and sale have been duly established in conformity with the applicable Indenture, and (e) such Debt Securities have been duly executed, authenticated, issued and delivered in accordance with the provisions of the Indenture and the applicable supplement, the Debt Securities of such series, including the Debt Securities that form a part of any Units, will constitute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356235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702" w:right="339" w:bottom="1440" w:gutter="0" w:footer="0" w:header="0"/>
          <w:type w:val="continuous"/>
        </w:sectPr>
      </w:pPr>
    </w:p>
    <w:bookmarkStart w:id="148" w:name="page149"/>
    <w:bookmarkEnd w:id="148"/>
    <w:p>
      <w:pPr>
        <w:ind w:left="3400"/>
        <w:spacing w:after="0"/>
        <w:rPr>
          <w:sz w:val="20"/>
          <w:szCs w:val="20"/>
          <w:color w:val="auto"/>
        </w:rPr>
      </w:pPr>
      <w:r>
        <w:rPr>
          <w:rFonts w:ascii="Times New Roman" w:cs="Times New Roman" w:eastAsia="Times New Roman" w:hAnsi="Times New Roman"/>
          <w:sz w:val="17"/>
          <w:szCs w:val="17"/>
          <w:color w:val="auto"/>
        </w:rPr>
        <w:t>Arcturus Therapeutics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977265" cy="2571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977265" cy="257175"/>
                    </a:xfrm>
                    <a:prstGeom prst="rect">
                      <a:avLst/>
                    </a:prstGeom>
                    <a:noFill/>
                  </pic:spPr>
                </pic:pic>
              </a:graphicData>
            </a:graphic>
          </wp:anchor>
        </w:drawing>
      </w:r>
    </w:p>
    <w:p>
      <w:pPr>
        <w:spacing w:after="0" w:line="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dentons.com</w:t>
      </w:r>
    </w:p>
    <w:p>
      <w:pPr>
        <w:spacing w:after="0" w:line="243" w:lineRule="exact"/>
        <w:rPr>
          <w:sz w:val="20"/>
          <w:szCs w:val="20"/>
          <w:color w:val="auto"/>
        </w:rPr>
      </w:pPr>
    </w:p>
    <w:p>
      <w:pPr>
        <w:sectPr>
          <w:pgSz w:w="11900" w:h="16838" w:orient="portrait"/>
          <w:cols w:equalWidth="0" w:num="2">
            <w:col w:w="9600" w:space="720"/>
            <w:col w:w="920"/>
          </w:cols>
          <w:pgMar w:left="320" w:top="702" w:right="339" w:bottom="1440" w:gutter="0" w:footer="0" w:header="0"/>
        </w:sectPr>
      </w:pPr>
    </w:p>
    <w:p>
      <w:pPr>
        <w:ind w:left="3400"/>
        <w:spacing w:after="0"/>
        <w:rPr>
          <w:sz w:val="20"/>
          <w:szCs w:val="20"/>
          <w:color w:val="auto"/>
        </w:rPr>
      </w:pPr>
      <w:r>
        <w:rPr>
          <w:rFonts w:ascii="Times New Roman" w:cs="Times New Roman" w:eastAsia="Times New Roman" w:hAnsi="Times New Roman"/>
          <w:sz w:val="17"/>
          <w:szCs w:val="17"/>
          <w:color w:val="auto"/>
        </w:rPr>
        <w:t>Page 4</w:t>
      </w:r>
    </w:p>
    <w:p>
      <w:pPr>
        <w:sectPr>
          <w:pgSz w:w="11900" w:h="16838" w:orient="portrait"/>
          <w:cols w:equalWidth="0" w:num="1">
            <w:col w:w="11240"/>
          </w:cols>
          <w:pgMar w:left="320" w:top="702" w:right="339" w:bottom="1440" w:gutter="0" w:footer="0" w:header="0"/>
          <w:type w:val="continuous"/>
        </w:sectPr>
      </w:pPr>
    </w:p>
    <w:p>
      <w:pPr>
        <w:spacing w:after="0" w:line="218" w:lineRule="exact"/>
        <w:rPr>
          <w:sz w:val="20"/>
          <w:szCs w:val="20"/>
          <w:color w:val="auto"/>
        </w:rPr>
      </w:pPr>
    </w:p>
    <w:p>
      <w:pPr>
        <w:ind w:right="120" w:firstLine="656"/>
        <w:spacing w:after="0" w:line="256" w:lineRule="auto"/>
        <w:tabs>
          <w:tab w:leader="none" w:pos="90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Warrants to be issued under a Warrant Agreement, when all necessary corporate action of the Company has been taken to approve the issuance and terms of such Warrants, the terms of the offering thereof and related matters, the Warrant Agreement has been duly executed and delivered by the Company, and such Warrants have been duly executed, issued and delivered in accordance with the terms of the Warrant Agreement and the applicable definitive purchase, underwriting or similar agreement approved by the Board of Directors, upon payment (or delivery) of the consideration therefor provided for therein, such Warrants, including the Warrants that form a part of any Units, will constitute valid and binding obligations of the Company, enforceable against the Company in accordance with their terms.</w:t>
      </w:r>
    </w:p>
    <w:p>
      <w:pPr>
        <w:spacing w:after="0" w:line="187" w:lineRule="exact"/>
        <w:rPr>
          <w:rFonts w:ascii="Times New Roman" w:cs="Times New Roman" w:eastAsia="Times New Roman" w:hAnsi="Times New Roman"/>
          <w:sz w:val="18"/>
          <w:szCs w:val="18"/>
          <w:color w:val="auto"/>
        </w:rPr>
      </w:pPr>
    </w:p>
    <w:p>
      <w:pPr>
        <w:ind w:right="40" w:firstLine="656"/>
        <w:spacing w:after="0" w:line="255" w:lineRule="auto"/>
        <w:tabs>
          <w:tab w:leader="none" w:pos="90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Subscription Rights to be issued under a Subscription Rights Agreement, when all necessary corporate action of the Company has been taken to approve the issuance and terms of such Subscription Rights, the terms of the offering thereof and related matters, the Subscription Rights Agreement has been duly executed and delivered by the Company, and such Subscription Rights have been duly executed, issued and delivered in accordance with the terms of the Subscription Rights Agreement and the applicable definitive purchase, underwriting or similar agreement approved by the Board of Directors of the Company, upon payment (or delivery) of the consideration therefor provided for therein, such Subscription Rights, including the Subscription Rights that form a part of any Units, will constitute valid and binding obligations of the Company, enforceable against the Company in accordance with their terms.</w:t>
      </w:r>
    </w:p>
    <w:p>
      <w:pPr>
        <w:spacing w:after="0" w:line="188" w:lineRule="exact"/>
        <w:rPr>
          <w:rFonts w:ascii="Times New Roman" w:cs="Times New Roman" w:eastAsia="Times New Roman" w:hAnsi="Times New Roman"/>
          <w:sz w:val="18"/>
          <w:szCs w:val="18"/>
          <w:color w:val="auto"/>
        </w:rPr>
      </w:pPr>
    </w:p>
    <w:p>
      <w:pPr>
        <w:ind w:right="100" w:firstLine="656"/>
        <w:spacing w:after="0" w:line="254" w:lineRule="auto"/>
        <w:tabs>
          <w:tab w:leader="none" w:pos="90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Units, when all necessary corporate action of the Company has been taken to approve and establish the terms of the Units and to authorize and approve the issuance of the Company Securities comprising the Units, the terms of the offering and related matters, the Unit Purchase Agreement has been duly authorized, validly executed and delivered by the parties thereto, and the Units and/or the Company Securities comprising the Units have been duly executed and delivered in accordance with the applicable definitive purchase, underwriting or similar agreement approved by the Board of Directors, upon payment of the consideration provided therefor in the definitive purchase, underwriting or similar agreement as applicable and approved by the Board of Directors, which consideration shall not be less than the aggregate par value of any Common Stock and/or Preferred Stock included in the Units, the Units will constitute valid and binding obligations of the Company, enforceable against the Company in accordance with their terms.</w:t>
      </w:r>
    </w:p>
    <w:p>
      <w:pPr>
        <w:spacing w:after="0" w:line="191" w:lineRule="exact"/>
        <w:rPr>
          <w:rFonts w:ascii="Times New Roman" w:cs="Times New Roman" w:eastAsia="Times New Roman" w:hAnsi="Times New Roman"/>
          <w:sz w:val="18"/>
          <w:szCs w:val="18"/>
          <w:color w:val="auto"/>
        </w:rPr>
      </w:pPr>
    </w:p>
    <w:p>
      <w:pPr>
        <w:ind w:right="80" w:firstLine="656"/>
        <w:spacing w:after="0" w:line="266" w:lineRule="auto"/>
        <w:tabs>
          <w:tab w:leader="none" w:pos="90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and sold by the Company under the Sales Agreement have been duly authorized and, when such Shares are issued and delivered by the Company against payment therefore in accordance with the terms of the Sales Agreement, will be validly issued, fully paid and nonassessable.</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opinions are subject to the effect of federal and state bankruptcy, insolvency, reorganization, arrangement, moratorium, fraudulent conveyance and other laws relating to or affecting the rights of secured or unsecured creditors generally (or affecting the rights of only creditors of specific types of debtors), with respect to which we express no opinion.</w:t>
      </w:r>
    </w:p>
    <w:p>
      <w:pPr>
        <w:spacing w:after="0" w:line="17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Our opinions are subject to the effect of general principals of equity, whether applied by a court of law or equity, including, without limitation, concepts of materiality, good faith and fair dealing and upon the availability of injunctive relief or other equitable remedies, and the application of principles of equity (regardless of whether enforcement is considered in proceedings at law or in equity).</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express no opinion as to the laws of any jurisdiction other than (i) the corporate laws of the State of Delaware (including the Delaware General Corporation Law and applicable provisions of the Delaware constitution, but excluding local laws), (ii) with respect to opinion paragraphs 3 through 6, the laws of the State of New York, and (iii) the federal laws of the United States of America. We express no opinion to the extent that any other laws are applicable to the subject matter hereof and express no opinion and provide no assurance as to compliance with any federal or state securities law, rule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149" w:name="page150"/>
    <w:bookmarkEnd w:id="149"/>
    <w:p>
      <w:pPr>
        <w:ind w:left="3400"/>
        <w:spacing w:after="0"/>
        <w:rPr>
          <w:sz w:val="20"/>
          <w:szCs w:val="20"/>
          <w:color w:val="auto"/>
        </w:rPr>
      </w:pPr>
      <w:r>
        <w:rPr>
          <w:rFonts w:ascii="Times New Roman" w:cs="Times New Roman" w:eastAsia="Times New Roman" w:hAnsi="Times New Roman"/>
          <w:sz w:val="17"/>
          <w:szCs w:val="17"/>
          <w:color w:val="auto"/>
        </w:rPr>
        <w:t>Arcturus Therapeutics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977265" cy="2571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977265" cy="257175"/>
                    </a:xfrm>
                    <a:prstGeom prst="rect">
                      <a:avLst/>
                    </a:prstGeom>
                    <a:noFill/>
                  </pic:spPr>
                </pic:pic>
              </a:graphicData>
            </a:graphic>
          </wp:anchor>
        </w:drawing>
      </w:r>
    </w:p>
    <w:p>
      <w:pPr>
        <w:spacing w:after="0" w:line="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dentons.com</w:t>
      </w:r>
    </w:p>
    <w:p>
      <w:pPr>
        <w:spacing w:after="0" w:line="243" w:lineRule="exact"/>
        <w:rPr>
          <w:sz w:val="20"/>
          <w:szCs w:val="20"/>
          <w:color w:val="auto"/>
        </w:rPr>
      </w:pPr>
    </w:p>
    <w:p>
      <w:pPr>
        <w:sectPr>
          <w:pgSz w:w="11900" w:h="16838" w:orient="portrait"/>
          <w:cols w:equalWidth="0" w:num="2">
            <w:col w:w="9600" w:space="720"/>
            <w:col w:w="920"/>
          </w:cols>
          <w:pgMar w:left="320" w:top="702" w:right="339" w:bottom="1440" w:gutter="0" w:footer="0" w:header="0"/>
        </w:sectPr>
      </w:pPr>
    </w:p>
    <w:p>
      <w:pPr>
        <w:ind w:left="3400"/>
        <w:spacing w:after="0"/>
        <w:rPr>
          <w:sz w:val="20"/>
          <w:szCs w:val="20"/>
          <w:color w:val="auto"/>
        </w:rPr>
      </w:pPr>
      <w:r>
        <w:rPr>
          <w:rFonts w:ascii="Times New Roman" w:cs="Times New Roman" w:eastAsia="Times New Roman" w:hAnsi="Times New Roman"/>
          <w:sz w:val="17"/>
          <w:szCs w:val="17"/>
          <w:color w:val="auto"/>
        </w:rPr>
        <w:t>Page 5</w:t>
      </w:r>
    </w:p>
    <w:p>
      <w:pPr>
        <w:sectPr>
          <w:pgSz w:w="11900" w:h="16838" w:orient="portrait"/>
          <w:cols w:equalWidth="0" w:num="1">
            <w:col w:w="11240"/>
          </w:cols>
          <w:pgMar w:left="320" w:top="702" w:right="339" w:bottom="1440" w:gutter="0" w:footer="0" w:header="0"/>
          <w:type w:val="continuous"/>
        </w:sectPr>
      </w:pPr>
    </w:p>
    <w:p>
      <w:pPr>
        <w:spacing w:after="0" w:line="21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use of our opinion as herein set forth as an exhibit to the Registration Statement and to the use of our name under the caption “Legal Matters” in the prospectus forming a part of the Registration Statement. We further consent to the incorporation by reference of this opinion into any registration statement filed pursuant to Rule 462(b) under the Securities Act with respect to additional Company Securities. We do not, by giving any such consent, admit that we are within the category of persons whose consent is required under Section 7 of the Securities Act.</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 Dentons US LLP</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Dentons US LLP</w:t>
      </w:r>
    </w:p>
    <w:p>
      <w:pPr>
        <w:sectPr>
          <w:pgSz w:w="11900" w:h="16838" w:orient="portrait"/>
          <w:cols w:equalWidth="0" w:num="1">
            <w:col w:w="11240"/>
          </w:cols>
          <w:pgMar w:left="320" w:top="702" w:right="339" w:bottom="1440" w:gutter="0" w:footer="0" w:header="0"/>
          <w:type w:val="continuous"/>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Arcturus Therapeutics Holdings Inc. for the registration of common stock, preferred stock, debt securities, warrants, rights and units and to the incorporation by reference therein of our reports dated February 28, 2022, with respect to the consolidated financial statements of Arcturus Therapeutics Holdings Inc. and its Subsidiaries, and the effectiveness of internal control over financial reporting of Arcturus Therapeutics Holdings Inc. and its Subsidiaries, included in its Annual Report (Form 10-K) for the year ended December 31, 2021, filed with the Securities and Exchange Commission.</w:t>
      </w:r>
    </w:p>
    <w:p>
      <w:pPr>
        <w:spacing w:after="0" w:line="18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2022</w:t>
      </w:r>
    </w:p>
    <w:p>
      <w:pPr>
        <w:sectPr>
          <w:pgSz w:w="11900" w:h="16838" w:orient="portrait"/>
          <w:cols w:equalWidth="0" w:num="1">
            <w:col w:w="11240"/>
          </w:cols>
          <w:pgMar w:left="320" w:top="360"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840" w:type="dxa"/>
            <w:vAlign w:val="bottom"/>
            <w:tcBorders>
              <w:top w:val="single" w:sz="8" w:color="auto"/>
              <w:left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226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9"/>
              </w:rPr>
              <w:t>Fee</w:t>
            </w:r>
          </w:p>
        </w:tc>
        <w:tc>
          <w:tcPr>
            <w:tcW w:w="24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Proposed</w:t>
            </w:r>
          </w:p>
        </w:tc>
        <w:tc>
          <w:tcPr>
            <w:tcW w:w="122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Calculation</w:t>
            </w: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Security</w:t>
            </w:r>
          </w:p>
        </w:tc>
        <w:tc>
          <w:tcPr>
            <w:tcW w:w="10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or Carry</w:t>
            </w:r>
          </w:p>
        </w:tc>
        <w:tc>
          <w:tcPr>
            <w:tcW w:w="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w:t>
            </w:r>
          </w:p>
        </w:tc>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9"/>
              </w:rPr>
              <w:t>Security</w:t>
            </w:r>
          </w:p>
        </w:tc>
        <w:tc>
          <w:tcPr>
            <w:tcW w:w="226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Class</w:t>
            </w:r>
          </w:p>
        </w:tc>
        <w:tc>
          <w:tcPr>
            <w:tcW w:w="10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Forward</w:t>
            </w:r>
          </w:p>
        </w:tc>
        <w:tc>
          <w:tcPr>
            <w:tcW w:w="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Per</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Offering</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w:t>
            </w: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7"/>
              </w:rPr>
              <w:t>Type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10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Rule</w:t>
            </w:r>
          </w:p>
        </w:tc>
        <w:tc>
          <w:tcPr>
            <w:tcW w:w="2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0" w:type="dxa"/>
            <w:vAlign w:val="bottom"/>
          </w:tcPr>
          <w:p>
            <w:pPr>
              <w:spacing w:after="0"/>
              <w:rPr>
                <w:sz w:val="1"/>
                <w:szCs w:val="1"/>
                <w:color w:val="auto"/>
              </w:rPr>
            </w:pPr>
          </w:p>
        </w:tc>
      </w:tr>
      <w:tr>
        <w:trPr>
          <w:trHeight w:val="228"/>
        </w:trPr>
        <w:tc>
          <w:tcPr>
            <w:tcW w:w="84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Fees to Be</w:t>
            </w:r>
          </w:p>
        </w:tc>
        <w:tc>
          <w:tcPr>
            <w:tcW w:w="1340" w:type="dxa"/>
            <w:vAlign w:val="bottom"/>
            <w:tcBorders>
              <w:right w:val="single" w:sz="8" w:color="auto"/>
            </w:tcBorders>
            <w:shd w:val="clear" w:color="auto" w:fill="CCEEFF"/>
          </w:tcPr>
          <w:p>
            <w:pPr>
              <w:spacing w:after="0"/>
              <w:rPr>
                <w:sz w:val="19"/>
                <w:szCs w:val="19"/>
                <w:color w:val="auto"/>
              </w:rPr>
            </w:pPr>
          </w:p>
        </w:tc>
        <w:tc>
          <w:tcPr>
            <w:tcW w:w="22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shd w:val="clear" w:color="auto" w:fill="CCEEFF"/>
          </w:tcPr>
          <w:p>
            <w:pPr>
              <w:spacing w:after="0"/>
              <w:rPr>
                <w:sz w:val="19"/>
                <w:szCs w:val="19"/>
                <w:color w:val="auto"/>
              </w:rPr>
            </w:pPr>
          </w:p>
        </w:tc>
        <w:tc>
          <w:tcPr>
            <w:tcW w:w="240" w:type="dxa"/>
            <w:vAlign w:val="bottom"/>
            <w:tcBorders>
              <w:right w:val="single" w:sz="8" w:color="auto"/>
            </w:tcBorders>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840" w:type="dxa"/>
            <w:vAlign w:val="bottom"/>
            <w:tcBorders>
              <w:left w:val="single" w:sz="8" w:color="auto"/>
              <w:right w:val="single" w:sz="8" w:color="auto"/>
            </w:tcBorders>
            <w:vMerge w:val="continue"/>
            <w:shd w:val="clear" w:color="auto" w:fill="CCEEFF"/>
          </w:tcPr>
          <w:p>
            <w:pPr>
              <w:spacing w:after="0"/>
              <w:rPr>
                <w:sz w:val="15"/>
                <w:szCs w:val="15"/>
                <w:color w:val="auto"/>
              </w:rPr>
            </w:pPr>
          </w:p>
        </w:tc>
        <w:tc>
          <w:tcPr>
            <w:tcW w:w="1340" w:type="dxa"/>
            <w:vAlign w:val="bottom"/>
            <w:tcBorders>
              <w:right w:val="single" w:sz="8" w:color="auto"/>
            </w:tcBorders>
            <w:shd w:val="clear" w:color="auto" w:fill="CCEEFF"/>
          </w:tcPr>
          <w:p>
            <w:pPr>
              <w:spacing w:after="0"/>
              <w:rPr>
                <w:sz w:val="15"/>
                <w:szCs w:val="15"/>
                <w:color w:val="auto"/>
              </w:rPr>
            </w:pPr>
          </w:p>
        </w:tc>
        <w:tc>
          <w:tcPr>
            <w:tcW w:w="2260" w:type="dxa"/>
            <w:vAlign w:val="bottom"/>
            <w:tcBorders>
              <w:right w:val="single" w:sz="8" w:color="auto"/>
            </w:tcBorders>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100" w:type="dxa"/>
            <w:vAlign w:val="bottom"/>
            <w:tcBorders>
              <w:right w:val="single" w:sz="8" w:color="auto"/>
            </w:tcBorders>
            <w:shd w:val="clear" w:color="auto" w:fill="CCEEFF"/>
          </w:tcPr>
          <w:p>
            <w:pPr>
              <w:spacing w:after="0"/>
              <w:rPr>
                <w:sz w:val="15"/>
                <w:szCs w:val="15"/>
                <w:color w:val="auto"/>
              </w:rPr>
            </w:pPr>
          </w:p>
        </w:tc>
        <w:tc>
          <w:tcPr>
            <w:tcW w:w="1120" w:type="dxa"/>
            <w:vAlign w:val="bottom"/>
            <w:tcBorders>
              <w:right w:val="single" w:sz="8" w:color="auto"/>
            </w:tcBorders>
            <w:shd w:val="clear" w:color="auto" w:fill="CCEEFF"/>
          </w:tcPr>
          <w:p>
            <w:pPr>
              <w:spacing w:after="0"/>
              <w:rPr>
                <w:sz w:val="15"/>
                <w:szCs w:val="15"/>
                <w:color w:val="auto"/>
              </w:rPr>
            </w:pPr>
          </w:p>
        </w:tc>
        <w:tc>
          <w:tcPr>
            <w:tcW w:w="1220" w:type="dxa"/>
            <w:vAlign w:val="bottom"/>
            <w:tcBorders>
              <w:right w:val="single" w:sz="8" w:color="auto"/>
            </w:tcBorders>
            <w:shd w:val="clear" w:color="auto" w:fill="CCEEFF"/>
          </w:tcPr>
          <w:p>
            <w:pPr>
              <w:spacing w:after="0"/>
              <w:rPr>
                <w:sz w:val="15"/>
                <w:szCs w:val="15"/>
                <w:color w:val="auto"/>
              </w:rPr>
            </w:pPr>
          </w:p>
        </w:tc>
        <w:tc>
          <w:tcPr>
            <w:tcW w:w="1000" w:type="dxa"/>
            <w:vAlign w:val="bottom"/>
            <w:tcBorders>
              <w:right w:val="single" w:sz="8" w:color="auto"/>
            </w:tcBorders>
            <w:shd w:val="clear" w:color="auto" w:fill="CCEEFF"/>
          </w:tcPr>
          <w:p>
            <w:pPr>
              <w:spacing w:after="0"/>
              <w:rPr>
                <w:sz w:val="15"/>
                <w:szCs w:val="15"/>
                <w:color w:val="auto"/>
              </w:rPr>
            </w:pPr>
          </w:p>
        </w:tc>
        <w:tc>
          <w:tcPr>
            <w:tcW w:w="11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1340" w:type="dxa"/>
            <w:vAlign w:val="bottom"/>
            <w:tcBorders>
              <w:right w:val="single" w:sz="8" w:color="auto"/>
            </w:tcBorders>
            <w:shd w:val="clear" w:color="auto" w:fill="CCEEFF"/>
          </w:tcPr>
          <w:p>
            <w:pPr>
              <w:spacing w:after="0"/>
              <w:rPr>
                <w:sz w:val="18"/>
                <w:szCs w:val="18"/>
                <w:color w:val="auto"/>
              </w:rPr>
            </w:pPr>
          </w:p>
        </w:tc>
        <w:tc>
          <w:tcPr>
            <w:tcW w:w="22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$0.001 par value per share</w:t>
            </w:r>
          </w:p>
        </w:tc>
        <w:tc>
          <w:tcPr>
            <w:tcW w:w="10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Equity</w:t>
            </w:r>
          </w:p>
        </w:tc>
        <w:tc>
          <w:tcPr>
            <w:tcW w:w="2260" w:type="dxa"/>
            <w:vAlign w:val="bottom"/>
            <w:tcBorders>
              <w:bottom w:val="single" w:sz="8" w:color="auto"/>
              <w:right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(1)</w:t>
            </w:r>
          </w:p>
        </w:tc>
        <w:tc>
          <w:tcPr>
            <w:tcW w:w="10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40" w:type="dxa"/>
            <w:vAlign w:val="bottom"/>
            <w:tcBorders>
              <w:left w:val="single" w:sz="8" w:color="auto"/>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Preferred Stock, $0.001 par</w:t>
            </w:r>
          </w:p>
        </w:tc>
        <w:tc>
          <w:tcPr>
            <w:tcW w:w="10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9"/>
              </w:rPr>
              <w:t>Equity</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per share (1)</w:t>
            </w: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Debt</w:t>
            </w:r>
          </w:p>
        </w:tc>
        <w:tc>
          <w:tcPr>
            <w:tcW w:w="2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Debt Securities</w:t>
            </w:r>
          </w:p>
        </w:tc>
        <w:tc>
          <w:tcPr>
            <w:tcW w:w="10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7"/>
              </w:rPr>
              <w:t>Other</w:t>
            </w:r>
          </w:p>
        </w:tc>
        <w:tc>
          <w:tcPr>
            <w:tcW w:w="22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Warrants</w:t>
            </w: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7"/>
              </w:rPr>
              <w:t>Other</w:t>
            </w:r>
          </w:p>
        </w:tc>
        <w:tc>
          <w:tcPr>
            <w:tcW w:w="2260" w:type="dxa"/>
            <w:vAlign w:val="bottom"/>
            <w:tcBorders>
              <w:bottom w:val="single" w:sz="8" w:color="auto"/>
              <w:right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7"/>
              </w:rPr>
              <w:t>Other</w:t>
            </w:r>
          </w:p>
        </w:tc>
        <w:tc>
          <w:tcPr>
            <w:tcW w:w="22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Rights</w:t>
            </w: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40" w:type="dxa"/>
            <w:vAlign w:val="bottom"/>
            <w:tcBorders>
              <w:left w:val="single" w:sz="8" w:color="auto"/>
              <w:right w:val="single" w:sz="8" w:color="auto"/>
            </w:tcBorders>
            <w:shd w:val="clear" w:color="auto" w:fill="CCEEFF"/>
          </w:tcPr>
          <w:p>
            <w:pPr>
              <w:spacing w:after="0"/>
              <w:rPr>
                <w:sz w:val="16"/>
                <w:szCs w:val="16"/>
                <w:color w:val="auto"/>
              </w:rPr>
            </w:pPr>
          </w:p>
        </w:tc>
        <w:tc>
          <w:tcPr>
            <w:tcW w:w="1340" w:type="dxa"/>
            <w:vAlign w:val="bottom"/>
            <w:tcBorders>
              <w:right w:val="single" w:sz="8" w:color="auto"/>
            </w:tcBorders>
            <w:shd w:val="clear" w:color="auto" w:fill="CCEEFF"/>
          </w:tcPr>
          <w:p>
            <w:pPr>
              <w:jc w:val="center"/>
              <w:ind w:left="210"/>
              <w:spacing w:after="0" w:line="191" w:lineRule="exact"/>
              <w:rPr>
                <w:sz w:val="20"/>
                <w:szCs w:val="20"/>
                <w:color w:val="auto"/>
              </w:rPr>
            </w:pPr>
            <w:r>
              <w:rPr>
                <w:rFonts w:ascii="Times New Roman" w:cs="Times New Roman" w:eastAsia="Times New Roman" w:hAnsi="Times New Roman"/>
                <w:sz w:val="18"/>
                <w:szCs w:val="18"/>
                <w:color w:val="auto"/>
              </w:rPr>
              <w:t>Unallocated</w:t>
            </w:r>
          </w:p>
        </w:tc>
        <w:tc>
          <w:tcPr>
            <w:tcW w:w="2260" w:type="dxa"/>
            <w:vAlign w:val="bottom"/>
            <w:tcBorders>
              <w:right w:val="single" w:sz="8" w:color="auto"/>
            </w:tcBorders>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122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(Universal)</w:t>
            </w:r>
          </w:p>
        </w:tc>
        <w:tc>
          <w:tcPr>
            <w:tcW w:w="2260" w:type="dxa"/>
            <w:vAlign w:val="bottom"/>
            <w:tcBorders>
              <w:right w:val="single" w:sz="8" w:color="auto"/>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$110.20 per</w:t>
            </w:r>
          </w:p>
        </w:tc>
        <w:tc>
          <w:tcPr>
            <w:tcW w:w="1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Shelf</w:t>
            </w:r>
          </w:p>
        </w:tc>
        <w:tc>
          <w:tcPr>
            <w:tcW w:w="226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457(o)</w:t>
            </w:r>
          </w:p>
        </w:tc>
        <w:tc>
          <w:tcPr>
            <w:tcW w:w="24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$500,000,000</w:t>
            </w: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$1,000,000</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$55,100(4)</w:t>
            </w:r>
          </w:p>
        </w:tc>
        <w:tc>
          <w:tcPr>
            <w:tcW w:w="0" w:type="dxa"/>
            <w:vAlign w:val="bottom"/>
          </w:tcPr>
          <w:p>
            <w:pPr>
              <w:spacing w:after="0"/>
              <w:rPr>
                <w:sz w:val="1"/>
                <w:szCs w:val="1"/>
                <w:color w:val="auto"/>
              </w:rPr>
            </w:pPr>
          </w:p>
        </w:tc>
      </w:tr>
      <w:tr>
        <w:trPr>
          <w:trHeight w:val="228"/>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Fees</w:t>
            </w:r>
          </w:p>
        </w:tc>
        <w:tc>
          <w:tcPr>
            <w:tcW w:w="134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Previously</w:t>
            </w:r>
          </w:p>
        </w:tc>
        <w:tc>
          <w:tcPr>
            <w:tcW w:w="13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1340" w:type="dxa"/>
            <w:vAlign w:val="bottom"/>
            <w:tcBorders>
              <w:right w:val="single" w:sz="8" w:color="auto"/>
            </w:tcBorders>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rPr>
              <w:t>N/A</w:t>
            </w:r>
          </w:p>
        </w:tc>
        <w:tc>
          <w:tcPr>
            <w:tcW w:w="2260" w:type="dxa"/>
            <w:vAlign w:val="bottom"/>
            <w:tcBorders>
              <w:righ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vMerge w:val="continue"/>
          </w:tcPr>
          <w:p>
            <w:pPr>
              <w:spacing w:after="0"/>
              <w:rPr>
                <w:sz w:val="18"/>
                <w:szCs w:val="18"/>
                <w:color w:val="auto"/>
              </w:rPr>
            </w:pPr>
          </w:p>
        </w:tc>
        <w:tc>
          <w:tcPr>
            <w:tcW w:w="2260" w:type="dxa"/>
            <w:vAlign w:val="bottom"/>
            <w:tcBorders>
              <w:bottom w:val="single" w:sz="8" w:color="auto"/>
              <w:right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vMerge w:val="continue"/>
          </w:tcPr>
          <w:p>
            <w:pPr>
              <w:spacing w:after="0"/>
              <w:rPr>
                <w:sz w:val="18"/>
                <w:szCs w:val="18"/>
                <w:color w:val="auto"/>
              </w:rPr>
            </w:pPr>
          </w:p>
        </w:tc>
        <w:tc>
          <w:tcPr>
            <w:tcW w:w="1120" w:type="dxa"/>
            <w:vAlign w:val="bottom"/>
            <w:tcBorders>
              <w:bottom w:val="single" w:sz="8" w:color="auto"/>
              <w:right w:val="single" w:sz="8" w:color="auto"/>
            </w:tcBorders>
            <w:vMerge w:val="continue"/>
          </w:tcPr>
          <w:p>
            <w:pPr>
              <w:spacing w:after="0"/>
              <w:rPr>
                <w:sz w:val="18"/>
                <w:szCs w:val="18"/>
                <w:color w:val="auto"/>
              </w:rPr>
            </w:pPr>
          </w:p>
        </w:tc>
        <w:tc>
          <w:tcPr>
            <w:tcW w:w="1220" w:type="dxa"/>
            <w:vAlign w:val="bottom"/>
            <w:tcBorders>
              <w:bottom w:val="single" w:sz="8" w:color="auto"/>
              <w:right w:val="single" w:sz="8" w:color="auto"/>
            </w:tcBorders>
            <w:vMerge w:val="continue"/>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Carry</w:t>
            </w:r>
          </w:p>
        </w:tc>
        <w:tc>
          <w:tcPr>
            <w:tcW w:w="1340" w:type="dxa"/>
            <w:vAlign w:val="bottom"/>
            <w:tcBorders>
              <w:right w:val="single" w:sz="8" w:color="auto"/>
            </w:tcBorders>
            <w:shd w:val="clear" w:color="auto" w:fill="CCEEFF"/>
          </w:tcPr>
          <w:p>
            <w:pPr>
              <w:spacing w:after="0"/>
              <w:rPr>
                <w:sz w:val="19"/>
                <w:szCs w:val="19"/>
                <w:color w:val="auto"/>
              </w:rPr>
            </w:pPr>
          </w:p>
        </w:tc>
        <w:tc>
          <w:tcPr>
            <w:tcW w:w="2260" w:type="dxa"/>
            <w:vAlign w:val="bottom"/>
            <w:tcBorders>
              <w:right w:val="single" w:sz="8" w:color="auto"/>
            </w:tcBorders>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tcBorders>
              <w:right w:val="single" w:sz="8" w:color="auto"/>
            </w:tcBorders>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8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Forward</w:t>
            </w:r>
          </w:p>
        </w:tc>
        <w:tc>
          <w:tcPr>
            <w:tcW w:w="1340" w:type="dxa"/>
            <w:vAlign w:val="bottom"/>
            <w:tcBorders>
              <w:right w:val="single" w:sz="8" w:color="auto"/>
            </w:tcBorders>
            <w:shd w:val="clear" w:color="auto" w:fill="CCEEFF"/>
          </w:tcPr>
          <w:p>
            <w:pPr>
              <w:spacing w:after="0"/>
              <w:rPr>
                <w:sz w:val="24"/>
                <w:szCs w:val="24"/>
                <w:color w:val="auto"/>
              </w:rPr>
            </w:pPr>
          </w:p>
        </w:tc>
        <w:tc>
          <w:tcPr>
            <w:tcW w:w="2260" w:type="dxa"/>
            <w:vAlign w:val="bottom"/>
            <w:tcBorders>
              <w:right w:val="single" w:sz="8" w:color="auto"/>
            </w:tcBorders>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40" w:type="dxa"/>
            <w:vAlign w:val="bottom"/>
            <w:tcBorders>
              <w:right w:val="single" w:sz="8" w:color="auto"/>
            </w:tcBorders>
            <w:shd w:val="clear" w:color="auto" w:fill="CCEEFF"/>
          </w:tcPr>
          <w:p>
            <w:pPr>
              <w:spacing w:after="0"/>
              <w:rPr>
                <w:sz w:val="24"/>
                <w:szCs w:val="24"/>
                <w:color w:val="auto"/>
              </w:rPr>
            </w:pPr>
          </w:p>
        </w:tc>
        <w:tc>
          <w:tcPr>
            <w:tcW w:w="1100" w:type="dxa"/>
            <w:vAlign w:val="bottom"/>
            <w:tcBorders>
              <w:right w:val="single" w:sz="8" w:color="auto"/>
            </w:tcBorders>
            <w:shd w:val="clear" w:color="auto" w:fill="CCEEFF"/>
          </w:tcPr>
          <w:p>
            <w:pPr>
              <w:spacing w:after="0"/>
              <w:rPr>
                <w:sz w:val="24"/>
                <w:szCs w:val="24"/>
                <w:color w:val="auto"/>
              </w:rPr>
            </w:pPr>
          </w:p>
        </w:tc>
        <w:tc>
          <w:tcPr>
            <w:tcW w:w="1120" w:type="dxa"/>
            <w:vAlign w:val="bottom"/>
            <w:tcBorders>
              <w:right w:val="single" w:sz="8" w:color="auto"/>
            </w:tcBorders>
            <w:shd w:val="clear" w:color="auto" w:fill="CCEEFF"/>
          </w:tcPr>
          <w:p>
            <w:pPr>
              <w:spacing w:after="0"/>
              <w:rPr>
                <w:sz w:val="24"/>
                <w:szCs w:val="24"/>
                <w:color w:val="auto"/>
              </w:rPr>
            </w:pPr>
          </w:p>
        </w:tc>
        <w:tc>
          <w:tcPr>
            <w:tcW w:w="1220" w:type="dxa"/>
            <w:vAlign w:val="bottom"/>
            <w:tcBorders>
              <w:right w:val="single" w:sz="8" w:color="auto"/>
            </w:tcBorders>
            <w:shd w:val="clear" w:color="auto" w:fill="CCEEFF"/>
          </w:tcPr>
          <w:p>
            <w:pPr>
              <w:spacing w:after="0"/>
              <w:rPr>
                <w:sz w:val="24"/>
                <w:szCs w:val="24"/>
                <w:color w:val="auto"/>
              </w:rPr>
            </w:pPr>
          </w:p>
        </w:tc>
        <w:tc>
          <w:tcPr>
            <w:tcW w:w="1000" w:type="dxa"/>
            <w:vAlign w:val="bottom"/>
            <w:tcBorders>
              <w:right w:val="single" w:sz="8" w:color="auto"/>
            </w:tcBorders>
            <w:shd w:val="clear" w:color="auto" w:fill="CCEEFF"/>
          </w:tcPr>
          <w:p>
            <w:pPr>
              <w:spacing w:after="0"/>
              <w:rPr>
                <w:sz w:val="24"/>
                <w:szCs w:val="24"/>
                <w:color w:val="auto"/>
              </w:rPr>
            </w:pPr>
          </w:p>
        </w:tc>
        <w:tc>
          <w:tcPr>
            <w:tcW w:w="110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Securities</w:t>
            </w:r>
          </w:p>
        </w:tc>
        <w:tc>
          <w:tcPr>
            <w:tcW w:w="1340" w:type="dxa"/>
            <w:vAlign w:val="bottom"/>
            <w:tcBorders>
              <w:right w:val="single" w:sz="8" w:color="auto"/>
            </w:tcBorders>
            <w:vMerge w:val="restart"/>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N/A</w:t>
            </w:r>
          </w:p>
        </w:tc>
        <w:tc>
          <w:tcPr>
            <w:tcW w:w="2260" w:type="dxa"/>
            <w:vAlign w:val="bottom"/>
            <w:tcBorders>
              <w:right w:val="single" w:sz="8" w:color="auto"/>
            </w:tcBorders>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vMerge w:val="restart"/>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tcBorders>
              <w:right w:val="single" w:sz="8" w:color="auto"/>
            </w:tcBorders>
            <w:shd w:val="clear" w:color="auto" w:fill="CCEEFF"/>
          </w:tcPr>
          <w:p>
            <w:pPr>
              <w:spacing w:after="0"/>
              <w:rPr>
                <w:sz w:val="24"/>
                <w:szCs w:val="24"/>
                <w:color w:val="auto"/>
              </w:rPr>
            </w:pPr>
          </w:p>
        </w:tc>
        <w:tc>
          <w:tcPr>
            <w:tcW w:w="11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20" w:type="dxa"/>
            <w:vAlign w:val="bottom"/>
            <w:tcBorders>
              <w:right w:val="single" w:sz="8" w:color="auto"/>
            </w:tcBorders>
            <w:shd w:val="clear" w:color="auto" w:fill="CCEEFF"/>
          </w:tcPr>
          <w:p>
            <w:pPr>
              <w:spacing w:after="0"/>
              <w:rPr>
                <w:sz w:val="24"/>
                <w:szCs w:val="24"/>
                <w:color w:val="auto"/>
              </w:rPr>
            </w:pPr>
          </w:p>
        </w:tc>
        <w:tc>
          <w:tcPr>
            <w:tcW w:w="12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Borders>
              <w:right w:val="single" w:sz="8" w:color="auto"/>
            </w:tcBorders>
            <w:shd w:val="clear" w:color="auto" w:fill="CCEEFF"/>
          </w:tcPr>
          <w:p>
            <w:pPr>
              <w:spacing w:after="0"/>
              <w:rPr>
                <w:sz w:val="24"/>
                <w:szCs w:val="24"/>
                <w:color w:val="auto"/>
              </w:rPr>
            </w:pPr>
          </w:p>
        </w:tc>
        <w:tc>
          <w:tcPr>
            <w:tcW w:w="110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226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Offering Amounts</w:t>
            </w:r>
          </w:p>
        </w:tc>
        <w:tc>
          <w:tcPr>
            <w:tcW w:w="11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$500,000,000</w:t>
            </w:r>
          </w:p>
        </w:tc>
        <w:tc>
          <w:tcPr>
            <w:tcW w:w="10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55,100</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CCEEFF"/>
            </w:tcBorders>
            <w:shd w:val="clear" w:color="auto" w:fill="CCEEFF"/>
          </w:tcPr>
          <w:p>
            <w:pPr>
              <w:spacing w:after="0"/>
              <w:rPr>
                <w:sz w:val="18"/>
                <w:szCs w:val="18"/>
                <w:color w:val="auto"/>
              </w:rPr>
            </w:pPr>
          </w:p>
        </w:tc>
        <w:tc>
          <w:tcPr>
            <w:tcW w:w="2260" w:type="dxa"/>
            <w:vAlign w:val="bottom"/>
            <w:tcBorders>
              <w:bottom w:val="single" w:sz="8" w:color="auto"/>
              <w:right w:val="single" w:sz="8" w:color="CCEEFF"/>
            </w:tcBorders>
            <w:shd w:val="clear" w:color="auto" w:fill="CCEEFF"/>
          </w:tcPr>
          <w:p>
            <w:pPr>
              <w:spacing w:after="0"/>
              <w:rPr>
                <w:sz w:val="18"/>
                <w:szCs w:val="18"/>
                <w:color w:val="auto"/>
              </w:rPr>
            </w:pPr>
          </w:p>
        </w:tc>
        <w:tc>
          <w:tcPr>
            <w:tcW w:w="2360" w:type="dxa"/>
            <w:vAlign w:val="bottom"/>
            <w:tcBorders>
              <w:bottom w:val="single" w:sz="8" w:color="auto"/>
              <w:right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120" w:type="dxa"/>
            <w:vAlign w:val="bottom"/>
            <w:tcBorders>
              <w:bottom w:val="single" w:sz="8" w:color="auto"/>
              <w:right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w:t>
            </w:r>
          </w:p>
        </w:tc>
        <w:tc>
          <w:tcPr>
            <w:tcW w:w="11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8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CCEEFF"/>
            </w:tcBorders>
            <w:shd w:val="clear" w:color="auto" w:fill="CCEEFF"/>
          </w:tcPr>
          <w:p>
            <w:pPr>
              <w:spacing w:after="0"/>
              <w:rPr>
                <w:sz w:val="18"/>
                <w:szCs w:val="18"/>
                <w:color w:val="auto"/>
              </w:rPr>
            </w:pPr>
          </w:p>
        </w:tc>
        <w:tc>
          <w:tcPr>
            <w:tcW w:w="2260" w:type="dxa"/>
            <w:vAlign w:val="bottom"/>
            <w:tcBorders>
              <w:bottom w:val="single" w:sz="8" w:color="auto"/>
              <w:right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 Fee Due</w:t>
            </w:r>
          </w:p>
        </w:tc>
        <w:tc>
          <w:tcPr>
            <w:tcW w:w="1120" w:type="dxa"/>
            <w:vAlign w:val="bottom"/>
            <w:tcBorders>
              <w:bottom w:val="single" w:sz="8" w:color="auto"/>
              <w:right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60" w:right="80" w:hanging="452"/>
        <w:spacing w:after="0" w:line="261" w:lineRule="auto"/>
        <w:tabs>
          <w:tab w:leader="none" w:pos="4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rights to acquire common stock or preferred stock under any shareholder rights plan then in effect, if applicable under the terms of any such plan.</w:t>
      </w:r>
    </w:p>
    <w:p>
      <w:pPr>
        <w:ind w:left="460" w:right="200" w:hanging="452"/>
        <w:spacing w:after="0" w:line="250" w:lineRule="auto"/>
        <w:tabs>
          <w:tab w:leader="none" w:pos="4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that are convertible into common stock or pursuant to any anti-dilution adjustments with respect to any such convertible debt securities.</w:t>
      </w:r>
    </w:p>
    <w:p>
      <w:pPr>
        <w:spacing w:after="0" w:line="1" w:lineRule="exact"/>
        <w:rPr>
          <w:rFonts w:ascii="Times New Roman" w:cs="Times New Roman" w:eastAsia="Times New Roman" w:hAnsi="Times New Roman"/>
          <w:sz w:val="18"/>
          <w:szCs w:val="18"/>
          <w:color w:val="auto"/>
        </w:rPr>
      </w:pPr>
    </w:p>
    <w:p>
      <w:pPr>
        <w:ind w:left="460" w:right="260" w:hanging="452"/>
        <w:spacing w:after="0" w:line="255" w:lineRule="auto"/>
        <w:tabs>
          <w:tab w:leader="none" w:pos="4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No separate consideration will be received for shares of common stock that are issued upon conversion of debt securities or preferred stock or upon exercise of common stock warrants registered hereunder. The aggregate maximum offering price of all securities issued pursuant to this registration statement will not exceed $500,000,000.</w:t>
      </w:r>
    </w:p>
    <w:p>
      <w:pPr>
        <w:spacing w:after="0" w:line="14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has been calculated in accordance with Rule 457(o) under the Securities Act of 1933, as amended.</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lvl w:ilvl="1">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
      <w:numFmt w:val="bullet"/>
      <w:start w:val="1"/>
    </w:lvl>
  </w:abstractNum>
  <w:abstractNum w:abstractNumId="32">
    <w:nsid w:val="39EE015C"/>
    <w:multiLevelType w:val="hybridMultilevel"/>
    <w:lvl w:ilvl="0">
      <w:lvlJc w:val="left"/>
      <w:lvlText w:val="(%1)"/>
      <w:numFmt w:val="decimal"/>
      <w:start w:val="1"/>
    </w:lvl>
  </w:abstractNum>
  <w:abstractNum w:abstractNumId="33">
    <w:nsid w:val="57FC4FBB"/>
    <w:multiLevelType w:val="hybridMultilevel"/>
    <w:lvl w:ilvl="0">
      <w:lvlJc w:val="left"/>
      <w:lvlText w:val="(%1)"/>
      <w:numFmt w:val="decimal"/>
      <w:start w:val="2"/>
    </w:lvl>
  </w:abstractNum>
  <w:abstractNum w:abstractNumId="34">
    <w:nsid w:val="CC1016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5">
    <w:nsid w:val="43F18422"/>
    <w:multiLevelType w:val="hybridMultilevel"/>
    <w:lvl w:ilvl="0">
      <w:lvlJc w:val="left"/>
      <w:lvlText w:val="(%1)"/>
      <w:numFmt w:val="lowerRoman"/>
      <w:start w:val="3"/>
    </w:lvl>
  </w:abstractNum>
  <w:abstractNum w:abstractNumId="36">
    <w:nsid w:val="60EF0119"/>
    <w:multiLevelType w:val="hybridMultilevel"/>
    <w:lvl w:ilvl="0">
      <w:lvlJc w:val="left"/>
      <w:lvlText w:val="(%1)"/>
      <w:numFmt w:val="decimal"/>
      <w:start w:val="2"/>
    </w:lvl>
    <w:lvl w:ilvl="1">
      <w:lvlJc w:val="left"/>
      <w:lvlText w:val="(%2)"/>
      <w:numFmt w:val="lowerRoman"/>
      <w:start w:val="1"/>
    </w:lvl>
  </w:abstractNum>
  <w:abstractNum w:abstractNumId="37">
    <w:nsid w:val="26F324BA"/>
    <w:multiLevelType w:val="hybridMultilevel"/>
    <w:lvl w:ilvl="0">
      <w:lvlJc w:val="left"/>
      <w:lvlText w:val="(%1)"/>
      <w:numFmt w:val="lowerRoman"/>
      <w:start w:val="1"/>
    </w:lvl>
  </w:abstractNum>
  <w:abstractNum w:abstractNumId="38">
    <w:nsid w:val="7F01579B"/>
    <w:multiLevelType w:val="hybridMultilevel"/>
    <w:lvl w:ilvl="0">
      <w:lvlJc w:val="left"/>
      <w:lvlText w:val="%1"/>
      <w:numFmt w:val="lowerLetter"/>
      <w:start w:val="1"/>
    </w:lvl>
    <w:lvl w:ilvl="1">
      <w:lvlJc w:val="left"/>
      <w:lvlText w:val="(%2)"/>
      <w:numFmt w:val="lowerRoman"/>
      <w:start w:val="3"/>
    </w:lvl>
  </w:abstractNum>
  <w:abstractNum w:abstractNumId="39">
    <w:nsid w:val="49DA307D"/>
    <w:multiLevelType w:val="hybridMultilevel"/>
    <w:lvl w:ilvl="0">
      <w:lvlJc w:val="left"/>
      <w:lvlText w:val="(%1)"/>
      <w:numFmt w:val="lowerLetter"/>
      <w:start w:val="2"/>
    </w:lvl>
    <w:lvl w:ilvl="1">
      <w:lvlJc w:val="left"/>
      <w:lvlText w:val="%2"/>
      <w:numFmt w:val="lowerRoman"/>
      <w:start w:val="1"/>
    </w:lvl>
  </w:abstractNum>
  <w:abstractNum w:abstractNumId="40">
    <w:nsid w:val="7055A5F5"/>
    <w:multiLevelType w:val="hybridMultilevel"/>
    <w:lvl w:ilvl="0">
      <w:lvlJc w:val="left"/>
      <w:lvlText w:val="(%1)"/>
      <w:numFmt w:val="lowerLetter"/>
      <w:start w:val="8"/>
    </w:lvl>
  </w:abstractNum>
  <w:abstractNum w:abstractNumId="41">
    <w:nsid w:val="5FB8370B"/>
    <w:multiLevelType w:val="hybridMultilevel"/>
    <w:lvl w:ilvl="0">
      <w:lvlJc w:val="left"/>
      <w:lvlText w:val="(%1)"/>
      <w:numFmt w:val="lowerLetter"/>
      <w:start w:val="10"/>
    </w:lvl>
  </w:abstractNum>
  <w:abstractNum w:abstractNumId="42">
    <w:nsid w:val="50801EE1"/>
    <w:multiLevelType w:val="hybridMultilevel"/>
    <w:lvl w:ilvl="0">
      <w:lvlJc w:val="left"/>
      <w:lvlText w:val="%1"/>
      <w:numFmt w:val="decimal"/>
      <w:start w:val="107"/>
    </w:lvl>
  </w:abstractNum>
  <w:abstractNum w:abstractNumId="43">
    <w:nsid w:val="488AC1A"/>
    <w:multiLevelType w:val="hybridMultilevel"/>
    <w:lvl w:ilvl="0">
      <w:lvlJc w:val="left"/>
      <w:lvlText w:val="*"/>
      <w:numFmt w:val="bullet"/>
      <w:start w:val="1"/>
    </w:lvl>
  </w:abstractNum>
  <w:abstractNum w:abstractNumId="44">
    <w:nsid w:val="5FB8011C"/>
    <w:multiLevelType w:val="hybridMultilevel"/>
    <w:lvl w:ilvl="0">
      <w:lvlJc w:val="left"/>
      <w:lvlText w:val="%1."/>
      <w:numFmt w:val="decimal"/>
      <w:start w:val="1"/>
    </w:lvl>
  </w:abstractNum>
  <w:abstractNum w:abstractNumId="45">
    <w:nsid w:val="6AA78F7F"/>
    <w:multiLevelType w:val="hybridMultilevel"/>
    <w:lvl w:ilvl="0">
      <w:lvlJc w:val="left"/>
      <w:lvlText w:val="%1"/>
      <w:numFmt w:val="lowerRoman"/>
      <w:start w:val="1"/>
    </w:lvl>
    <w:lvl w:ilvl="1">
      <w:lvlJc w:val="left"/>
      <w:lvlText w:val="%2."/>
      <w:numFmt w:val="decimal"/>
      <w:start w:val="2"/>
    </w:lvl>
  </w:abstractNum>
  <w:abstractNum w:abstractNumId="46">
    <w:nsid w:val="7672BD23"/>
    <w:multiLevelType w:val="hybridMultilevel"/>
    <w:lvl w:ilvl="0">
      <w:lvlJc w:val="left"/>
      <w:lvlText w:val="(%1)"/>
      <w:numFmt w:val="lowerRoman"/>
      <w:start w:val="1"/>
    </w:lvl>
    <w:lvl w:ilvl="1">
      <w:lvlJc w:val="left"/>
      <w:lvlText w:val="%2"/>
      <w:numFmt w:val="decimal"/>
      <w:start w:val="1"/>
    </w:lvl>
  </w:abstractNum>
  <w:abstractNum w:abstractNumId="47">
    <w:nsid w:val="6FC75AF8"/>
    <w:multiLevelType w:val="hybridMultilevel"/>
    <w:lvl w:ilvl="0">
      <w:lvlJc w:val="left"/>
      <w:lvlText w:val="%1."/>
      <w:numFmt w:val="decimal"/>
      <w:start w:val="3"/>
    </w:lvl>
  </w:abstractNum>
  <w:abstractNum w:abstractNumId="48">
    <w:nsid w:val="6A5F7029"/>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49">
    <w:nsid w:val="7D5E18F8"/>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50">
    <w:nsid w:val="5F3534A4"/>
    <w:multiLevelType w:val="hybridMultilevel"/>
    <w:lvl w:ilvl="0">
      <w:lvlJc w:val="left"/>
      <w:lvlText w:val="(%1)"/>
      <w:numFmt w:val="lowerLetter"/>
      <w:start w:val="4"/>
    </w:lvl>
  </w:abstractNum>
  <w:abstractNum w:abstractNumId="51">
    <w:nsid w:val="73A1821B"/>
    <w:multiLevelType w:val="hybridMultilevel"/>
    <w:lvl w:ilvl="0">
      <w:lvlJc w:val="left"/>
      <w:lvlText w:val="(%1)"/>
      <w:numFmt w:val="lowerLetter"/>
      <w:start w:val="5"/>
    </w:lvl>
  </w:abstractNum>
  <w:abstractNum w:abstractNumId="52">
    <w:nsid w:val="7DE67713"/>
    <w:multiLevelType w:val="hybridMultilevel"/>
    <w:lvl w:ilvl="0">
      <w:lvlJc w:val="left"/>
      <w:lvlText w:val="%1."/>
      <w:numFmt w:val="decimal"/>
      <w:start w:val="6"/>
    </w:lvl>
  </w:abstractNum>
  <w:abstractNum w:abstractNumId="53">
    <w:nsid w:val="555C55B5"/>
    <w:multiLevelType w:val="hybridMultilevel"/>
    <w:lvl w:ilvl="0">
      <w:lvlJc w:val="left"/>
      <w:lvlText w:val="(%1)"/>
      <w:numFmt w:val="lowerLetter"/>
      <w:start w:val="1"/>
    </w:lvl>
  </w:abstractNum>
  <w:abstractNum w:abstractNumId="54">
    <w:nsid w:val="3FA62ACA"/>
    <w:multiLevelType w:val="hybridMultilevel"/>
    <w:lvl w:ilvl="0">
      <w:lvlJc w:val="left"/>
      <w:lvlText w:val="(%1)"/>
      <w:numFmt w:val="lowerLetter"/>
      <w:start w:val="2"/>
    </w:lvl>
  </w:abstractNum>
  <w:abstractNum w:abstractNumId="55">
    <w:nsid w:val="14FCE74E"/>
    <w:multiLevelType w:val="hybridMultilevel"/>
    <w:lvl w:ilvl="0">
      <w:lvlJc w:val="left"/>
      <w:lvlText w:val="(%1)"/>
      <w:numFmt w:val="lowerLetter"/>
      <w:start w:val="7"/>
    </w:lvl>
  </w:abstractNum>
  <w:abstractNum w:abstractNumId="56">
    <w:nsid w:val="6A3DD3E8"/>
    <w:multiLevelType w:val="hybridMultilevel"/>
    <w:lvl w:ilvl="0">
      <w:lvlJc w:val="left"/>
      <w:lvlText w:val="(%1)"/>
      <w:numFmt w:val="lowerLetter"/>
      <w:start w:val="13"/>
    </w:lvl>
  </w:abstractNum>
  <w:abstractNum w:abstractNumId="57">
    <w:nsid w:val="71C91298"/>
    <w:multiLevelType w:val="hybridMultilevel"/>
    <w:lvl w:ilvl="0">
      <w:lvlJc w:val="left"/>
      <w:lvlText w:val="(%1)"/>
      <w:numFmt w:val="lowerLetter"/>
      <w:start w:val="18"/>
    </w:lvl>
  </w:abstractNum>
  <w:abstractNum w:abstractNumId="58">
    <w:nsid w:val="9DAF632"/>
    <w:multiLevelType w:val="hybridMultilevel"/>
    <w:lvl w:ilvl="0">
      <w:lvlJc w:val="left"/>
      <w:lvlText w:val="(%1)"/>
      <w:numFmt w:val="lowerLetter"/>
      <w:start w:val="22"/>
    </w:lvl>
  </w:abstractNum>
  <w:abstractNum w:abstractNumId="59">
    <w:nsid w:val="53299938"/>
    <w:multiLevelType w:val="hybridMultilevel"/>
    <w:lvl w:ilvl="0">
      <w:lvlJc w:val="left"/>
      <w:lvlText w:val="(%1)"/>
      <w:numFmt w:val="lowerLetter"/>
      <w:start w:val="27"/>
    </w:lvl>
  </w:abstractNum>
  <w:abstractNum w:abstractNumId="60">
    <w:nsid w:val="1FBFE8E0"/>
    <w:multiLevelType w:val="hybridMultilevel"/>
    <w:lvl w:ilvl="0">
      <w:lvlJc w:val="left"/>
      <w:lvlText w:val="(%1)"/>
      <w:numFmt w:val="lowerLetter"/>
      <w:start w:val="29"/>
    </w:lvl>
  </w:abstractNum>
  <w:abstractNum w:abstractNumId="61">
    <w:nsid w:val="5092CA79"/>
    <w:multiLevelType w:val="hybridMultilevel"/>
    <w:lvl w:ilvl="0">
      <w:lvlJc w:val="left"/>
      <w:lvlText w:val="%1"/>
      <w:numFmt w:val="lowerLetter"/>
      <w:start w:val="1"/>
    </w:lvl>
    <w:lvl w:ilvl="1">
      <w:lvlJc w:val="left"/>
      <w:lvlText w:val="(%2)"/>
      <w:numFmt w:val="lowerLetter"/>
      <w:start w:val="35"/>
    </w:lvl>
  </w:abstractNum>
  <w:abstractNum w:abstractNumId="62">
    <w:nsid w:val="1D545C4D"/>
    <w:multiLevelType w:val="hybridMultilevel"/>
    <w:lvl w:ilvl="0">
      <w:lvlJc w:val="left"/>
      <w:lvlText w:val="(%1)"/>
      <w:numFmt w:val="lowerLetter"/>
      <w:start w:val="35"/>
    </w:lvl>
    <w:lvl w:ilvl="1">
      <w:lvlJc w:val="left"/>
      <w:lvlText w:val="%2"/>
      <w:numFmt w:val="lowerLetter"/>
      <w:start w:val="1"/>
    </w:lvl>
  </w:abstractNum>
  <w:abstractNum w:abstractNumId="63">
    <w:nsid w:val="59ADEA3D"/>
    <w:multiLevelType w:val="hybridMultilevel"/>
    <w:lvl w:ilvl="0">
      <w:lvlJc w:val="left"/>
      <w:lvlText w:val="(%1)"/>
      <w:numFmt w:val="lowerLetter"/>
      <w:start w:val="38"/>
    </w:lvl>
  </w:abstractNum>
  <w:abstractNum w:abstractNumId="64">
    <w:nsid w:val="288F1A34"/>
    <w:multiLevelType w:val="hybridMultilevel"/>
    <w:lvl w:ilvl="0">
      <w:lvlJc w:val="left"/>
      <w:lvlText w:val="(%1)"/>
      <w:numFmt w:val="lowerLetter"/>
      <w:start w:val="41"/>
    </w:lvl>
  </w:abstractNum>
  <w:abstractNum w:abstractNumId="65">
    <w:nsid w:val="2A155DBC"/>
    <w:multiLevelType w:val="hybridMultilevel"/>
    <w:lvl w:ilvl="0">
      <w:lvlJc w:val="left"/>
      <w:lvlText w:val="(%1)"/>
      <w:numFmt w:val="lowerLetter"/>
      <w:start w:val="45"/>
    </w:lvl>
  </w:abstractNum>
  <w:abstractNum w:abstractNumId="66">
    <w:nsid w:val="1D9F6E5F"/>
    <w:multiLevelType w:val="hybridMultilevel"/>
    <w:lvl w:ilvl="0">
      <w:lvlJc w:val="left"/>
      <w:lvlText w:val="§"/>
      <w:numFmt w:val="bullet"/>
      <w:start w:val="1"/>
    </w:lvl>
    <w:lvl w:ilvl="1">
      <w:lvlJc w:val="left"/>
      <w:lvlText w:val="(%2)"/>
      <w:numFmt w:val="lowerLetter"/>
      <w:start w:val="47"/>
    </w:lvl>
  </w:abstractNum>
  <w:abstractNum w:abstractNumId="67">
    <w:nsid w:val="97E1B4E"/>
    <w:multiLevelType w:val="hybridMultilevel"/>
    <w:lvl w:ilvl="0">
      <w:lvlJc w:val="left"/>
      <w:lvlText w:val="(%1)"/>
      <w:numFmt w:val="lowerLetter"/>
      <w:start w:val="48"/>
    </w:lvl>
  </w:abstractNum>
  <w:abstractNum w:abstractNumId="68">
    <w:nsid w:val="51088277"/>
    <w:multiLevelType w:val="hybridMultilevel"/>
    <w:lvl w:ilvl="0">
      <w:lvlJc w:val="left"/>
      <w:lvlText w:val="(%1)"/>
      <w:numFmt w:val="lowerLetter"/>
      <w:start w:val="51"/>
    </w:lvl>
  </w:abstractNum>
  <w:abstractNum w:abstractNumId="69">
    <w:nsid w:val="1CA0C5FA"/>
    <w:multiLevelType w:val="hybridMultilevel"/>
    <w:lvl w:ilvl="0">
      <w:lvlJc w:val="left"/>
      <w:lvlText w:val="(%1)"/>
      <w:numFmt w:val="lowerLetter"/>
      <w:start w:val="53"/>
    </w:lvl>
  </w:abstractNum>
  <w:abstractNum w:abstractNumId="70">
    <w:nsid w:val="53584BCB"/>
    <w:multiLevelType w:val="hybridMultilevel"/>
    <w:lvl w:ilvl="0">
      <w:lvlJc w:val="left"/>
      <w:lvlText w:val="(%1)"/>
      <w:numFmt w:val="lowerLetter"/>
      <w:start w:val="56"/>
    </w:lvl>
  </w:abstractNum>
  <w:abstractNum w:abstractNumId="71">
    <w:nsid w:val="415E286C"/>
    <w:multiLevelType w:val="hybridMultilevel"/>
    <w:lvl w:ilvl="0">
      <w:lvlJc w:val="left"/>
      <w:lvlText w:val="%1."/>
      <w:numFmt w:val="decimal"/>
      <w:start w:val="7"/>
    </w:lvl>
  </w:abstractNum>
  <w:abstractNum w:abstractNumId="72">
    <w:nsid w:val="7C58FD05"/>
    <w:multiLevelType w:val="hybridMultilevel"/>
    <w:lvl w:ilvl="0">
      <w:lvlJc w:val="left"/>
      <w:lvlText w:val="(%1)"/>
      <w:numFmt w:val="lowerLetter"/>
      <w:start w:val="1"/>
    </w:lvl>
  </w:abstractNum>
  <w:abstractNum w:abstractNumId="73">
    <w:nsid w:val="23D86AAC"/>
    <w:multiLevelType w:val="hybridMultilevel"/>
    <w:lvl w:ilvl="0">
      <w:lvlJc w:val="left"/>
      <w:lvlText w:val="(%1)"/>
      <w:numFmt w:val="lowerLetter"/>
      <w:start w:val="2"/>
    </w:lvl>
  </w:abstractNum>
  <w:abstractNum w:abstractNumId="74">
    <w:nsid w:val="45E6D486"/>
    <w:multiLevelType w:val="hybridMultilevel"/>
    <w:lvl w:ilvl="0">
      <w:lvlJc w:val="left"/>
      <w:lvlText w:val="(%1)"/>
      <w:numFmt w:val="lowerLetter"/>
      <w:start w:val="4"/>
    </w:lvl>
  </w:abstractNum>
  <w:abstractNum w:abstractNumId="75">
    <w:nsid w:val="5C10FE21"/>
    <w:multiLevelType w:val="hybridMultilevel"/>
    <w:lvl w:ilvl="0">
      <w:lvlJc w:val="left"/>
      <w:lvlText w:val="(%1)"/>
      <w:numFmt w:val="lowerLetter"/>
      <w:start w:val="9"/>
    </w:lvl>
    <w:lvl w:ilvl="1">
      <w:lvlJc w:val="left"/>
      <w:lvlText w:val="(%2)"/>
      <w:numFmt w:val="lowerLetter"/>
      <w:start w:val="9"/>
    </w:lvl>
  </w:abstractNum>
  <w:abstractNum w:abstractNumId="76">
    <w:nsid w:val="E7FFA2B"/>
    <w:multiLevelType w:val="hybridMultilevel"/>
    <w:lvl w:ilvl="0">
      <w:lvlJc w:val="left"/>
      <w:lvlText w:val="%1"/>
      <w:numFmt w:val="lowerLetter"/>
      <w:start w:val="1"/>
    </w:lvl>
    <w:lvl w:ilvl="1">
      <w:lvlJc w:val="left"/>
      <w:lvlText w:val="(%2)"/>
      <w:numFmt w:val="lowerRoman"/>
      <w:start w:val="2"/>
    </w:lvl>
  </w:abstractNum>
  <w:abstractNum w:abstractNumId="77">
    <w:nsid w:val="3C5991AA"/>
    <w:multiLevelType w:val="hybridMultilevel"/>
    <w:lvl w:ilvl="0">
      <w:lvlJc w:val="left"/>
      <w:lvlText w:val="(%1)"/>
      <w:numFmt w:val="lowerLetter"/>
      <w:start w:val="13"/>
    </w:lvl>
    <w:lvl w:ilvl="1">
      <w:lvlJc w:val="left"/>
      <w:lvlText w:val="%2"/>
      <w:numFmt w:val="lowerRoman"/>
      <w:start w:val="1"/>
    </w:lvl>
  </w:abstractNum>
  <w:abstractNum w:abstractNumId="78">
    <w:nsid w:val="4BD8591A"/>
    <w:multiLevelType w:val="hybridMultilevel"/>
    <w:lvl w:ilvl="0">
      <w:lvlJc w:val="left"/>
      <w:lvlText w:val="(%1)"/>
      <w:numFmt w:val="lowerLetter"/>
      <w:start w:val="15"/>
    </w:lvl>
  </w:abstractNum>
  <w:abstractNum w:abstractNumId="79">
    <w:nsid w:val="78DF6A55"/>
    <w:multiLevelType w:val="hybridMultilevel"/>
    <w:lvl w:ilvl="0">
      <w:lvlJc w:val="left"/>
      <w:lvlText w:val="(%1)"/>
      <w:numFmt w:val="lowerLetter"/>
      <w:start w:val="21"/>
    </w:lvl>
  </w:abstractNum>
  <w:abstractNum w:abstractNumId="80">
    <w:nsid w:val="39B7AAA2"/>
    <w:multiLevelType w:val="hybridMultilevel"/>
    <w:lvl w:ilvl="0">
      <w:lvlJc w:val="left"/>
      <w:lvlText w:val="(%1)"/>
      <w:numFmt w:val="lowerLetter"/>
      <w:start w:val="24"/>
    </w:lvl>
  </w:abstractNum>
  <w:abstractNum w:abstractNumId="81">
    <w:nsid w:val="2B0D8DBE"/>
    <w:multiLevelType w:val="hybridMultilevel"/>
    <w:lvl w:ilvl="0">
      <w:lvlJc w:val="left"/>
      <w:lvlText w:val="%1"/>
      <w:numFmt w:val="lowerRoman"/>
      <w:start w:val="1"/>
    </w:lvl>
    <w:lvl w:ilvl="1">
      <w:lvlJc w:val="left"/>
      <w:lvlText w:val="%2."/>
      <w:numFmt w:val="decimal"/>
      <w:start w:val="8"/>
    </w:lvl>
  </w:abstractNum>
  <w:abstractNum w:abstractNumId="82">
    <w:nsid w:val="6C80EC70"/>
    <w:multiLevelType w:val="hybridMultilevel"/>
    <w:lvl w:ilvl="0">
      <w:lvlJc w:val="left"/>
      <w:lvlText w:val="(%1)"/>
      <w:numFmt w:val="lowerRoman"/>
      <w:start w:val="1"/>
    </w:lvl>
    <w:lvl w:ilvl="1">
      <w:lvlJc w:val="left"/>
      <w:lvlText w:val="%2."/>
      <w:numFmt w:val="decimal"/>
      <w:start w:val="9"/>
    </w:lvl>
  </w:abstractNum>
  <w:abstractNum w:abstractNumId="83">
    <w:nsid w:val="379E21B5"/>
    <w:multiLevelType w:val="hybridMultilevel"/>
    <w:lvl w:ilvl="0">
      <w:lvlJc w:val="left"/>
      <w:lvlText w:val="(%1)"/>
      <w:numFmt w:val="lowerLetter"/>
      <w:start w:val="1"/>
    </w:lvl>
  </w:abstractNum>
  <w:abstractNum w:abstractNumId="84">
    <w:nsid w:val="69E373"/>
    <w:multiLevelType w:val="hybridMultilevel"/>
    <w:lvl w:ilvl="0">
      <w:lvlJc w:val="left"/>
      <w:lvlText w:val="(%1)"/>
      <w:numFmt w:val="lowerLetter"/>
      <w:start w:val="7"/>
    </w:lvl>
  </w:abstractNum>
  <w:abstractNum w:abstractNumId="85">
    <w:nsid w:val="2C27173B"/>
    <w:multiLevelType w:val="hybridMultilevel"/>
    <w:lvl w:ilvl="0">
      <w:lvlJc w:val="left"/>
      <w:lvlText w:val="(%1)"/>
      <w:numFmt w:val="lowerLetter"/>
      <w:start w:val="16"/>
    </w:lvl>
  </w:abstractNum>
  <w:abstractNum w:abstractNumId="86">
    <w:nsid w:val="4C9B090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87">
    <w:nsid w:val="6AA7B75C"/>
    <w:multiLevelType w:val="hybridMultilevel"/>
    <w:lvl w:ilvl="0">
      <w:lvlJc w:val="left"/>
      <w:lvlText w:val="(%1)"/>
      <w:numFmt w:val="lowerLetter"/>
      <w:start w:val="2"/>
    </w:lvl>
  </w:abstractNum>
  <w:abstractNum w:abstractNumId="88">
    <w:nsid w:val="1DF029D3"/>
    <w:multiLevelType w:val="hybridMultilevel"/>
    <w:lvl w:ilvl="0">
      <w:lvlJc w:val="left"/>
      <w:lvlText w:val="%1"/>
      <w:numFmt w:val="decimal"/>
      <w:start w:val="1"/>
    </w:lvl>
    <w:lvl w:ilvl="1">
      <w:lvlJc w:val="left"/>
      <w:lvlText w:val="(%2)"/>
      <w:numFmt w:val="lowerLetter"/>
      <w:start w:val="3"/>
    </w:lvl>
  </w:abstractNum>
  <w:abstractNum w:abstractNumId="89">
    <w:nsid w:val="5675FF36"/>
    <w:multiLevelType w:val="hybridMultilevel"/>
    <w:lvl w:ilvl="0">
      <w:lvlJc w:val="left"/>
      <w:lvlText w:val="(%1)"/>
      <w:numFmt w:val="decimal"/>
      <w:start w:val="1"/>
    </w:lvl>
    <w:lvl w:ilvl="1">
      <w:lvlJc w:val="left"/>
      <w:lvlText w:val="%2"/>
      <w:numFmt w:val="lowerLetter"/>
      <w:start w:val="1"/>
    </w:lvl>
  </w:abstractNum>
  <w:abstractNum w:abstractNumId="90">
    <w:nsid w:val="3DD15094"/>
    <w:multiLevelType w:val="hybridMultilevel"/>
    <w:lvl w:ilvl="0">
      <w:lvlJc w:val="left"/>
      <w:lvlText w:val="(%1)"/>
      <w:numFmt w:val="lowerLetter"/>
      <w:start w:val="5"/>
    </w:lvl>
  </w:abstractNum>
  <w:abstractNum w:abstractNumId="91">
    <w:nsid w:val="3DB012B3"/>
    <w:multiLevelType w:val="hybridMultilevel"/>
    <w:lvl w:ilvl="0">
      <w:lvlJc w:val="left"/>
      <w:lvlText w:val="%1."/>
      <w:numFmt w:val="decimal"/>
      <w:start w:val="11"/>
    </w:lvl>
  </w:abstractNum>
  <w:abstractNum w:abstractNumId="92">
    <w:nsid w:val="2708C9AF"/>
    <w:multiLevelType w:val="hybridMultilevel"/>
    <w:lvl w:ilvl="0">
      <w:lvlJc w:val="left"/>
      <w:lvlText w:val="(%1)"/>
      <w:numFmt w:val="lowerLetter"/>
      <w:start w:val="1"/>
    </w:lvl>
  </w:abstractNum>
  <w:abstractNum w:abstractNumId="93">
    <w:nsid w:val="5B25ACE2"/>
    <w:multiLevelType w:val="hybridMultilevel"/>
    <w:lvl w:ilvl="0">
      <w:lvlJc w:val="left"/>
      <w:lvlText w:val="(%1)"/>
      <w:numFmt w:val="lowerLetter"/>
      <w:start w:val="4"/>
    </w:lvl>
  </w:abstractNum>
  <w:abstractNum w:abstractNumId="94">
    <w:nsid w:val="175DFCF0"/>
    <w:multiLevelType w:val="hybridMultilevel"/>
    <w:lvl w:ilvl="0">
      <w:lvlJc w:val="left"/>
      <w:lvlText w:val="%1."/>
      <w:numFmt w:val="decimal"/>
      <w:start w:val="13"/>
    </w:lvl>
  </w:abstractNum>
  <w:abstractNum w:abstractNumId="95">
    <w:nsid w:val="4F97E3E4"/>
    <w:multiLevelType w:val="hybridMultilevel"/>
    <w:lvl w:ilvl="0">
      <w:lvlJc w:val="left"/>
      <w:lvlText w:val="%1"/>
      <w:numFmt w:val="decimal"/>
      <w:start w:val="1"/>
    </w:lvl>
    <w:lvl w:ilvl="1">
      <w:lvlJc w:val="left"/>
      <w:lvlText w:val="%2."/>
      <w:numFmt w:val="decimal"/>
      <w:start w:val="14"/>
    </w:lvl>
  </w:abstractNum>
  <w:abstractNum w:abstractNumId="96">
    <w:nsid w:val="53B0A9E"/>
    <w:multiLevelType w:val="hybridMultilevel"/>
    <w:lvl w:ilvl="0">
      <w:lvlJc w:val="left"/>
      <w:lvlText w:val="%1."/>
      <w:numFmt w:val="decimal"/>
      <w:start w:val="18"/>
    </w:lvl>
    <w:lvl w:ilvl="1">
      <w:lvlJc w:val="left"/>
      <w:lvlText w:val="%2"/>
      <w:numFmt w:val="decimal"/>
      <w:start w:val="1"/>
    </w:lvl>
  </w:abstractNum>
  <w:abstractNum w:abstractNumId="97">
    <w:nsid w:val="34FD6B4F"/>
    <w:multiLevelType w:val="hybridMultilevel"/>
    <w:lvl w:ilvl="0">
      <w:lvlJc w:val="left"/>
      <w:lvlText w:val="%1"/>
      <w:numFmt w:val="decimal"/>
      <w:start w:val="1"/>
    </w:lvl>
    <w:lvl w:ilvl="1">
      <w:lvlJc w:val="left"/>
      <w:lvlText w:val="%2."/>
      <w:numFmt w:val="decimal"/>
      <w:start w:val="19"/>
    </w:lvl>
    <w:lvl w:ilvl="2">
      <w:lvlJc w:val="left"/>
      <w:lvlText w:val="%3"/>
      <w:numFmt w:val="lowerLetter"/>
      <w:start w:val="1"/>
    </w:lvl>
  </w:abstractNum>
  <w:abstractNum w:abstractNumId="98">
    <w:nsid w:val="5915FF32"/>
    <w:multiLevelType w:val="hybridMultilevel"/>
    <w:lvl w:ilvl="0">
      <w:lvlJc w:val="left"/>
      <w:lvlText w:val="%1."/>
      <w:numFmt w:val="decimal"/>
      <w:start w:val="20"/>
    </w:lvl>
    <w:lvl w:ilvl="1">
      <w:lvlJc w:val="left"/>
      <w:lvlText w:val="%2"/>
      <w:numFmt w:val="decimal"/>
      <w:start w:val="1"/>
    </w:lvl>
    <w:lvl w:ilvl="2">
      <w:lvlJc w:val="left"/>
      <w:lvlText w:val="(%3)"/>
      <w:numFmt w:val="lowerLetter"/>
      <w:start w:val="1"/>
    </w:lvl>
  </w:abstractNum>
  <w:abstractNum w:abstractNumId="99">
    <w:nsid w:val="56438D15"/>
    <w:multiLevelType w:val="hybridMultilevel"/>
    <w:lvl w:ilvl="0">
      <w:lvlJc w:val="left"/>
      <w:lvlText w:val="%1"/>
      <w:numFmt w:val="decimal"/>
      <w:start w:val="1"/>
    </w:lvl>
    <w:lvl w:ilvl="1">
      <w:lvlJc w:val="left"/>
      <w:lvlText w:val="(%2)"/>
      <w:numFmt w:val="lowerLetter"/>
      <w:start w:val="2"/>
    </w:lvl>
  </w:abstractNum>
  <w:abstractNum w:abstractNumId="100">
    <w:nsid w:val="519E3149"/>
    <w:multiLevelType w:val="hybridMultilevel"/>
    <w:lvl w:ilvl="0">
      <w:lvlJc w:val="left"/>
      <w:lvlText w:val="%1."/>
      <w:numFmt w:val="decimal"/>
      <w:start w:val="2"/>
    </w:lvl>
    <w:lvl w:ilvl="1">
      <w:lvlJc w:val="left"/>
      <w:lvlText w:val="%2"/>
      <w:numFmt w:val="lowerLetter"/>
      <w:start w:val="1"/>
    </w:lvl>
  </w:abstractNum>
  <w:abstractNum w:abstractNumId="101">
    <w:nsid w:val="2C6E4AFD"/>
    <w:multiLevelType w:val="hybridMultilevel"/>
    <w:lvl w:ilvl="0">
      <w:lvlJc w:val="left"/>
      <w:lvlText w:val="(%1)"/>
      <w:numFmt w:val="lowerRoman"/>
      <w:start w:val="1"/>
    </w:lvl>
  </w:abstractNum>
  <w:abstractNum w:abstractNumId="102">
    <w:nsid w:val="17A1B582"/>
    <w:multiLevelType w:val="hybridMultilevel"/>
    <w:lvl w:ilvl="0">
      <w:lvlJc w:val="left"/>
      <w:lvlText w:val="(%1)"/>
      <w:numFmt w:val="decimal"/>
      <w:start w:val="1"/>
    </w:lvl>
  </w:abstractNum>
  <w:abstractNum w:abstractNumId="103">
    <w:nsid w:val="4DF72E4E"/>
    <w:multiLevelType w:val="hybridMultilevel"/>
    <w:lvl w:ilvl="0">
      <w:lvlJc w:val="left"/>
      <w:lvlText w:val="(%1)"/>
      <w:numFmt w:val="decimal"/>
      <w:start w:val="1"/>
    </w:lvl>
  </w:abstractNum>
  <w:abstractNum w:abstractNumId="104">
    <w:nsid w:val="5046B5A9"/>
    <w:multiLevelType w:val="hybridMultilevel"/>
    <w:lvl w:ilvl="0">
      <w:lvlJc w:val="left"/>
      <w:lvlText w:val="(%1)"/>
      <w:numFmt w:val="decimal"/>
      <w:start w:val="3"/>
    </w:lvl>
  </w:abstractNum>
  <w:abstractNum w:abstractNumId="105">
    <w:nsid w:val="5D888A08"/>
    <w:multiLevelType w:val="hybridMultilevel"/>
    <w:lvl w:ilvl="0">
      <w:lvlJc w:val="left"/>
      <w:lvlText w:val="(%1)"/>
      <w:numFmt w:val="decimal"/>
      <w:start w:val="16"/>
    </w:lvl>
  </w:abstractNum>
  <w:abstractNum w:abstractNumId="106">
    <w:nsid w:val="2A082C70"/>
    <w:multiLevelType w:val="hybridMultilevel"/>
    <w:lvl w:ilvl="0">
      <w:lvlJc w:val="left"/>
      <w:lvlText w:val="(%1)"/>
      <w:numFmt w:val="decimal"/>
      <w:start w:val="1"/>
    </w:lvl>
  </w:abstractNum>
  <w:abstractNum w:abstractNumId="107">
    <w:nsid w:val="5EC6AFD4"/>
    <w:multiLevelType w:val="hybridMultilevel"/>
    <w:lvl w:ilvl="0">
      <w:lvlJc w:val="left"/>
      <w:lvlText w:val="(%1)"/>
      <w:numFmt w:val="lowerLetter"/>
      <w:start w:val="1"/>
    </w:lvl>
  </w:abstractNum>
  <w:abstractNum w:abstractNumId="108">
    <w:nsid w:val="19E21BB2"/>
    <w:multiLevelType w:val="hybridMultilevel"/>
    <w:lvl w:ilvl="0">
      <w:lvlJc w:val="left"/>
      <w:lvlText w:val="(%1)"/>
      <w:numFmt w:val="lowerLetter"/>
      <w:start w:val="3"/>
    </w:lvl>
  </w:abstractNum>
  <w:abstractNum w:abstractNumId="109">
    <w:nsid w:val="75E0858A"/>
    <w:multiLevelType w:val="hybridMultilevel"/>
    <w:lvl w:ilvl="0">
      <w:lvlJc w:val="left"/>
      <w:lvlText w:val="(%1)"/>
      <w:numFmt w:val="lowerLetter"/>
      <w:start w:val="1"/>
    </w:lvl>
  </w:abstractNum>
  <w:abstractNum w:abstractNumId="110">
    <w:nsid w:val="57A61A29"/>
    <w:multiLevelType w:val="hybridMultilevel"/>
    <w:lvl w:ilvl="0">
      <w:lvlJc w:val="left"/>
      <w:lvlText w:val="(%1)"/>
      <w:numFmt w:val="lowerLetter"/>
      <w:start w:val="1"/>
    </w:lvl>
  </w:abstractNum>
  <w:abstractNum w:abstractNumId="111">
    <w:nsid w:val="5399C654"/>
    <w:multiLevelType w:val="hybridMultilevel"/>
    <w:lvl w:ilvl="0">
      <w:lvlJc w:val="left"/>
      <w:lvlText w:val="(%1)"/>
      <w:numFmt w:val="lowerLetter"/>
      <w:start w:val="2"/>
    </w:lvl>
  </w:abstractNum>
  <w:abstractNum w:abstractNumId="112">
    <w:nsid w:val="20EE1348"/>
    <w:multiLevelType w:val="hybridMultilevel"/>
    <w:lvl w:ilvl="0">
      <w:lvlJc w:val="left"/>
      <w:lvlText w:val="(%1)"/>
      <w:numFmt w:val="lowerLetter"/>
      <w:start w:val="1"/>
    </w:lvl>
  </w:abstractNum>
  <w:abstractNum w:abstractNumId="113">
    <w:nsid w:val="4427069A"/>
    <w:multiLevelType w:val="hybridMultilevel"/>
    <w:lvl w:ilvl="0">
      <w:lvlJc w:val="left"/>
      <w:lvlText w:val="(%1)"/>
      <w:numFmt w:val="lowerLetter"/>
      <w:start w:val="1"/>
    </w:lvl>
  </w:abstractNum>
  <w:abstractNum w:abstractNumId="114">
    <w:nsid w:val="B37E80A"/>
    <w:multiLevelType w:val="hybridMultilevel"/>
    <w:lvl w:ilvl="0">
      <w:lvlJc w:val="left"/>
      <w:lvlText w:val="(%1)"/>
      <w:numFmt w:val="lowerLetter"/>
      <w:start w:val="2"/>
    </w:lvl>
    <w:lvl w:ilvl="1">
      <w:lvlJc w:val="left"/>
      <w:lvlText w:val="(%2)"/>
      <w:numFmt w:val="decimal"/>
      <w:start w:val="1"/>
    </w:lvl>
  </w:abstractNum>
  <w:abstractNum w:abstractNumId="115">
    <w:nsid w:val="2157F6BC"/>
    <w:multiLevelType w:val="hybridMultilevel"/>
    <w:lvl w:ilvl="0">
      <w:lvlJc w:val="left"/>
      <w:lvlText w:val="(%1)"/>
      <w:numFmt w:val="lowerLetter"/>
      <w:start w:val="1"/>
    </w:lvl>
  </w:abstractNum>
  <w:abstractNum w:abstractNumId="116">
    <w:nsid w:val="704E1DD5"/>
    <w:multiLevelType w:val="hybridMultilevel"/>
    <w:lvl w:ilvl="0">
      <w:lvlJc w:val="left"/>
      <w:lvlText w:val="(%1)"/>
      <w:numFmt w:val="lowerLetter"/>
      <w:start w:val="1"/>
    </w:lvl>
  </w:abstractNum>
  <w:abstractNum w:abstractNumId="117">
    <w:nsid w:val="57D2F10E"/>
    <w:multiLevelType w:val="hybridMultilevel"/>
    <w:lvl w:ilvl="0">
      <w:lvlJc w:val="left"/>
      <w:lvlText w:val="(%1)"/>
      <w:numFmt w:val="lowerLetter"/>
      <w:start w:val="1"/>
    </w:lvl>
  </w:abstractNum>
  <w:abstractNum w:abstractNumId="118">
    <w:nsid w:val="BFFAE18"/>
    <w:multiLevelType w:val="hybridMultilevel"/>
    <w:lvl w:ilvl="0">
      <w:lvlJc w:val="left"/>
      <w:lvlText w:val="(%1)"/>
      <w:numFmt w:val="lowerLetter"/>
      <w:start w:val="1"/>
    </w:lvl>
    <w:lvl w:ilvl="1">
      <w:lvlJc w:val="left"/>
      <w:lvlText w:val="(%2)"/>
      <w:numFmt w:val="decimal"/>
      <w:start w:val="1"/>
    </w:lvl>
  </w:abstractNum>
  <w:abstractNum w:abstractNumId="119">
    <w:nsid w:val="E3E47A8"/>
    <w:multiLevelType w:val="hybridMultilevel"/>
    <w:lvl w:ilvl="0">
      <w:lvlJc w:val="left"/>
      <w:lvlText w:val="%1"/>
      <w:numFmt w:val="lowerLetter"/>
      <w:start w:val="1"/>
    </w:lvl>
    <w:lvl w:ilvl="1">
      <w:lvlJc w:val="left"/>
      <w:lvlText w:val="(%2)"/>
      <w:numFmt w:val="decimal"/>
      <w:start w:val="3"/>
    </w:lvl>
  </w:abstractNum>
  <w:abstractNum w:abstractNumId="120">
    <w:nsid w:val="2E48F044"/>
    <w:multiLevelType w:val="hybridMultilevel"/>
    <w:lvl w:ilvl="0">
      <w:lvlJc w:val="left"/>
      <w:lvlText w:val="(%1)"/>
      <w:numFmt w:val="lowerLetter"/>
      <w:start w:val="2"/>
    </w:lvl>
    <w:lvl w:ilvl="1">
      <w:lvlJc w:val="left"/>
      <w:lvlText w:val="%2"/>
      <w:numFmt w:val="decimal"/>
      <w:start w:val="1"/>
    </w:lvl>
  </w:abstractNum>
  <w:abstractNum w:abstractNumId="121">
    <w:nsid w:val="49D0FEAC"/>
    <w:multiLevelType w:val="hybridMultilevel"/>
    <w:lvl w:ilvl="0">
      <w:lvlJc w:val="left"/>
      <w:lvlText w:val="(%1)"/>
      <w:numFmt w:val="lowerLetter"/>
      <w:start w:val="4"/>
    </w:lvl>
  </w:abstractNum>
  <w:abstractNum w:abstractNumId="122">
    <w:nsid w:val="4BEE5A5B"/>
    <w:multiLevelType w:val="hybridMultilevel"/>
    <w:lvl w:ilvl="0">
      <w:lvlJc w:val="left"/>
      <w:lvlText w:val="(%1)"/>
      <w:numFmt w:val="lowerLetter"/>
      <w:start w:val="1"/>
    </w:lvl>
  </w:abstractNum>
  <w:abstractNum w:abstractNumId="123">
    <w:nsid w:val="5551B9F3"/>
    <w:multiLevelType w:val="hybridMultilevel"/>
    <w:lvl w:ilvl="0">
      <w:lvlJc w:val="left"/>
      <w:lvlText w:val="(%1)"/>
      <w:numFmt w:val="lowerLetter"/>
      <w:start w:val="1"/>
    </w:lvl>
  </w:abstractNum>
  <w:abstractNum w:abstractNumId="124">
    <w:nsid w:val="24F6AB8E"/>
    <w:multiLevelType w:val="hybridMultilevel"/>
    <w:lvl w:ilvl="0">
      <w:lvlJc w:val="left"/>
      <w:lvlText w:val="(%1)"/>
      <w:numFmt w:val="lowerLetter"/>
      <w:start w:val="1"/>
    </w:lvl>
    <w:lvl w:ilvl="1">
      <w:lvlJc w:val="left"/>
      <w:lvlText w:val="(%2)"/>
      <w:numFmt w:val="lowerRoman"/>
      <w:start w:val="1"/>
    </w:lvl>
  </w:abstractNum>
  <w:abstractNum w:abstractNumId="125">
    <w:nsid w:val="634C574C"/>
    <w:multiLevelType w:val="hybridMultilevel"/>
    <w:lvl w:ilvl="0">
      <w:lvlJc w:val="left"/>
      <w:lvlText w:val="(%1)"/>
      <w:numFmt w:val="lowerLetter"/>
      <w:start w:val="1"/>
    </w:lvl>
  </w:abstractNum>
  <w:abstractNum w:abstractNumId="126">
    <w:nsid w:val="24E99DD7"/>
    <w:multiLevelType w:val="hybridMultilevel"/>
    <w:lvl w:ilvl="0">
      <w:lvlJc w:val="left"/>
      <w:lvlText w:val="(%1)"/>
      <w:numFmt w:val="lowerLetter"/>
      <w:start w:val="10"/>
    </w:lvl>
  </w:abstractNum>
  <w:abstractNum w:abstractNumId="127">
    <w:nsid w:val="2A31B62D"/>
    <w:multiLevelType w:val="hybridMultilevel"/>
    <w:lvl w:ilvl="0">
      <w:lvlJc w:val="left"/>
      <w:lvlText w:val="(%1)"/>
      <w:numFmt w:val="lowerLetter"/>
      <w:start w:val="1"/>
    </w:lvl>
  </w:abstractNum>
  <w:abstractNum w:abstractNumId="128">
    <w:nsid w:val="1849C29B"/>
    <w:multiLevelType w:val="hybridMultilevel"/>
    <w:lvl w:ilvl="0">
      <w:lvlJc w:val="left"/>
      <w:lvlText w:val="(%1)"/>
      <w:numFmt w:val="lowerLetter"/>
      <w:start w:val="1"/>
    </w:lvl>
  </w:abstractNum>
  <w:abstractNum w:abstractNumId="129">
    <w:nsid w:val="7DFF9D09"/>
    <w:multiLevelType w:val="hybridMultilevel"/>
    <w:lvl w:ilvl="0">
      <w:lvlJc w:val="left"/>
      <w:lvlText w:val="(%1)"/>
      <w:numFmt w:val="lowerLetter"/>
      <w:start w:val="1"/>
    </w:lvl>
    <w:lvl w:ilvl="1">
      <w:lvlJc w:val="left"/>
      <w:lvlText w:val="(%2)"/>
      <w:numFmt w:val="lowerRoman"/>
      <w:start w:val="1"/>
    </w:lvl>
  </w:abstractNum>
  <w:abstractNum w:abstractNumId="130">
    <w:nsid w:val="754342"/>
    <w:multiLevelType w:val="hybridMultilevel"/>
    <w:lvl w:ilvl="0">
      <w:lvlJc w:val="left"/>
      <w:lvlText w:val="(%1)"/>
      <w:numFmt w:val="lowerLetter"/>
      <w:start w:val="3"/>
    </w:lvl>
  </w:abstractNum>
  <w:abstractNum w:abstractNumId="131">
    <w:nsid w:val="69E7F3E5"/>
    <w:multiLevelType w:val="hybridMultilevel"/>
    <w:lvl w:ilvl="0">
      <w:lvlJc w:val="left"/>
      <w:lvlText w:val="(%1)"/>
      <w:numFmt w:val="lowerLetter"/>
      <w:start w:val="1"/>
    </w:lvl>
  </w:abstractNum>
  <w:abstractNum w:abstractNumId="132">
    <w:nsid w:val="2A6DE806"/>
    <w:multiLevelType w:val="hybridMultilevel"/>
    <w:lvl w:ilvl="0">
      <w:lvlJc w:val="left"/>
      <w:lvlText w:val="(%1)"/>
      <w:numFmt w:val="lowerLetter"/>
      <w:start w:val="1"/>
    </w:lvl>
  </w:abstractNum>
  <w:abstractNum w:abstractNumId="133">
    <w:nsid w:val="1816F8C4"/>
    <w:multiLevelType w:val="hybridMultilevel"/>
    <w:lvl w:ilvl="0">
      <w:lvlJc w:val="left"/>
      <w:lvlText w:val="(%1)"/>
      <w:numFmt w:val="lowerLetter"/>
      <w:start w:val="1"/>
    </w:lvl>
  </w:abstractNum>
  <w:abstractNum w:abstractNumId="134">
    <w:nsid w:val="37DF2233"/>
    <w:multiLevelType w:val="hybridMultilevel"/>
    <w:lvl w:ilvl="0">
      <w:lvlJc w:val="left"/>
      <w:lvlText w:val="(%1)"/>
      <w:numFmt w:val="lowerLetter"/>
      <w:start w:val="11"/>
    </w:lvl>
  </w:abstractNum>
  <w:abstractNum w:abstractNumId="135">
    <w:nsid w:val="7AB49DAF"/>
    <w:multiLevelType w:val="hybridMultilevel"/>
    <w:lvl w:ilvl="0">
      <w:lvlJc w:val="left"/>
      <w:lvlText w:val="(%1)"/>
      <w:numFmt w:val="lowerLetter"/>
      <w:start w:val="1"/>
    </w:lvl>
  </w:abstractNum>
  <w:abstractNum w:abstractNumId="136">
    <w:nsid w:val="759F82CD"/>
    <w:multiLevelType w:val="hybridMultilevel"/>
    <w:lvl w:ilvl="0">
      <w:lvlJc w:val="left"/>
      <w:lvlText w:val="(%1)"/>
      <w:numFmt w:val="lowerLetter"/>
      <w:start w:val="9"/>
    </w:lvl>
  </w:abstractNum>
  <w:abstractNum w:abstractNumId="137">
    <w:nsid w:val="61E74EA3"/>
    <w:multiLevelType w:val="hybridMultilevel"/>
    <w:lvl w:ilvl="0">
      <w:lvlJc w:val="left"/>
      <w:lvlText w:val="(%1)"/>
      <w:numFmt w:val="lowerLetter"/>
      <w:start w:val="1"/>
    </w:lvl>
  </w:abstractNum>
  <w:abstractNum w:abstractNumId="138">
    <w:nsid w:val="597B4D84"/>
    <w:multiLevelType w:val="hybridMultilevel"/>
    <w:lvl w:ilvl="0">
      <w:lvlJc w:val="left"/>
      <w:lvlText w:val="(%1)"/>
      <w:numFmt w:val="lowerLetter"/>
      <w:start w:val="1"/>
    </w:lvl>
    <w:lvl w:ilvl="1">
      <w:lvlJc w:val="left"/>
      <w:lvlText w:val="(%2)"/>
      <w:numFmt w:val="lowerRoman"/>
      <w:start w:val="1"/>
    </w:lvl>
  </w:abstractNum>
  <w:abstractNum w:abstractNumId="139">
    <w:nsid w:val="F819E7F"/>
    <w:multiLevelType w:val="hybridMultilevel"/>
    <w:lvl w:ilvl="0">
      <w:lvlJc w:val="left"/>
      <w:lvlText w:val="(%1)"/>
      <w:numFmt w:val="upperLetter"/>
      <w:start w:val="1"/>
    </w:lvl>
  </w:abstractNum>
  <w:abstractNum w:abstractNumId="140">
    <w:nsid w:val="57C7D42D"/>
    <w:multiLevelType w:val="hybridMultilevel"/>
    <w:lvl w:ilvl="0">
      <w:lvlJc w:val="left"/>
      <w:lvlText w:val="(%1)"/>
      <w:numFmt w:val="lowerLetter"/>
      <w:start w:val="2"/>
    </w:lvl>
  </w:abstractNum>
  <w:abstractNum w:abstractNumId="141">
    <w:nsid w:val="312167AD"/>
    <w:multiLevelType w:val="hybridMultilevel"/>
    <w:lvl w:ilvl="0">
      <w:lvlJc w:val="left"/>
      <w:lvlText w:val="(%1)"/>
      <w:numFmt w:val="decimal"/>
      <w:start w:val="1"/>
    </w:lvl>
  </w:abstractNum>
  <w:abstractNum w:abstractNumId="142">
    <w:nsid w:val="631B64D4"/>
    <w:multiLevelType w:val="hybridMultilevel"/>
    <w:lvl w:ilvl="0">
      <w:lvlJc w:val="left"/>
      <w:lvlText w:val="(%1)"/>
      <w:numFmt w:val="decimal"/>
      <w:start w:val="1"/>
    </w:lvl>
    <w:lvl w:ilvl="1">
      <w:lvlJc w:val="left"/>
      <w:lvlText w:val="(%2)"/>
      <w:numFmt w:val="upperLetter"/>
      <w:start w:val="1"/>
    </w:lvl>
  </w:abstractNum>
  <w:abstractNum w:abstractNumId="143">
    <w:nsid w:val="78B5E776"/>
    <w:multiLevelType w:val="hybridMultilevel"/>
    <w:lvl w:ilvl="0">
      <w:lvlJc w:val="left"/>
      <w:lvlText w:val="(%1)"/>
      <w:numFmt w:val="decimal"/>
      <w:start w:val="3"/>
    </w:lvl>
  </w:abstractNum>
  <w:abstractNum w:abstractNumId="144">
    <w:nsid w:val="75486E47"/>
    <w:multiLevelType w:val="hybridMultilevel"/>
    <w:lvl w:ilvl="0">
      <w:lvlJc w:val="left"/>
      <w:lvlText w:val="(%1)"/>
      <w:numFmt w:val="decimal"/>
      <w:start w:val="5"/>
    </w:lvl>
  </w:abstractNum>
  <w:abstractNum w:abstractNumId="145">
    <w:nsid w:val="6E534CDE"/>
    <w:multiLevelType w:val="hybridMultilevel"/>
    <w:lvl w:ilvl="0">
      <w:lvlJc w:val="left"/>
      <w:lvlText w:val="(%1)"/>
      <w:numFmt w:val="lowerLetter"/>
      <w:start w:val="1"/>
    </w:lvl>
  </w:abstractNum>
  <w:abstractNum w:abstractNumId="146">
    <w:nsid w:val="1A0DDE32"/>
    <w:multiLevelType w:val="hybridMultilevel"/>
    <w:lvl w:ilvl="0">
      <w:lvlJc w:val="left"/>
      <w:lvlText w:val="(%1)"/>
      <w:numFmt w:val="lowerRoman"/>
      <w:start w:val="1"/>
    </w:lvl>
  </w:abstractNum>
  <w:abstractNum w:abstractNumId="147">
    <w:nsid w:val="65968C1C"/>
    <w:multiLevelType w:val="hybridMultilevel"/>
    <w:lvl w:ilvl="0">
      <w:lvlJc w:val="left"/>
      <w:lvlText w:val="(%1)"/>
      <w:numFmt w:val="lowerLetter"/>
      <w:start w:val="1"/>
    </w:lvl>
  </w:abstractNum>
  <w:abstractNum w:abstractNumId="148">
    <w:nsid w:val="46263DEC"/>
    <w:multiLevelType w:val="hybridMultilevel"/>
    <w:lvl w:ilvl="0">
      <w:lvlJc w:val="left"/>
      <w:lvlText w:val="(%1)"/>
      <w:numFmt w:val="decimal"/>
      <w:start w:val="1"/>
    </w:lvl>
  </w:abstractNum>
  <w:abstractNum w:abstractNumId="149">
    <w:nsid w:val="260D8C4A"/>
    <w:multiLevelType w:val="hybridMultilevel"/>
    <w:lvl w:ilvl="0">
      <w:lvlJc w:val="left"/>
      <w:lvlText w:val="(%1)"/>
      <w:numFmt w:val="decimal"/>
      <w:start w:val="4"/>
    </w:lvl>
  </w:abstractNum>
  <w:abstractNum w:abstractNumId="150">
    <w:nsid w:val="73D4D3C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jpeg"/><Relationship Id="rId161" Type="http://schemas.openxmlformats.org/officeDocument/2006/relationships/image" Target="media/image151.png"/><Relationship Id="rId162" Type="http://schemas.openxmlformats.org/officeDocument/2006/relationships/image" Target="media/image152.jpeg"/><Relationship Id="rId163" Type="http://schemas.openxmlformats.org/officeDocument/2006/relationships/image" Target="media/image153.png"/><Relationship Id="rId164" Type="http://schemas.openxmlformats.org/officeDocument/2006/relationships/image" Target="media/image154.jpeg"/><Relationship Id="rId165" Type="http://schemas.openxmlformats.org/officeDocument/2006/relationships/image" Target="media/image155.png"/><Relationship Id="rId166" Type="http://schemas.openxmlformats.org/officeDocument/2006/relationships/image" Target="media/image156.jpeg"/><Relationship Id="rId167" Type="http://schemas.openxmlformats.org/officeDocument/2006/relationships/image" Target="media/image157.png"/><Relationship Id="rId168" Type="http://schemas.openxmlformats.org/officeDocument/2006/relationships/image" Target="media/image158.jpeg"/><Relationship Id="rId169" Type="http://schemas.openxmlformats.org/officeDocument/2006/relationships/image" Target="media/image159.png"/><Relationship Id="rId59" Type="http://schemas.openxmlformats.org/officeDocument/2006/relationships/hyperlink" Target="https://www.sec.gov/Archives/edgar/data/1566049/000119312519077140/d721306ds4.htm#annexb" TargetMode="External"/><Relationship Id="rId60" Type="http://schemas.openxmlformats.org/officeDocument/2006/relationships/hyperlink" Target="https://www.sec.gov/Archives/edgar/data/1768224/000119380520001470/e620104_ex3-1.htm" TargetMode="External"/><Relationship Id="rId61" Type="http://schemas.openxmlformats.org/officeDocument/2006/relationships/hyperlink" Target="https://www.sec.gov/Archives/edgar/data/1768224/000119380520000569/e619613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2022-12-23T16:24:05Z</dcterms:created>
  <dcterms:modified xsi:type="dcterms:W3CDTF">2022-12-23T16:24:05Z</dcterms:modified>
</cp:coreProperties>
</file>