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For the month of: March 2014 (Report Number 3)</w:t>
      </w:r>
    </w:p>
    <w:p>
      <w:pPr>
        <w:spacing w:after="0" w:line="225"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Amot Investment Building</w:t>
      </w:r>
    </w:p>
    <w:p>
      <w:pPr>
        <w:ind w:left="4840"/>
        <w:spacing w:after="0" w:line="198" w:lineRule="auto"/>
        <w:rPr>
          <w:sz w:val="20"/>
          <w:szCs w:val="20"/>
          <w:color w:val="auto"/>
        </w:rPr>
      </w:pPr>
      <w:r>
        <w:rPr>
          <w:rFonts w:ascii="Times New Roman" w:cs="Times New Roman" w:eastAsia="Times New Roman" w:hAnsi="Times New Roman"/>
          <w:sz w:val="18"/>
          <w:szCs w:val="18"/>
          <w:color w:val="auto"/>
        </w:rPr>
        <w:t>2 Weizman St. 9</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Form 20-F x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 </w:t>
      </w:r>
      <w:r>
        <w:rPr>
          <w:rFonts w:ascii="Times New Roman" w:cs="Times New Roman" w:eastAsia="Times New Roman" w:hAnsi="Times New Roman"/>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and incorporated by reference herein is the registrant's press release issued on March 26,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2" w:right="97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 Yaron Daniely</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 Dr. Yaron Daniely</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27" w:right="3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646-597-6979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mrice@lifesciadvisors.com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 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-1394460</wp:posOffset>
            </wp:positionV>
            <wp:extent cx="153479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780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Debbie Kaye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+972-72 2204661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debbie@alcobra-pharma.com</w:t>
      </w:r>
    </w:p>
    <w:p>
      <w:pPr>
        <w:spacing w:after="0" w:line="200" w:lineRule="exact"/>
        <w:rPr>
          <w:sz w:val="20"/>
          <w:szCs w:val="20"/>
          <w:color w:val="auto"/>
        </w:rPr>
      </w:pPr>
    </w:p>
    <w:p>
      <w:pPr>
        <w:sectPr>
          <w:pgSz w:w="11900" w:h="16838" w:orient="portrait"/>
          <w:cols w:equalWidth="0" w:num="2">
            <w:col w:w="5000" w:space="720"/>
            <w:col w:w="5660"/>
          </w:cols>
          <w:pgMar w:left="240" w:top="1440" w:right="279" w:bottom="1440" w:gutter="0" w:footer="0" w:header="0"/>
        </w:sect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Alcobra Announces Shares Uplisted to NASDAQ Global Market</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Tel Aviv, Israel – March 26, 2014 </w:t>
      </w:r>
      <w:r>
        <w:rPr>
          <w:rFonts w:ascii="Times New Roman" w:cs="Times New Roman" w:eastAsia="Times New Roman" w:hAnsi="Times New Roman"/>
          <w:sz w:val="18"/>
          <w:szCs w:val="18"/>
          <w:color w:val="auto"/>
        </w:rPr>
        <w:t>– Alcobra Ltd. (NASDAQCM: ADHD), an emerging biopharmaceutical company primarily focused on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commercialization of its proprietary drug candidate Metadoxine Extended Release (MDX), to treat cognitive dysfunctions, such as ADHD and Fragile X Syndrome, announced today that it’s stock has been approved to list on the Nasdaq Global Market, effective with the open of the stock market on Friday, March 28, 2014. Until the stock is transferred to Nasdaq Global Market, ADHD’s stock will continue to trade on the Nasdaq Capital Market. The company will continue to trade under its existing ticker symbol “ADHD.”</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listing requirements for the NASDAQ Global Market are more stringent than those for the NASDAQ Capital Market, and are based on certain financial and liquidity requirements, such as income from continuing operations, stockholders equity, market capitalization, total assets and revenue, publicly held shares, market value of publicly held shares, minimum bid price, round-lot shareholders, market makers, and operating history.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Alcobra Ltd.</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4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2019-12-08T05:55:16Z</dcterms:created>
  <dcterms:modified xsi:type="dcterms:W3CDTF">2019-12-08T05:55:16Z</dcterms:modified>
</cp:coreProperties>
</file>