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n/a)*</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140" w:hanging="484"/>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70"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238696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14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
        </w:trPr>
        <w:tc>
          <w:tcPr>
            <w:tcW w:w="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80" w:type="dxa"/>
            <w:vAlign w:val="bottom"/>
            <w:vMerge w:val="restart"/>
          </w:tcPr>
          <w:p>
            <w:pPr>
              <w:ind w:left="2980"/>
              <w:spacing w:after="0"/>
              <w:rPr>
                <w:sz w:val="20"/>
                <w:szCs w:val="20"/>
                <w:color w:val="auto"/>
              </w:rPr>
            </w:pPr>
            <w:r>
              <w:rPr>
                <w:rFonts w:ascii="Times New Roman" w:cs="Times New Roman" w:eastAsia="Times New Roman" w:hAnsi="Times New Roman"/>
                <w:sz w:val="22"/>
                <w:szCs w:val="22"/>
                <w:b w:val="1"/>
                <w:bCs w:val="1"/>
                <w:color w:val="auto"/>
              </w:rPr>
              <w:t>13G</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03969T109</w:t>
            </w:r>
          </w:p>
        </w:tc>
        <w:tc>
          <w:tcPr>
            <w:tcW w:w="800" w:type="dxa"/>
            <w:vAlign w:val="bottom"/>
            <w:tcBorders>
              <w:bottom w:val="single" w:sz="8" w:color="auto"/>
              <w:right w:val="single" w:sz="8" w:color="auto"/>
            </w:tcBorders>
          </w:tcPr>
          <w:p>
            <w:pPr>
              <w:spacing w:after="0"/>
              <w:rPr>
                <w:sz w:val="19"/>
                <w:szCs w:val="19"/>
                <w:color w:val="auto"/>
              </w:rPr>
            </w:pPr>
          </w:p>
        </w:tc>
        <w:tc>
          <w:tcPr>
            <w:tcW w:w="68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40" w:type="dxa"/>
            <w:vAlign w:val="bottom"/>
            <w:tcBorders>
              <w:bottom w:val="single" w:sz="8" w:color="auto"/>
            </w:tcBorders>
            <w:gridSpan w:val="3"/>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Sumitomo Mitsui Trust Group, Inc. (“SMTG”)</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040" w:type="dxa"/>
            <w:vAlign w:val="bottom"/>
            <w:tcBorders>
              <w:bottom w:val="single" w:sz="8" w:color="auto"/>
            </w:tcBorders>
            <w:gridSpan w:val="3"/>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0" w:type="dxa"/>
            <w:vAlign w:val="bottom"/>
            <w:tcBorders>
              <w:left w:val="single" w:sz="8" w:color="auto"/>
            </w:tcBorders>
          </w:tcPr>
          <w:p>
            <w:pPr>
              <w:jc w:val="center"/>
              <w:ind w:left="3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3"/>
                <w:szCs w:val="13"/>
                <w:color w:val="auto"/>
              </w:rPr>
            </w:pPr>
          </w:p>
        </w:tc>
        <w:tc>
          <w:tcPr>
            <w:tcW w:w="90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70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38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80" w:type="dxa"/>
            <w:vAlign w:val="bottom"/>
            <w:tcBorders>
              <w:left w:val="single" w:sz="8" w:color="auto"/>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9040" w:type="dxa"/>
            <w:vAlign w:val="bottom"/>
            <w:tcBorders>
              <w:bottom w:val="single" w:sz="8" w:color="auto"/>
            </w:tcBorders>
            <w:gridSpan w:val="3"/>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8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6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vMerge w:val="continue"/>
          </w:tcPr>
          <w:p>
            <w:pPr>
              <w:spacing w:after="0"/>
              <w:rPr>
                <w:sz w:val="20"/>
                <w:szCs w:val="20"/>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46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80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380" w:type="dxa"/>
            <w:vAlign w:val="bottom"/>
            <w:tcBorders>
              <w:left w:val="single" w:sz="8" w:color="auto"/>
            </w:tcBorders>
          </w:tcPr>
          <w:p>
            <w:pPr>
              <w:spacing w:after="0"/>
              <w:rPr>
                <w:sz w:val="7"/>
                <w:szCs w:val="7"/>
                <w:color w:val="auto"/>
              </w:rPr>
            </w:pPr>
          </w:p>
        </w:tc>
        <w:tc>
          <w:tcPr>
            <w:tcW w:w="1460" w:type="dxa"/>
            <w:vAlign w:val="bottom"/>
            <w:tcBorders>
              <w:right w:val="single" w:sz="8" w:color="auto"/>
            </w:tcBorders>
            <w:gridSpan w:val="2"/>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68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right w:val="single" w:sz="8" w:color="auto"/>
            </w:tcBorders>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2,315,294</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40" w:type="dxa"/>
            <w:vAlign w:val="bottom"/>
            <w:tcBorders>
              <w:left w:val="single" w:sz="8" w:color="auto"/>
              <w:right w:val="single" w:sz="8" w:color="auto"/>
            </w:tcBorders>
            <w:gridSpan w:val="3"/>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8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80" w:type="dxa"/>
            <w:vAlign w:val="bottom"/>
            <w:tcBorders>
              <w:left w:val="single" w:sz="8" w:color="auto"/>
            </w:tcBorders>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right w:val="single" w:sz="8" w:color="auto"/>
            </w:tcBorders>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7"/>
              </w:rPr>
              <w:t>EACH</w:t>
            </w:r>
          </w:p>
        </w:tc>
        <w:tc>
          <w:tcPr>
            <w:tcW w:w="80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80" w:type="dxa"/>
            <w:vAlign w:val="bottom"/>
            <w:tcBorders>
              <w:left w:val="single" w:sz="8" w:color="auto"/>
            </w:tcBorders>
          </w:tcPr>
          <w:p>
            <w:pPr>
              <w:spacing w:after="0"/>
              <w:rPr>
                <w:sz w:val="12"/>
                <w:szCs w:val="12"/>
                <w:color w:val="auto"/>
              </w:rPr>
            </w:pPr>
          </w:p>
        </w:tc>
        <w:tc>
          <w:tcPr>
            <w:tcW w:w="146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REPORTING</w:t>
            </w:r>
          </w:p>
        </w:tc>
        <w:tc>
          <w:tcPr>
            <w:tcW w:w="800" w:type="dxa"/>
            <w:vAlign w:val="bottom"/>
            <w:tcBorders>
              <w:right w:val="single" w:sz="8" w:color="auto"/>
            </w:tcBorders>
            <w:vMerge w:val="continue"/>
          </w:tcPr>
          <w:p>
            <w:pPr>
              <w:spacing w:after="0"/>
              <w:rPr>
                <w:sz w:val="12"/>
                <w:szCs w:val="12"/>
                <w:color w:val="auto"/>
              </w:rPr>
            </w:pPr>
          </w:p>
        </w:tc>
        <w:tc>
          <w:tcPr>
            <w:tcW w:w="6880" w:type="dxa"/>
            <w:vAlign w:val="bottom"/>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688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tcBorders>
              <w:left w:val="single" w:sz="8" w:color="auto"/>
              <w:right w:val="single" w:sz="8" w:color="auto"/>
            </w:tcBorders>
            <w:gridSpan w:val="3"/>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2,315,294</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right w:val="single" w:sz="8" w:color="auto"/>
            </w:tcBorders>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AMOUNT</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2,315,294</w:t>
            </w:r>
          </w:p>
        </w:tc>
        <w:tc>
          <w:tcPr>
            <w:tcW w:w="8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100" w:type="dxa"/>
            <w:vAlign w:val="bottom"/>
            <w:tcBorders>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100" w:type="dxa"/>
            <w:vAlign w:val="bottom"/>
            <w:tcBorders>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8.56</w:t>
            </w: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100" w:type="dxa"/>
            <w:vAlign w:val="bottom"/>
            <w:tcBorders>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HC, FI</w:t>
            </w:r>
          </w:p>
        </w:tc>
        <w:tc>
          <w:tcPr>
            <w:tcW w:w="80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color w:val="auto"/>
              </w:rPr>
              <w:t>Page 2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
        </w:trPr>
        <w:tc>
          <w:tcPr>
            <w:tcW w:w="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80" w:type="dxa"/>
            <w:vAlign w:val="bottom"/>
            <w:vMerge w:val="restart"/>
          </w:tcPr>
          <w:p>
            <w:pPr>
              <w:ind w:left="2980"/>
              <w:spacing w:after="0"/>
              <w:rPr>
                <w:sz w:val="20"/>
                <w:szCs w:val="20"/>
                <w:color w:val="auto"/>
              </w:rPr>
            </w:pPr>
            <w:r>
              <w:rPr>
                <w:rFonts w:ascii="Times New Roman" w:cs="Times New Roman" w:eastAsia="Times New Roman" w:hAnsi="Times New Roman"/>
                <w:sz w:val="22"/>
                <w:szCs w:val="22"/>
                <w:b w:val="1"/>
                <w:bCs w:val="1"/>
                <w:color w:val="auto"/>
              </w:rPr>
              <w:t>13G</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03969T109</w:t>
            </w:r>
          </w:p>
        </w:tc>
        <w:tc>
          <w:tcPr>
            <w:tcW w:w="800" w:type="dxa"/>
            <w:vAlign w:val="bottom"/>
            <w:tcBorders>
              <w:bottom w:val="single" w:sz="8" w:color="auto"/>
              <w:right w:val="single" w:sz="8" w:color="auto"/>
            </w:tcBorders>
          </w:tcPr>
          <w:p>
            <w:pPr>
              <w:spacing w:after="0"/>
              <w:rPr>
                <w:sz w:val="19"/>
                <w:szCs w:val="19"/>
                <w:color w:val="auto"/>
              </w:rPr>
            </w:pPr>
          </w:p>
        </w:tc>
        <w:tc>
          <w:tcPr>
            <w:tcW w:w="68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40" w:type="dxa"/>
            <w:vAlign w:val="bottom"/>
            <w:tcBorders>
              <w:bottom w:val="single" w:sz="8" w:color="auto"/>
            </w:tcBorders>
            <w:gridSpan w:val="3"/>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Nikko Asset Management Co., Ltd. (“NAM”)</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040" w:type="dxa"/>
            <w:vAlign w:val="bottom"/>
            <w:tcBorders>
              <w:bottom w:val="single" w:sz="8" w:color="auto"/>
            </w:tcBorders>
            <w:gridSpan w:val="3"/>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0" w:type="dxa"/>
            <w:vAlign w:val="bottom"/>
            <w:tcBorders>
              <w:left w:val="single" w:sz="8" w:color="auto"/>
            </w:tcBorders>
          </w:tcPr>
          <w:p>
            <w:pPr>
              <w:jc w:val="center"/>
              <w:ind w:left="3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right w:val="single" w:sz="8" w:color="auto"/>
            </w:tcBorders>
          </w:tcPr>
          <w:p>
            <w:pPr>
              <w:spacing w:after="0"/>
              <w:rPr>
                <w:sz w:val="13"/>
                <w:szCs w:val="13"/>
                <w:color w:val="auto"/>
              </w:rPr>
            </w:pPr>
          </w:p>
        </w:tc>
        <w:tc>
          <w:tcPr>
            <w:tcW w:w="90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70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38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80" w:type="dxa"/>
            <w:vAlign w:val="bottom"/>
            <w:tcBorders>
              <w:left w:val="single" w:sz="8" w:color="auto"/>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9040" w:type="dxa"/>
            <w:vAlign w:val="bottom"/>
            <w:tcBorders>
              <w:bottom w:val="single" w:sz="8" w:color="auto"/>
            </w:tcBorders>
            <w:gridSpan w:val="3"/>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8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6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vMerge w:val="continue"/>
          </w:tcPr>
          <w:p>
            <w:pPr>
              <w:spacing w:after="0"/>
              <w:rPr>
                <w:sz w:val="20"/>
                <w:szCs w:val="20"/>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46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80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380" w:type="dxa"/>
            <w:vAlign w:val="bottom"/>
            <w:tcBorders>
              <w:left w:val="single" w:sz="8" w:color="auto"/>
            </w:tcBorders>
          </w:tcPr>
          <w:p>
            <w:pPr>
              <w:spacing w:after="0"/>
              <w:rPr>
                <w:sz w:val="7"/>
                <w:szCs w:val="7"/>
                <w:color w:val="auto"/>
              </w:rPr>
            </w:pPr>
          </w:p>
        </w:tc>
        <w:tc>
          <w:tcPr>
            <w:tcW w:w="1460" w:type="dxa"/>
            <w:vAlign w:val="bottom"/>
            <w:tcBorders>
              <w:right w:val="single" w:sz="8" w:color="auto"/>
            </w:tcBorders>
            <w:gridSpan w:val="2"/>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68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right w:val="single" w:sz="8" w:color="auto"/>
            </w:tcBorders>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2,315,294</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40" w:type="dxa"/>
            <w:vAlign w:val="bottom"/>
            <w:tcBorders>
              <w:left w:val="single" w:sz="8" w:color="auto"/>
              <w:right w:val="single" w:sz="8" w:color="auto"/>
            </w:tcBorders>
            <w:gridSpan w:val="3"/>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8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80" w:type="dxa"/>
            <w:vAlign w:val="bottom"/>
            <w:tcBorders>
              <w:left w:val="single" w:sz="8" w:color="auto"/>
            </w:tcBorders>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right w:val="single" w:sz="8" w:color="auto"/>
            </w:tcBorders>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7"/>
              </w:rPr>
              <w:t>EACH</w:t>
            </w:r>
          </w:p>
        </w:tc>
        <w:tc>
          <w:tcPr>
            <w:tcW w:w="80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80" w:type="dxa"/>
            <w:vAlign w:val="bottom"/>
            <w:tcBorders>
              <w:left w:val="single" w:sz="8" w:color="auto"/>
            </w:tcBorders>
          </w:tcPr>
          <w:p>
            <w:pPr>
              <w:spacing w:after="0"/>
              <w:rPr>
                <w:sz w:val="12"/>
                <w:szCs w:val="12"/>
                <w:color w:val="auto"/>
              </w:rPr>
            </w:pPr>
          </w:p>
        </w:tc>
        <w:tc>
          <w:tcPr>
            <w:tcW w:w="146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REPORTING</w:t>
            </w:r>
          </w:p>
        </w:tc>
        <w:tc>
          <w:tcPr>
            <w:tcW w:w="800" w:type="dxa"/>
            <w:vAlign w:val="bottom"/>
            <w:tcBorders>
              <w:right w:val="single" w:sz="8" w:color="auto"/>
            </w:tcBorders>
            <w:vMerge w:val="continue"/>
          </w:tcPr>
          <w:p>
            <w:pPr>
              <w:spacing w:after="0"/>
              <w:rPr>
                <w:sz w:val="12"/>
                <w:szCs w:val="12"/>
                <w:color w:val="auto"/>
              </w:rPr>
            </w:pPr>
          </w:p>
        </w:tc>
        <w:tc>
          <w:tcPr>
            <w:tcW w:w="6880" w:type="dxa"/>
            <w:vAlign w:val="bottom"/>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688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tcBorders>
              <w:left w:val="single" w:sz="8" w:color="auto"/>
              <w:right w:val="single" w:sz="8" w:color="auto"/>
            </w:tcBorders>
            <w:gridSpan w:val="3"/>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2,315,294</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right w:val="single" w:sz="8" w:color="auto"/>
            </w:tcBorders>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AMOUNT</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2,315,294</w:t>
            </w:r>
          </w:p>
        </w:tc>
        <w:tc>
          <w:tcPr>
            <w:tcW w:w="8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100" w:type="dxa"/>
            <w:vAlign w:val="bottom"/>
            <w:tcBorders>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100" w:type="dxa"/>
            <w:vAlign w:val="bottom"/>
            <w:tcBorders>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8.56</w:t>
            </w: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100" w:type="dxa"/>
            <w:vAlign w:val="bottom"/>
            <w:tcBorders>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IA, HC, FI</w:t>
            </w:r>
          </w:p>
        </w:tc>
        <w:tc>
          <w:tcPr>
            <w:tcW w:w="80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color w:val="auto"/>
              </w:rPr>
              <w:t>Page 3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Item 1(a). Name of Issuer: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1(b). Address of Issuer’s Principal Executive Offices: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 San Diego, California 92121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2(a). Name of Person Filing: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Sumitomo Mitsui Trust Group, Inc.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Nikko Asset Management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2(b). Address of Principal Business Office or, if None, Residence: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SMTG: 1-4-1 Marunouchi, Chiyoda-ku, Tokyo 100-8233, Japan</w:t>
      </w:r>
    </w:p>
    <w:p>
      <w:pPr>
        <w:spacing w:after="0" w:line="225" w:lineRule="exact"/>
        <w:rPr>
          <w:sz w:val="20"/>
          <w:szCs w:val="20"/>
          <w:color w:val="auto"/>
        </w:rPr>
      </w:pPr>
    </w:p>
    <w:p>
      <w:pPr>
        <w:ind w:right="4359" w:firstLine="324"/>
        <w:spacing w:after="0" w:line="500" w:lineRule="auto"/>
        <w:rPr>
          <w:sz w:val="20"/>
          <w:szCs w:val="20"/>
          <w:color w:val="auto"/>
        </w:rPr>
      </w:pPr>
      <w:r>
        <w:rPr>
          <w:rFonts w:ascii="Times New Roman" w:cs="Times New Roman" w:eastAsia="Times New Roman" w:hAnsi="Times New Roman"/>
          <w:sz w:val="18"/>
          <w:szCs w:val="18"/>
          <w:color w:val="auto"/>
        </w:rPr>
        <w:t>NAM: Midtown Tower, 9-7-1 Akasaka, Minato-ku, Tokyo 107-6242, Japan Item 2(c). Citizenship:</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SMTG: Japan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 Japan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2(d). Title of Class of Securities: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2(e). CUSIP Number: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03969T109</w:t>
      </w:r>
    </w:p>
    <w:p>
      <w:pPr>
        <w:spacing w:after="0" w:line="364"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Rule 13d-1(b), or 13d-2(b) or (c), Check Whether the Person Filing is 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SMTG:</w:t>
      </w:r>
    </w:p>
    <w:p>
      <w:pPr>
        <w:spacing w:after="0" w:line="184" w:lineRule="exact"/>
        <w:rPr>
          <w:sz w:val="20"/>
          <w:szCs w:val="20"/>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260" w:hanging="1252"/>
        <w:spacing w:after="0" w:line="226" w:lineRule="exact"/>
        <w:tabs>
          <w:tab w:leader="none" w:pos="69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Group, in accordance with §240.13d-1(b)(1)(ii)(K).</w:t>
      </w:r>
    </w:p>
    <w:p>
      <w:pPr>
        <w:spacing w:after="0" w:line="266" w:lineRule="exact"/>
        <w:rPr>
          <w:sz w:val="20"/>
          <w:szCs w:val="20"/>
          <w:color w:val="auto"/>
        </w:rPr>
      </w:pPr>
    </w:p>
    <w:p>
      <w:pPr>
        <w:ind w:left="340" w:right="580"/>
        <w:spacing w:after="0" w:line="477" w:lineRule="auto"/>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Parent Holding Company NAM:</w:t>
      </w:r>
    </w:p>
    <w:p>
      <w:pPr>
        <w:spacing w:after="0" w:line="1" w:lineRule="exact"/>
        <w:rPr>
          <w:sz w:val="20"/>
          <w:szCs w:val="20"/>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260" w:hanging="1252"/>
        <w:spacing w:after="0" w:line="226" w:lineRule="exact"/>
        <w:tabs>
          <w:tab w:leader="none" w:pos="69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§240.13d-1(b)(1)(ii)(J);</w:t>
      </w:r>
    </w:p>
    <w:p>
      <w:pPr>
        <w:spacing w:after="0" w:line="252"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Group, in accordance with §240.13d-1(b)(1)(ii)(K).</w:t>
      </w:r>
    </w:p>
    <w:p>
      <w:pPr>
        <w:spacing w:after="0" w:line="2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Investment Adviser, Parent Holding Company</w:t>
      </w:r>
    </w:p>
    <w:p>
      <w:pPr>
        <w:spacing w:after="0" w:line="3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42" w:right="599" w:bottom="1440" w:gutter="0" w:footer="0" w:header="0"/>
        </w:sectPr>
      </w:pPr>
    </w:p>
    <w:bookmarkStart w:id="5" w:name="page6"/>
    <w:bookmarkEnd w:id="5"/>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issuer identified in Item 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SMTG:</w:t>
      </w:r>
    </w:p>
    <w:p>
      <w:pPr>
        <w:spacing w:after="0" w:line="221" w:lineRule="exact"/>
        <w:rPr>
          <w:sz w:val="20"/>
          <w:szCs w:val="20"/>
          <w:color w:val="auto"/>
        </w:rPr>
      </w:pPr>
    </w:p>
    <w:p>
      <w:pPr>
        <w:ind w:left="1340" w:hanging="1008"/>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2,315,294</w:t>
      </w:r>
    </w:p>
    <w:p>
      <w:pPr>
        <w:spacing w:after="0" w:line="225" w:lineRule="exact"/>
        <w:rPr>
          <w:rFonts w:ascii="Times New Roman" w:cs="Times New Roman" w:eastAsia="Times New Roman" w:hAnsi="Times New Roman"/>
          <w:sz w:val="18"/>
          <w:szCs w:val="18"/>
          <w:color w:val="auto"/>
        </w:rPr>
      </w:pPr>
    </w:p>
    <w:p>
      <w:pPr>
        <w:ind w:left="1340" w:hanging="1008"/>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8.56%</w:t>
      </w:r>
    </w:p>
    <w:p>
      <w:pPr>
        <w:spacing w:after="0" w:line="229" w:lineRule="exact"/>
        <w:rPr>
          <w:rFonts w:ascii="Times New Roman" w:cs="Times New Roman" w:eastAsia="Times New Roman" w:hAnsi="Times New Roman"/>
          <w:sz w:val="18"/>
          <w:szCs w:val="18"/>
          <w:color w:val="auto"/>
        </w:rPr>
      </w:pPr>
    </w:p>
    <w:p>
      <w:pPr>
        <w:ind w:left="1340" w:hanging="1008"/>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340" w:hanging="395"/>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1" w:lineRule="exact"/>
        <w:rPr>
          <w:rFonts w:ascii="Times New Roman" w:cs="Times New Roman" w:eastAsia="Times New Roman" w:hAnsi="Times New Roman"/>
          <w:sz w:val="18"/>
          <w:szCs w:val="18"/>
          <w:color w:val="auto"/>
        </w:rPr>
      </w:pPr>
    </w:p>
    <w:p>
      <w:pPr>
        <w:ind w:left="1340" w:hanging="445"/>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2,315,294</w:t>
      </w:r>
    </w:p>
    <w:p>
      <w:pPr>
        <w:spacing w:after="0" w:line="229" w:lineRule="exact"/>
        <w:rPr>
          <w:rFonts w:ascii="Times New Roman" w:cs="Times New Roman" w:eastAsia="Times New Roman" w:hAnsi="Times New Roman"/>
          <w:sz w:val="18"/>
          <w:szCs w:val="18"/>
          <w:color w:val="auto"/>
        </w:rPr>
      </w:pPr>
    </w:p>
    <w:p>
      <w:pPr>
        <w:ind w:left="1340" w:hanging="495"/>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1" w:lineRule="exact"/>
        <w:rPr>
          <w:rFonts w:ascii="Times New Roman" w:cs="Times New Roman" w:eastAsia="Times New Roman" w:hAnsi="Times New Roman"/>
          <w:sz w:val="18"/>
          <w:szCs w:val="18"/>
          <w:color w:val="auto"/>
        </w:rPr>
      </w:pPr>
    </w:p>
    <w:p>
      <w:pPr>
        <w:ind w:left="1340" w:hanging="485"/>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2,315,294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w:t>
      </w:r>
    </w:p>
    <w:p>
      <w:pPr>
        <w:spacing w:after="0" w:line="221" w:lineRule="exact"/>
        <w:rPr>
          <w:sz w:val="20"/>
          <w:szCs w:val="20"/>
          <w:color w:val="auto"/>
        </w:rPr>
      </w:pPr>
    </w:p>
    <w:p>
      <w:pPr>
        <w:ind w:left="1340" w:hanging="1008"/>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2,315,294</w:t>
      </w:r>
    </w:p>
    <w:p>
      <w:pPr>
        <w:spacing w:after="0" w:line="225" w:lineRule="exact"/>
        <w:rPr>
          <w:rFonts w:ascii="Times New Roman" w:cs="Times New Roman" w:eastAsia="Times New Roman" w:hAnsi="Times New Roman"/>
          <w:sz w:val="18"/>
          <w:szCs w:val="18"/>
          <w:color w:val="auto"/>
        </w:rPr>
      </w:pPr>
    </w:p>
    <w:p>
      <w:pPr>
        <w:ind w:left="1340" w:hanging="1008"/>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8.56</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40" w:hanging="1008"/>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340" w:hanging="395"/>
        <w:spacing w:after="0"/>
        <w:tabs>
          <w:tab w:leader="none" w:pos="1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1" w:lineRule="exact"/>
        <w:rPr>
          <w:rFonts w:ascii="Times New Roman" w:cs="Times New Roman" w:eastAsia="Times New Roman" w:hAnsi="Times New Roman"/>
          <w:sz w:val="18"/>
          <w:szCs w:val="18"/>
          <w:color w:val="auto"/>
        </w:rPr>
      </w:pPr>
    </w:p>
    <w:p>
      <w:pPr>
        <w:ind w:left="1340" w:hanging="445"/>
        <w:spacing w:after="0"/>
        <w:tabs>
          <w:tab w:leader="none" w:pos="1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2,315,294</w:t>
      </w:r>
    </w:p>
    <w:p>
      <w:pPr>
        <w:spacing w:after="0" w:line="229" w:lineRule="exact"/>
        <w:rPr>
          <w:rFonts w:ascii="Times New Roman" w:cs="Times New Roman" w:eastAsia="Times New Roman" w:hAnsi="Times New Roman"/>
          <w:sz w:val="18"/>
          <w:szCs w:val="18"/>
          <w:color w:val="auto"/>
        </w:rPr>
      </w:pPr>
    </w:p>
    <w:p>
      <w:pPr>
        <w:ind w:left="1340" w:hanging="495"/>
        <w:spacing w:after="0"/>
        <w:tabs>
          <w:tab w:leader="none" w:pos="1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1" w:lineRule="exact"/>
        <w:rPr>
          <w:rFonts w:ascii="Times New Roman" w:cs="Times New Roman" w:eastAsia="Times New Roman" w:hAnsi="Times New Roman"/>
          <w:sz w:val="18"/>
          <w:szCs w:val="18"/>
          <w:color w:val="auto"/>
        </w:rPr>
      </w:pPr>
    </w:p>
    <w:p>
      <w:pPr>
        <w:ind w:left="1340" w:hanging="485"/>
        <w:spacing w:after="0"/>
        <w:tabs>
          <w:tab w:leader="none" w:pos="1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2,315,294</w:t>
      </w:r>
    </w:p>
    <w:p>
      <w:pPr>
        <w:spacing w:after="0" w:line="3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769" w:right="1399" w:bottom="1440" w:gutter="0" w:footer="0" w:header="0"/>
        </w:sectPr>
      </w:pPr>
    </w:p>
    <w:bookmarkStart w:id="6" w:name="page7"/>
    <w:bookmarkEnd w:id="6"/>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42" w:right="5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25"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Sumitomo Mitsui Trust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 Hideaki Takamiya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Hideaki Takamiya / Senior Manager of Risk Management</w:t>
      </w:r>
    </w:p>
    <w:p>
      <w:pPr>
        <w:spacing w:after="0" w:line="2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left="618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Nikko Asset Management Co.,Ltd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 Atsushi Ohya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Atsushi Ohya / Head of Business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(Name/Title)</w:t>
      </w:r>
    </w:p>
    <w:p>
      <w:pPr>
        <w:spacing w:after="0" w:line="3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38" w:right="499" w:bottom="1440" w:gutter="0" w:footer="0" w:header="0"/>
        </w:sectPr>
      </w:pPr>
    </w:p>
    <w:bookmarkStart w:id="8" w:name="page9"/>
    <w:bookmarkEnd w:id="8"/>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instructions in Item 6 and Item 7 of Schedule 13G, the securities being reported on by each of SMTG and NAM, as parent holding companies, are owned, or may be deemed to be beneficially owned, by their subsidiary Nikko Asset Management Americas, Inc., which is classified as an investment adviser in accordance with §240.13d-1(b)(1)(ii)(E).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SMTH has changed the company name to SMTG as of October 1, 2024.</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73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2024-11-05T05:17:17Z</dcterms:created>
  <dcterms:modified xsi:type="dcterms:W3CDTF">2024-11-05T05:17:17Z</dcterms:modified>
</cp:coreProperties>
</file>