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3"/>
          <w:szCs w:val="13"/>
          <w:b w:val="1"/>
          <w:bCs w:val="1"/>
          <w:color w:val="auto"/>
        </w:rPr>
        <w:t>UNITED STATES</w:t>
      </w:r>
    </w:p>
    <w:p>
      <w:pPr>
        <w:spacing w:after="0" w:line="18" w:lineRule="exact"/>
        <w:rPr>
          <w:sz w:val="24"/>
          <w:szCs w:val="24"/>
          <w:color w:val="auto"/>
        </w:rPr>
      </w:pPr>
    </w:p>
    <w:p>
      <w:pPr>
        <w:jc w:val="center"/>
        <w:ind w:right="-7"/>
        <w:spacing w:after="0"/>
        <w:rPr>
          <w:sz w:val="20"/>
          <w:szCs w:val="20"/>
          <w:color w:val="auto"/>
        </w:rPr>
      </w:pPr>
      <w:r>
        <w:rPr>
          <w:rFonts w:ascii="Arial" w:cs="Arial" w:eastAsia="Arial" w:hAnsi="Arial"/>
          <w:sz w:val="13"/>
          <w:szCs w:val="13"/>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FORM 8-K</w:t>
      </w:r>
    </w:p>
    <w:p>
      <w:pPr>
        <w:spacing w:after="0" w:line="14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3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Date of Report (Date of earliest event reported): January 10, 2020</w:t>
      </w:r>
    </w:p>
    <w:p>
      <w:pPr>
        <w:spacing w:after="0" w:line="136"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ARCTURUS THERAPEUTICS HOLDINGS INC.</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137" w:lineRule="exact"/>
        <w:rPr>
          <w:sz w:val="24"/>
          <w:szCs w:val="24"/>
          <w:color w:val="auto"/>
        </w:rPr>
      </w:pPr>
    </w:p>
    <w:tbl>
      <w:tblPr>
        <w:tblLayout w:type="fixed"/>
        <w:tblInd w:w="1188" w:type="dxa"/>
        <w:tblCellMar>
          <w:top w:w="0" w:type="dxa"/>
          <w:left w:w="0" w:type="dxa"/>
          <w:bottom w:w="0" w:type="dxa"/>
          <w:right w:w="0" w:type="dxa"/>
        </w:tblCellMar>
      </w:tblPr>
      <w:tr>
        <w:trPr>
          <w:trHeight w:val="144"/>
        </w:trPr>
        <w:tc>
          <w:tcPr>
            <w:tcW w:w="2100" w:type="dxa"/>
            <w:vAlign w:val="bottom"/>
          </w:tcPr>
          <w:p>
            <w:pPr>
              <w:jc w:val="center"/>
              <w:ind w:right="680"/>
              <w:spacing w:after="0"/>
              <w:rPr>
                <w:sz w:val="20"/>
                <w:szCs w:val="20"/>
                <w:color w:val="auto"/>
              </w:rPr>
            </w:pPr>
            <w:r>
              <w:rPr>
                <w:rFonts w:ascii="Arial" w:cs="Arial" w:eastAsia="Arial" w:hAnsi="Arial"/>
                <w:sz w:val="12"/>
                <w:szCs w:val="12"/>
                <w:b w:val="1"/>
                <w:bCs w:val="1"/>
                <w:color w:val="auto"/>
                <w:w w:val="91"/>
              </w:rPr>
              <w:t>Delaware</w:t>
            </w:r>
          </w:p>
        </w:tc>
        <w:tc>
          <w:tcPr>
            <w:tcW w:w="5020" w:type="dxa"/>
            <w:vAlign w:val="bottom"/>
          </w:tcPr>
          <w:p>
            <w:pPr>
              <w:jc w:val="center"/>
              <w:ind w:right="60"/>
              <w:spacing w:after="0"/>
              <w:rPr>
                <w:sz w:val="20"/>
                <w:szCs w:val="20"/>
                <w:color w:val="auto"/>
              </w:rPr>
            </w:pPr>
            <w:r>
              <w:rPr>
                <w:rFonts w:ascii="Arial" w:cs="Arial" w:eastAsia="Arial" w:hAnsi="Arial"/>
                <w:sz w:val="12"/>
                <w:szCs w:val="12"/>
                <w:b w:val="1"/>
                <w:bCs w:val="1"/>
                <w:color w:val="auto"/>
                <w:w w:val="94"/>
              </w:rPr>
              <w:t>001-38942</w:t>
            </w:r>
          </w:p>
        </w:tc>
        <w:tc>
          <w:tcPr>
            <w:tcW w:w="1760" w:type="dxa"/>
            <w:vAlign w:val="bottom"/>
          </w:tcPr>
          <w:p>
            <w:pPr>
              <w:jc w:val="center"/>
              <w:ind w:left="760"/>
              <w:spacing w:after="0"/>
              <w:rPr>
                <w:sz w:val="20"/>
                <w:szCs w:val="20"/>
                <w:color w:val="auto"/>
              </w:rPr>
            </w:pPr>
            <w:r>
              <w:rPr>
                <w:rFonts w:ascii="Arial" w:cs="Arial" w:eastAsia="Arial" w:hAnsi="Arial"/>
                <w:sz w:val="12"/>
                <w:szCs w:val="12"/>
                <w:b w:val="1"/>
                <w:bCs w:val="1"/>
                <w:color w:val="auto"/>
                <w:w w:val="90"/>
              </w:rPr>
              <w:t>32-0595345</w:t>
            </w:r>
          </w:p>
        </w:tc>
      </w:tr>
      <w:tr>
        <w:trPr>
          <w:trHeight w:val="144"/>
        </w:trPr>
        <w:tc>
          <w:tcPr>
            <w:tcW w:w="2100" w:type="dxa"/>
            <w:vAlign w:val="bottom"/>
          </w:tcPr>
          <w:p>
            <w:pPr>
              <w:jc w:val="center"/>
              <w:ind w:right="660"/>
              <w:spacing w:after="0"/>
              <w:rPr>
                <w:sz w:val="20"/>
                <w:szCs w:val="20"/>
                <w:color w:val="auto"/>
              </w:rPr>
            </w:pPr>
            <w:r>
              <w:rPr>
                <w:rFonts w:ascii="Arial" w:cs="Arial" w:eastAsia="Arial" w:hAnsi="Arial"/>
                <w:sz w:val="12"/>
                <w:szCs w:val="12"/>
                <w:b w:val="1"/>
                <w:bCs w:val="1"/>
                <w:color w:val="auto"/>
                <w:w w:val="91"/>
              </w:rPr>
              <w:t>(State or other jurisdiction</w:t>
            </w:r>
          </w:p>
        </w:tc>
        <w:tc>
          <w:tcPr>
            <w:tcW w:w="5020" w:type="dxa"/>
            <w:vAlign w:val="bottom"/>
          </w:tcPr>
          <w:p>
            <w:pPr>
              <w:jc w:val="center"/>
              <w:ind w:right="60"/>
              <w:spacing w:after="0"/>
              <w:rPr>
                <w:sz w:val="20"/>
                <w:szCs w:val="20"/>
                <w:color w:val="auto"/>
              </w:rPr>
            </w:pPr>
            <w:r>
              <w:rPr>
                <w:rFonts w:ascii="Arial" w:cs="Arial" w:eastAsia="Arial" w:hAnsi="Arial"/>
                <w:sz w:val="12"/>
                <w:szCs w:val="12"/>
                <w:b w:val="1"/>
                <w:bCs w:val="1"/>
                <w:color w:val="auto"/>
                <w:w w:val="86"/>
              </w:rPr>
              <w:t>(Commission</w:t>
            </w:r>
          </w:p>
        </w:tc>
        <w:tc>
          <w:tcPr>
            <w:tcW w:w="1760" w:type="dxa"/>
            <w:vAlign w:val="bottom"/>
          </w:tcPr>
          <w:p>
            <w:pPr>
              <w:jc w:val="center"/>
              <w:ind w:left="780"/>
              <w:spacing w:after="0"/>
              <w:rPr>
                <w:sz w:val="20"/>
                <w:szCs w:val="20"/>
                <w:color w:val="auto"/>
              </w:rPr>
            </w:pPr>
            <w:r>
              <w:rPr>
                <w:rFonts w:ascii="Arial" w:cs="Arial" w:eastAsia="Arial" w:hAnsi="Arial"/>
                <w:sz w:val="12"/>
                <w:szCs w:val="12"/>
                <w:b w:val="1"/>
                <w:bCs w:val="1"/>
                <w:color w:val="auto"/>
                <w:w w:val="95"/>
              </w:rPr>
              <w:t>(I.R.S. Employer</w:t>
            </w:r>
          </w:p>
        </w:tc>
      </w:tr>
      <w:tr>
        <w:trPr>
          <w:trHeight w:val="157"/>
        </w:trPr>
        <w:tc>
          <w:tcPr>
            <w:tcW w:w="2100" w:type="dxa"/>
            <w:vAlign w:val="bottom"/>
          </w:tcPr>
          <w:p>
            <w:pPr>
              <w:jc w:val="center"/>
              <w:ind w:right="680"/>
              <w:spacing w:after="0"/>
              <w:rPr>
                <w:sz w:val="20"/>
                <w:szCs w:val="20"/>
                <w:color w:val="auto"/>
              </w:rPr>
            </w:pPr>
            <w:r>
              <w:rPr>
                <w:rFonts w:ascii="Arial" w:cs="Arial" w:eastAsia="Arial" w:hAnsi="Arial"/>
                <w:sz w:val="12"/>
                <w:szCs w:val="12"/>
                <w:b w:val="1"/>
                <w:bCs w:val="1"/>
                <w:color w:val="auto"/>
                <w:w w:val="91"/>
              </w:rPr>
              <w:t>of incorporation)</w:t>
            </w:r>
          </w:p>
        </w:tc>
        <w:tc>
          <w:tcPr>
            <w:tcW w:w="5020" w:type="dxa"/>
            <w:vAlign w:val="bottom"/>
          </w:tcPr>
          <w:p>
            <w:pPr>
              <w:jc w:val="center"/>
              <w:ind w:right="60"/>
              <w:spacing w:after="0"/>
              <w:rPr>
                <w:sz w:val="20"/>
                <w:szCs w:val="20"/>
                <w:color w:val="auto"/>
              </w:rPr>
            </w:pPr>
            <w:r>
              <w:rPr>
                <w:rFonts w:ascii="Arial" w:cs="Arial" w:eastAsia="Arial" w:hAnsi="Arial"/>
                <w:sz w:val="12"/>
                <w:szCs w:val="12"/>
                <w:b w:val="1"/>
                <w:bCs w:val="1"/>
                <w:color w:val="auto"/>
                <w:w w:val="95"/>
              </w:rPr>
              <w:t>File Number)</w:t>
            </w:r>
          </w:p>
        </w:tc>
        <w:tc>
          <w:tcPr>
            <w:tcW w:w="1760" w:type="dxa"/>
            <w:vAlign w:val="bottom"/>
          </w:tcPr>
          <w:p>
            <w:pPr>
              <w:jc w:val="center"/>
              <w:ind w:left="760"/>
              <w:spacing w:after="0"/>
              <w:rPr>
                <w:sz w:val="20"/>
                <w:szCs w:val="20"/>
                <w:color w:val="auto"/>
              </w:rPr>
            </w:pPr>
            <w:r>
              <w:rPr>
                <w:rFonts w:ascii="Arial" w:cs="Arial" w:eastAsia="Arial" w:hAnsi="Arial"/>
                <w:sz w:val="12"/>
                <w:szCs w:val="12"/>
                <w:b w:val="1"/>
                <w:bCs w:val="1"/>
                <w:color w:val="auto"/>
                <w:w w:val="92"/>
              </w:rPr>
              <w:t>Identification No.)</w:t>
            </w:r>
          </w:p>
        </w:tc>
      </w:tr>
      <w:tr>
        <w:trPr>
          <w:trHeight w:val="276"/>
        </w:trPr>
        <w:tc>
          <w:tcPr>
            <w:tcW w:w="2100" w:type="dxa"/>
            <w:vAlign w:val="bottom"/>
          </w:tcPr>
          <w:p>
            <w:pPr>
              <w:spacing w:after="0"/>
              <w:rPr>
                <w:sz w:val="24"/>
                <w:szCs w:val="24"/>
                <w:color w:val="auto"/>
              </w:rPr>
            </w:pPr>
          </w:p>
        </w:tc>
        <w:tc>
          <w:tcPr>
            <w:tcW w:w="502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10628 Science Center Drive, Suite 250</w:t>
            </w:r>
          </w:p>
        </w:tc>
        <w:tc>
          <w:tcPr>
            <w:tcW w:w="1760" w:type="dxa"/>
            <w:vAlign w:val="bottom"/>
          </w:tcPr>
          <w:p>
            <w:pPr>
              <w:spacing w:after="0"/>
              <w:rPr>
                <w:sz w:val="24"/>
                <w:szCs w:val="24"/>
                <w:color w:val="auto"/>
              </w:rPr>
            </w:pPr>
          </w:p>
        </w:tc>
      </w:tr>
      <w:tr>
        <w:trPr>
          <w:trHeight w:val="144"/>
        </w:trPr>
        <w:tc>
          <w:tcPr>
            <w:tcW w:w="2100" w:type="dxa"/>
            <w:vAlign w:val="bottom"/>
          </w:tcPr>
          <w:p>
            <w:pPr>
              <w:spacing w:after="0"/>
              <w:rPr>
                <w:sz w:val="12"/>
                <w:szCs w:val="12"/>
                <w:color w:val="auto"/>
              </w:rPr>
            </w:pPr>
          </w:p>
        </w:tc>
        <w:tc>
          <w:tcPr>
            <w:tcW w:w="5020" w:type="dxa"/>
            <w:vAlign w:val="bottom"/>
          </w:tcPr>
          <w:p>
            <w:pPr>
              <w:jc w:val="center"/>
              <w:ind w:right="40"/>
              <w:spacing w:after="0"/>
              <w:rPr>
                <w:sz w:val="20"/>
                <w:szCs w:val="20"/>
                <w:color w:val="auto"/>
              </w:rPr>
            </w:pPr>
            <w:r>
              <w:rPr>
                <w:rFonts w:ascii="Arial" w:cs="Arial" w:eastAsia="Arial" w:hAnsi="Arial"/>
                <w:sz w:val="12"/>
                <w:szCs w:val="12"/>
                <w:b w:val="1"/>
                <w:bCs w:val="1"/>
                <w:color w:val="auto"/>
                <w:w w:val="91"/>
              </w:rPr>
              <w:t>San Diego, California 92121</w:t>
            </w:r>
          </w:p>
        </w:tc>
        <w:tc>
          <w:tcPr>
            <w:tcW w:w="1760" w:type="dxa"/>
            <w:vAlign w:val="bottom"/>
          </w:tcPr>
          <w:p>
            <w:pPr>
              <w:spacing w:after="0"/>
              <w:rPr>
                <w:sz w:val="12"/>
                <w:szCs w:val="12"/>
                <w:color w:val="auto"/>
              </w:rPr>
            </w:pPr>
          </w:p>
        </w:tc>
      </w:tr>
      <w:tr>
        <w:trPr>
          <w:trHeight w:val="157"/>
        </w:trPr>
        <w:tc>
          <w:tcPr>
            <w:tcW w:w="2100" w:type="dxa"/>
            <w:vAlign w:val="bottom"/>
          </w:tcPr>
          <w:p>
            <w:pPr>
              <w:spacing w:after="0"/>
              <w:rPr>
                <w:sz w:val="13"/>
                <w:szCs w:val="13"/>
                <w:color w:val="auto"/>
              </w:rPr>
            </w:pPr>
          </w:p>
        </w:tc>
        <w:tc>
          <w:tcPr>
            <w:tcW w:w="5020" w:type="dxa"/>
            <w:vAlign w:val="bottom"/>
          </w:tcPr>
          <w:p>
            <w:pPr>
              <w:jc w:val="center"/>
              <w:ind w:right="60"/>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1760" w:type="dxa"/>
            <w:vAlign w:val="bottom"/>
          </w:tcPr>
          <w:p>
            <w:pPr>
              <w:spacing w:after="0"/>
              <w:rPr>
                <w:sz w:val="13"/>
                <w:szCs w:val="13"/>
                <w:color w:val="auto"/>
              </w:rPr>
            </w:pPr>
          </w:p>
        </w:tc>
      </w:tr>
      <w:tr>
        <w:trPr>
          <w:trHeight w:val="289"/>
        </w:trPr>
        <w:tc>
          <w:tcPr>
            <w:tcW w:w="2100" w:type="dxa"/>
            <w:vAlign w:val="bottom"/>
          </w:tcPr>
          <w:p>
            <w:pPr>
              <w:spacing w:after="0"/>
              <w:rPr>
                <w:sz w:val="24"/>
                <w:szCs w:val="24"/>
                <w:color w:val="auto"/>
              </w:rPr>
            </w:pPr>
          </w:p>
        </w:tc>
        <w:tc>
          <w:tcPr>
            <w:tcW w:w="502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Registrant’s telephone number, including area code: (858) 900-2660</w:t>
            </w:r>
          </w:p>
        </w:tc>
        <w:tc>
          <w:tcPr>
            <w:tcW w:w="1760" w:type="dxa"/>
            <w:vAlign w:val="bottom"/>
          </w:tcPr>
          <w:p>
            <w:pPr>
              <w:spacing w:after="0"/>
              <w:rPr>
                <w:sz w:val="24"/>
                <w:szCs w:val="24"/>
                <w:color w:val="auto"/>
              </w:rPr>
            </w:pPr>
          </w:p>
        </w:tc>
      </w:tr>
      <w:tr>
        <w:trPr>
          <w:trHeight w:val="289"/>
        </w:trPr>
        <w:tc>
          <w:tcPr>
            <w:tcW w:w="2100" w:type="dxa"/>
            <w:vAlign w:val="bottom"/>
          </w:tcPr>
          <w:p>
            <w:pPr>
              <w:spacing w:after="0"/>
              <w:rPr>
                <w:sz w:val="24"/>
                <w:szCs w:val="24"/>
                <w:color w:val="auto"/>
              </w:rPr>
            </w:pPr>
          </w:p>
        </w:tc>
        <w:tc>
          <w:tcPr>
            <w:tcW w:w="5020" w:type="dxa"/>
            <w:vAlign w:val="bottom"/>
          </w:tcPr>
          <w:p>
            <w:pPr>
              <w:jc w:val="center"/>
              <w:ind w:right="60"/>
              <w:spacing w:after="0"/>
              <w:rPr>
                <w:sz w:val="20"/>
                <w:szCs w:val="20"/>
                <w:color w:val="auto"/>
              </w:rPr>
            </w:pPr>
            <w:r>
              <w:rPr>
                <w:rFonts w:ascii="Arial" w:cs="Arial" w:eastAsia="Arial" w:hAnsi="Arial"/>
                <w:sz w:val="12"/>
                <w:szCs w:val="12"/>
                <w:b w:val="1"/>
                <w:bCs w:val="1"/>
                <w:color w:val="auto"/>
                <w:w w:val="90"/>
              </w:rPr>
              <w:t>(Former name or former address, if changed since last report)</w:t>
            </w:r>
          </w:p>
        </w:tc>
        <w:tc>
          <w:tcPr>
            <w:tcW w:w="1760" w:type="dxa"/>
            <w:vAlign w:val="bottom"/>
          </w:tcPr>
          <w:p>
            <w:pPr>
              <w:spacing w:after="0"/>
              <w:rPr>
                <w:sz w:val="24"/>
                <w:szCs w:val="24"/>
                <w:color w:val="auto"/>
              </w:rPr>
            </w:pPr>
          </w:p>
        </w:tc>
      </w:tr>
    </w:tbl>
    <w:p>
      <w:pPr>
        <w:spacing w:after="0" w:line="136"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51"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41"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4280" w:type="dxa"/>
            <w:vAlign w:val="bottom"/>
            <w:gridSpan w:val="3"/>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2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80" w:type="dxa"/>
            <w:vAlign w:val="bottom"/>
          </w:tcPr>
          <w:p>
            <w:pPr>
              <w:spacing w:after="0"/>
              <w:rPr>
                <w:sz w:val="13"/>
                <w:szCs w:val="13"/>
                <w:color w:val="auto"/>
              </w:rPr>
            </w:pPr>
          </w:p>
        </w:tc>
      </w:tr>
      <w:tr>
        <w:trPr>
          <w:trHeight w:val="276"/>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Trading</w:t>
            </w:r>
          </w:p>
        </w:tc>
        <w:tc>
          <w:tcPr>
            <w:tcW w:w="4080" w:type="dxa"/>
            <w:vAlign w:val="bottom"/>
          </w:tcPr>
          <w:p>
            <w:pPr>
              <w:jc w:val="center"/>
              <w:spacing w:after="0"/>
              <w:rPr>
                <w:sz w:val="20"/>
                <w:szCs w:val="20"/>
                <w:color w:val="auto"/>
              </w:rPr>
            </w:pPr>
            <w:r>
              <w:rPr>
                <w:rFonts w:ascii="Arial" w:cs="Arial" w:eastAsia="Arial" w:hAnsi="Arial"/>
                <w:sz w:val="12"/>
                <w:szCs w:val="12"/>
                <w:b w:val="1"/>
                <w:bCs w:val="1"/>
                <w:color w:val="auto"/>
                <w:w w:val="87"/>
              </w:rPr>
              <w:t>Name of each exchange</w:t>
            </w:r>
          </w:p>
        </w:tc>
      </w:tr>
      <w:tr>
        <w:trPr>
          <w:trHeight w:val="157"/>
        </w:trPr>
        <w:tc>
          <w:tcPr>
            <w:tcW w:w="20" w:type="dxa"/>
            <w:vAlign w:val="bottom"/>
          </w:tcPr>
          <w:p>
            <w:pPr>
              <w:spacing w:after="0"/>
              <w:rPr>
                <w:sz w:val="13"/>
                <w:szCs w:val="13"/>
                <w:color w:val="auto"/>
              </w:rPr>
            </w:pPr>
          </w:p>
        </w:tc>
        <w:tc>
          <w:tcPr>
            <w:tcW w:w="42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Title of each class</w:t>
            </w:r>
          </w:p>
        </w:tc>
        <w:tc>
          <w:tcPr>
            <w:tcW w:w="3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Symbol(s)</w:t>
            </w:r>
          </w:p>
        </w:tc>
        <w:tc>
          <w:tcPr>
            <w:tcW w:w="4080" w:type="dxa"/>
            <w:vAlign w:val="bottom"/>
          </w:tcPr>
          <w:p>
            <w:pPr>
              <w:jc w:val="center"/>
              <w:spacing w:after="0"/>
              <w:rPr>
                <w:sz w:val="20"/>
                <w:szCs w:val="20"/>
                <w:color w:val="auto"/>
              </w:rPr>
            </w:pPr>
            <w:r>
              <w:rPr>
                <w:rFonts w:ascii="Arial" w:cs="Arial" w:eastAsia="Arial" w:hAnsi="Arial"/>
                <w:sz w:val="12"/>
                <w:szCs w:val="12"/>
                <w:b w:val="1"/>
                <w:bCs w:val="1"/>
                <w:color w:val="auto"/>
                <w:w w:val="88"/>
              </w:rPr>
              <w:t>on which registered</w:t>
            </w:r>
          </w:p>
        </w:tc>
      </w:tr>
      <w:tr>
        <w:trPr>
          <w:trHeight w:val="146"/>
        </w:trPr>
        <w:tc>
          <w:tcPr>
            <w:tcW w:w="20" w:type="dxa"/>
            <w:vAlign w:val="bottom"/>
          </w:tcPr>
          <w:p>
            <w:pPr>
              <w:spacing w:after="0"/>
              <w:rPr>
                <w:sz w:val="12"/>
                <w:szCs w:val="12"/>
                <w:color w:val="auto"/>
              </w:rPr>
            </w:pPr>
          </w:p>
        </w:tc>
        <w:tc>
          <w:tcPr>
            <w:tcW w:w="402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par value $0.001 per share</w:t>
            </w:r>
          </w:p>
        </w:tc>
        <w:tc>
          <w:tcPr>
            <w:tcW w:w="240" w:type="dxa"/>
            <w:vAlign w:val="bottom"/>
          </w:tcPr>
          <w:p>
            <w:pPr>
              <w:spacing w:after="0"/>
              <w:rPr>
                <w:sz w:val="12"/>
                <w:szCs w:val="12"/>
                <w:color w:val="auto"/>
              </w:rPr>
            </w:pPr>
          </w:p>
        </w:tc>
        <w:tc>
          <w:tcPr>
            <w:tcW w:w="29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ARCT</w:t>
            </w:r>
          </w:p>
        </w:tc>
        <w:tc>
          <w:tcPr>
            <w:tcW w:w="220" w:type="dxa"/>
            <w:vAlign w:val="bottom"/>
          </w:tcPr>
          <w:p>
            <w:pPr>
              <w:spacing w:after="0"/>
              <w:rPr>
                <w:sz w:val="12"/>
                <w:szCs w:val="12"/>
                <w:color w:val="auto"/>
              </w:rPr>
            </w:pPr>
          </w:p>
        </w:tc>
        <w:tc>
          <w:tcPr>
            <w:tcW w:w="40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The NASDAQ Stock Market LLC</w:t>
            </w:r>
          </w:p>
        </w:tc>
      </w:tr>
    </w:tbl>
    <w:p>
      <w:pPr>
        <w:spacing w:after="0" w:line="123" w:lineRule="exact"/>
        <w:rPr>
          <w:sz w:val="24"/>
          <w:szCs w:val="24"/>
          <w:color w:val="auto"/>
        </w:rPr>
      </w:pPr>
    </w:p>
    <w:p>
      <w:pPr>
        <w:ind w:left="8" w:right="320"/>
        <w:spacing w:after="0" w:line="277"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73" w:lineRule="exact"/>
        <w:rPr>
          <w:sz w:val="24"/>
          <w:szCs w:val="24"/>
          <w:color w:val="auto"/>
        </w:rPr>
      </w:pPr>
    </w:p>
    <w:p>
      <w:pPr>
        <w:ind w:left="8" w:right="8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2923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88"/>
          </w:cols>
          <w:pgMar w:left="212" w:top="360" w:right="1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5" w:lineRule="exact"/>
        <w:rPr>
          <w:sz w:val="20"/>
          <w:szCs w:val="20"/>
          <w:color w:val="auto"/>
        </w:rPr>
      </w:pPr>
    </w:p>
    <w:p>
      <w:pPr>
        <w:spacing w:after="0"/>
        <w:rPr>
          <w:sz w:val="20"/>
          <w:szCs w:val="20"/>
          <w:color w:val="auto"/>
        </w:rPr>
      </w:pPr>
      <w:r>
        <w:rPr>
          <w:rFonts w:ascii="Arial" w:cs="Arial" w:eastAsia="Arial" w:hAnsi="Arial"/>
          <w:sz w:val="11"/>
          <w:szCs w:val="11"/>
          <w:color w:val="auto"/>
        </w:rPr>
        <w:t>Arcturus Therapeutics Holdings Inc. (the “</w:t>
      </w:r>
      <w:r>
        <w:rPr>
          <w:rFonts w:ascii="Arial" w:cs="Arial" w:eastAsia="Arial" w:hAnsi="Arial"/>
          <w:sz w:val="11"/>
          <w:szCs w:val="11"/>
          <w:u w:val="single" w:color="auto"/>
          <w:color w:val="auto"/>
        </w:rPr>
        <w:t>Company</w:t>
      </w:r>
      <w:r>
        <w:rPr>
          <w:rFonts w:ascii="Arial" w:cs="Arial" w:eastAsia="Arial" w:hAnsi="Arial"/>
          <w:sz w:val="11"/>
          <w:szCs w:val="11"/>
          <w:color w:val="auto"/>
        </w:rPr>
        <w:t>”) plans to discuss the information contained in the presentation attached to this Current Report on Form 8-K as Exhibit 99.1 with third parties in San Francisco, California.</w:t>
      </w:r>
    </w:p>
    <w:p>
      <w:pPr>
        <w:spacing w:after="0" w:line="162" w:lineRule="exact"/>
        <w:rPr>
          <w:sz w:val="20"/>
          <w:szCs w:val="20"/>
          <w:color w:val="auto"/>
        </w:rPr>
      </w:pPr>
    </w:p>
    <w:p>
      <w:pPr>
        <w:jc w:val="both"/>
        <w:ind w:right="20"/>
        <w:spacing w:after="0" w:line="290" w:lineRule="auto"/>
        <w:rPr>
          <w:sz w:val="20"/>
          <w:szCs w:val="20"/>
          <w:color w:val="auto"/>
        </w:rPr>
      </w:pPr>
      <w:r>
        <w:rPr>
          <w:rFonts w:ascii="Arial" w:cs="Arial" w:eastAsia="Arial" w:hAnsi="Arial"/>
          <w:sz w:val="11"/>
          <w:szCs w:val="11"/>
          <w:color w:val="auto"/>
        </w:rPr>
        <w:t>The furnishing of the attached presentation is not an admission as to the materiality of any information therein. The information contained in the slides is summary information that is intended to be considered in the context of more complete information included in the Company’s filings with the SEC and other public announcements that the Company has made and may make from time to time by press release or otherwise. The Company undertakes no duty or obligation to update or revise the information contained in this report, although it may do so from time to time as its management believes is appropriate. Any such updating may be made through the filing of other reports or documents with the SEC, through press releases or through other public disclosures. For important information about forward looking statements, see the slide titled “Forward-looking Statements” in Exhibit 99.1 attached hereto.</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The information in this Item 7.01 of this Current Report on Form 8-K and Exhibit 99.1 attached hereto shall not be deemed “filed” for purposes of Section 18 of the Exchange Act, or otherwise subject to the liabilities of that section or Sections 11 and 12(a)(2) of the Securities Act. The information contained in this Item 7.01 and in the presentation attached as Exhibit 99.1 to this Current Report shall not be incorporated by reference into any filing with the SEC made by the Company, whether made before or after the date hereof, regardless of any general incorporation language in such filing.</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60" w:type="dxa"/>
            <w:vAlign w:val="bottom"/>
          </w:tcPr>
          <w:p>
            <w:pPr>
              <w:spacing w:after="0"/>
              <w:rPr>
                <w:sz w:val="20"/>
                <w:szCs w:val="20"/>
                <w:color w:val="auto"/>
              </w:rPr>
            </w:pPr>
            <w:r>
              <w:rPr>
                <w:rFonts w:ascii="Arial" w:cs="Arial" w:eastAsia="Arial" w:hAnsi="Arial"/>
                <w:sz w:val="12"/>
                <w:szCs w:val="12"/>
                <w:b w:val="1"/>
                <w:bCs w:val="1"/>
                <w:i w:val="1"/>
                <w:iCs w:val="1"/>
                <w:color w:val="auto"/>
              </w:rPr>
              <w:t>(d) Exhibits.</w:t>
            </w:r>
          </w:p>
        </w:tc>
        <w:tc>
          <w:tcPr>
            <w:tcW w:w="1560" w:type="dxa"/>
            <w:vAlign w:val="bottom"/>
          </w:tcPr>
          <w:p>
            <w:pPr>
              <w:spacing w:after="0"/>
              <w:rPr>
                <w:sz w:val="13"/>
                <w:szCs w:val="13"/>
                <w:color w:val="auto"/>
              </w:rPr>
            </w:pPr>
          </w:p>
        </w:tc>
        <w:tc>
          <w:tcPr>
            <w:tcW w:w="8660" w:type="dxa"/>
            <w:vAlign w:val="bottom"/>
          </w:tcPr>
          <w:p>
            <w:pPr>
              <w:spacing w:after="0"/>
              <w:rPr>
                <w:sz w:val="13"/>
                <w:szCs w:val="13"/>
                <w:color w:val="auto"/>
              </w:rPr>
            </w:pPr>
          </w:p>
        </w:tc>
      </w:tr>
      <w:tr>
        <w:trPr>
          <w:trHeight w:val="289"/>
        </w:trPr>
        <w:tc>
          <w:tcPr>
            <w:tcW w:w="1260" w:type="dxa"/>
            <w:vAlign w:val="bottom"/>
          </w:tcPr>
          <w:p>
            <w:pPr>
              <w:spacing w:after="0"/>
              <w:rPr>
                <w:sz w:val="20"/>
                <w:szCs w:val="20"/>
                <w:color w:val="auto"/>
              </w:rPr>
            </w:pPr>
            <w:r>
              <w:rPr>
                <w:rFonts w:ascii="Arial" w:cs="Arial" w:eastAsia="Arial" w:hAnsi="Arial"/>
                <w:sz w:val="12"/>
                <w:szCs w:val="12"/>
                <w:b w:val="1"/>
                <w:bCs w:val="1"/>
                <w:color w:val="auto"/>
              </w:rPr>
              <w:t>Exhibit No.</w:t>
            </w:r>
          </w:p>
        </w:tc>
        <w:tc>
          <w:tcPr>
            <w:tcW w:w="10220" w:type="dxa"/>
            <w:vAlign w:val="bottom"/>
            <w:gridSpan w:val="2"/>
          </w:tcPr>
          <w:p>
            <w:pPr>
              <w:spacing w:after="0"/>
              <w:rPr>
                <w:sz w:val="20"/>
                <w:szCs w:val="20"/>
                <w:color w:val="auto"/>
              </w:rPr>
            </w:pPr>
            <w:r>
              <w:rPr>
                <w:rFonts w:ascii="Arial" w:cs="Arial" w:eastAsia="Arial" w:hAnsi="Arial"/>
                <w:sz w:val="12"/>
                <w:szCs w:val="12"/>
                <w:b w:val="1"/>
                <w:bCs w:val="1"/>
                <w:color w:val="auto"/>
              </w:rPr>
              <w:t>Description of Exhibit</w:t>
            </w:r>
          </w:p>
        </w:tc>
      </w:tr>
      <w:tr>
        <w:trPr>
          <w:trHeight w:val="262"/>
        </w:trPr>
        <w:tc>
          <w:tcPr>
            <w:tcW w:w="1260" w:type="dxa"/>
            <w:vAlign w:val="bottom"/>
          </w:tcPr>
          <w:p>
            <w:pPr>
              <w:spacing w:after="0"/>
              <w:rPr>
                <w:sz w:val="20"/>
                <w:szCs w:val="20"/>
                <w:color w:val="auto"/>
              </w:rPr>
            </w:pPr>
            <w:r>
              <w:rPr>
                <w:rFonts w:ascii="Arial" w:cs="Arial" w:eastAsia="Arial" w:hAnsi="Arial"/>
                <w:sz w:val="12"/>
                <w:szCs w:val="12"/>
                <w:color w:val="auto"/>
              </w:rPr>
              <w:t>99.1</w:t>
            </w:r>
          </w:p>
        </w:tc>
        <w:tc>
          <w:tcPr>
            <w:tcW w:w="10220" w:type="dxa"/>
            <w:vAlign w:val="bottom"/>
            <w:gridSpan w:val="2"/>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Presentation dated January 2020</w:t>
              </w:r>
            </w:hyperlink>
          </w:p>
        </w:tc>
      </w:tr>
      <w:tr>
        <w:trPr>
          <w:trHeight w:val="386"/>
        </w:trPr>
        <w:tc>
          <w:tcPr>
            <w:tcW w:w="1260" w:type="dxa"/>
            <w:vAlign w:val="bottom"/>
            <w:tcBorders>
              <w:bottom w:val="single" w:sz="8" w:color="auto"/>
            </w:tcBorders>
          </w:tcPr>
          <w:p>
            <w:pPr>
              <w:spacing w:after="0"/>
              <w:rPr>
                <w:sz w:val="24"/>
                <w:szCs w:val="24"/>
                <w:color w:val="auto"/>
              </w:rPr>
            </w:pPr>
          </w:p>
        </w:tc>
        <w:tc>
          <w:tcPr>
            <w:tcW w:w="1560" w:type="dxa"/>
            <w:vAlign w:val="bottom"/>
            <w:tcBorders>
              <w:top w:val="single" w:sz="8" w:color="0000EE"/>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80"/>
          </w:cols>
          <w:pgMar w:left="220" w:top="578" w:right="19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SIGNATURES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7" w:lineRule="exact"/>
        <w:rPr>
          <w:sz w:val="20"/>
          <w:szCs w:val="20"/>
          <w:color w:val="auto"/>
        </w:rPr>
      </w:pPr>
    </w:p>
    <w:p>
      <w:pPr>
        <w:ind w:left="6440"/>
        <w:spacing w:after="0"/>
        <w:rPr>
          <w:sz w:val="20"/>
          <w:szCs w:val="20"/>
          <w:color w:val="auto"/>
        </w:rPr>
      </w:pPr>
      <w:r>
        <w:rPr>
          <w:rFonts w:ascii="Arial" w:cs="Arial" w:eastAsia="Arial" w:hAnsi="Arial"/>
          <w:sz w:val="12"/>
          <w:szCs w:val="12"/>
          <w:b w:val="1"/>
          <w:bCs w:val="1"/>
          <w:color w:val="auto"/>
        </w:rPr>
        <w:t>Arcturus Therapeutics Holdings Inc.</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Date: January 10, 2020</w:t>
      </w:r>
    </w:p>
    <w:p>
      <w:pPr>
        <w:spacing w:after="0" w:line="142" w:lineRule="exact"/>
        <w:rPr>
          <w:sz w:val="20"/>
          <w:szCs w:val="20"/>
          <w:color w:val="auto"/>
        </w:rPr>
      </w:pPr>
    </w:p>
    <w:tbl>
      <w:tblPr>
        <w:tblLayout w:type="fixed"/>
        <w:tblInd w:w="6440" w:type="dxa"/>
        <w:tblCellMar>
          <w:top w:w="0" w:type="dxa"/>
          <w:left w:w="0" w:type="dxa"/>
          <w:bottom w:w="0" w:type="dxa"/>
          <w:right w:w="0" w:type="dxa"/>
        </w:tblCellMar>
      </w:tblPr>
      <w:tr>
        <w:trPr>
          <w:trHeight w:val="153"/>
        </w:trPr>
        <w:tc>
          <w:tcPr>
            <w:tcW w:w="500" w:type="dxa"/>
            <w:vAlign w:val="bottom"/>
          </w:tcPr>
          <w:p>
            <w:pPr>
              <w:spacing w:after="0"/>
              <w:rPr>
                <w:sz w:val="20"/>
                <w:szCs w:val="20"/>
                <w:color w:val="auto"/>
              </w:rPr>
            </w:pPr>
            <w:r>
              <w:rPr>
                <w:rFonts w:ascii="Arial" w:cs="Arial" w:eastAsia="Arial" w:hAnsi="Arial"/>
                <w:sz w:val="12"/>
                <w:szCs w:val="12"/>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Joseph E. Payne</w:t>
            </w:r>
          </w:p>
        </w:tc>
      </w:tr>
      <w:tr>
        <w:trPr>
          <w:trHeight w:val="125"/>
        </w:trPr>
        <w:tc>
          <w:tcPr>
            <w:tcW w:w="500" w:type="dxa"/>
            <w:vAlign w:val="bottom"/>
          </w:tcPr>
          <w:p>
            <w:pPr>
              <w:spacing w:after="0" w:line="125" w:lineRule="exact"/>
              <w:rPr>
                <w:sz w:val="20"/>
                <w:szCs w:val="20"/>
                <w:color w:val="auto"/>
              </w:rPr>
            </w:pPr>
            <w:r>
              <w:rPr>
                <w:rFonts w:ascii="Arial" w:cs="Arial" w:eastAsia="Arial" w:hAnsi="Arial"/>
                <w:sz w:val="12"/>
                <w:szCs w:val="12"/>
                <w:color w:val="auto"/>
              </w:rPr>
              <w:t>Name:</w:t>
            </w:r>
          </w:p>
        </w:tc>
        <w:tc>
          <w:tcPr>
            <w:tcW w:w="4540" w:type="dxa"/>
            <w:vAlign w:val="bottom"/>
          </w:tcPr>
          <w:p>
            <w:pPr>
              <w:spacing w:after="0" w:line="125" w:lineRule="exact"/>
              <w:rPr>
                <w:sz w:val="20"/>
                <w:szCs w:val="20"/>
                <w:color w:val="auto"/>
              </w:rPr>
            </w:pPr>
            <w:r>
              <w:rPr>
                <w:rFonts w:ascii="Arial" w:cs="Arial" w:eastAsia="Arial" w:hAnsi="Arial"/>
                <w:sz w:val="12"/>
                <w:szCs w:val="12"/>
                <w:color w:val="auto"/>
              </w:rPr>
              <w:t>Joseph E. Payne</w:t>
            </w:r>
          </w:p>
        </w:tc>
      </w:tr>
      <w:tr>
        <w:trPr>
          <w:trHeight w:val="153"/>
        </w:trPr>
        <w:tc>
          <w:tcPr>
            <w:tcW w:w="500" w:type="dxa"/>
            <w:vAlign w:val="bottom"/>
          </w:tcPr>
          <w:p>
            <w:pPr>
              <w:spacing w:after="0"/>
              <w:rPr>
                <w:sz w:val="20"/>
                <w:szCs w:val="20"/>
                <w:color w:val="auto"/>
              </w:rPr>
            </w:pPr>
            <w:r>
              <w:rPr>
                <w:rFonts w:ascii="Arial" w:cs="Arial" w:eastAsia="Arial" w:hAnsi="Arial"/>
                <w:sz w:val="12"/>
                <w:szCs w:val="12"/>
                <w:color w:val="auto"/>
              </w:rPr>
              <w:t>Title:</w:t>
            </w:r>
          </w:p>
        </w:tc>
        <w:tc>
          <w:tcPr>
            <w:tcW w:w="4540" w:type="dxa"/>
            <w:vAlign w:val="bottom"/>
          </w:tcPr>
          <w:p>
            <w:pPr>
              <w:spacing w:after="0"/>
              <w:rPr>
                <w:sz w:val="20"/>
                <w:szCs w:val="20"/>
                <w:color w:val="auto"/>
              </w:rPr>
            </w:pPr>
            <w:r>
              <w:rPr>
                <w:rFonts w:ascii="Arial" w:cs="Arial" w:eastAsia="Arial" w:hAnsi="Arial"/>
                <w:sz w:val="12"/>
                <w:szCs w:val="12"/>
                <w:color w:val="auto"/>
              </w:rPr>
              <w:t>Chief Executive Officer</w:t>
            </w:r>
          </w:p>
        </w:tc>
      </w:tr>
    </w:tbl>
    <w:p>
      <w:pPr>
        <w:sectPr>
          <w:pgSz w:w="11900" w:h="16838" w:orient="portrait"/>
          <w:cols w:equalWidth="0" w:num="1">
            <w:col w:w="11480"/>
          </w:cols>
          <w:pgMar w:left="220" w:top="578" w:right="1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192405</wp:posOffset>
            </wp:positionV>
            <wp:extent cx="7332980" cy="43910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32980"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490220</wp:posOffset>
            </wp:positionV>
            <wp:extent cx="7332980" cy="4391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32980"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386715</wp:posOffset>
            </wp:positionV>
            <wp:extent cx="7332980" cy="4391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2980"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386715</wp:posOffset>
            </wp:positionV>
            <wp:extent cx="7332980" cy="4391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32980"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386715</wp:posOffset>
            </wp:positionV>
            <wp:extent cx="7332980" cy="4391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32980"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386715</wp:posOffset>
            </wp:positionV>
            <wp:extent cx="7332980" cy="4391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32980"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386715</wp:posOffset>
            </wp:positionV>
            <wp:extent cx="7332980" cy="4391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32980"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386715</wp:posOffset>
            </wp:positionV>
            <wp:extent cx="7332980" cy="4391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32980"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386715</wp:posOffset>
            </wp:positionV>
            <wp:extent cx="7332980" cy="4391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32980"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386715</wp:posOffset>
            </wp:positionV>
            <wp:extent cx="7332980" cy="43910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32980"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386715</wp:posOffset>
            </wp:positionV>
            <wp:extent cx="7332980" cy="4391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32980"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386715</wp:posOffset>
            </wp:positionV>
            <wp:extent cx="7332980" cy="4391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32980"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386715</wp:posOffset>
            </wp:positionV>
            <wp:extent cx="7332980" cy="4391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32980"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386715</wp:posOffset>
            </wp:positionV>
            <wp:extent cx="7332980" cy="4391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32980"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4766945</wp:posOffset>
            </wp:positionV>
            <wp:extent cx="72923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386715</wp:posOffset>
            </wp:positionV>
            <wp:extent cx="7332980" cy="4391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2980"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386715</wp:posOffset>
            </wp:positionV>
            <wp:extent cx="7332980" cy="4391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2980"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386715</wp:posOffset>
            </wp:positionV>
            <wp:extent cx="7332980" cy="4391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2980"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386715</wp:posOffset>
            </wp:positionV>
            <wp:extent cx="7332980" cy="43910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2980"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386715</wp:posOffset>
            </wp:positionV>
            <wp:extent cx="7332980" cy="4391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2980"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386715</wp:posOffset>
            </wp:positionV>
            <wp:extent cx="7332980" cy="4391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2980"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386715</wp:posOffset>
            </wp:positionV>
            <wp:extent cx="7332980" cy="43910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2980"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386715</wp:posOffset>
            </wp:positionV>
            <wp:extent cx="7332980" cy="4391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2980"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386715</wp:posOffset>
            </wp:positionV>
            <wp:extent cx="7332980" cy="4391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2980" cy="4391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386715</wp:posOffset>
            </wp:positionV>
            <wp:extent cx="7332980" cy="4127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332980" cy="41275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2020-01-10T15:33:05Z</dcterms:created>
  <dcterms:modified xsi:type="dcterms:W3CDTF">2020-01-10T15:33:05Z</dcterms:modified>
</cp:coreProperties>
</file>