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June 2013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35 Ehad Ha-Am Street</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Tel-Aviv, Israel 65202</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620"/>
        <w:spacing w:after="0" w:line="207" w:lineRule="exact"/>
        <w:tabs>
          <w:tab w:leader="none" w:pos="578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5140"/>
        <w:spacing w:after="0" w:line="207" w:lineRule="exact"/>
        <w:tabs>
          <w:tab w:leader="none" w:pos="5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Attached hereto and incorporated by reference herein is the registrant's press release issued on June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Dr. Yaron Daniely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ALCOBRA LTD. ANNOUNCES U.S. PATENT ISSUANCE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—U.S. Patent #8,476,304 Covering Modified Release Metadoxine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—Patent Effective Through July 3, 2032</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Tel Aviv, Israel (June 24, 2013) </w:t>
      </w:r>
      <w:r>
        <w:rPr>
          <w:rFonts w:ascii="Arial" w:cs="Arial" w:eastAsia="Arial" w:hAnsi="Arial"/>
          <w:sz w:val="18"/>
          <w:szCs w:val="18"/>
          <w:color w:val="auto"/>
        </w:rPr>
        <w:t>– Alcobra Ltd. (NASDAQCM: ADHD), an emerging biopharmaceutical company primarily focused on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commercialization of its proprietary drug, MG01CI, to treat Attention Deficit Hyperactivity Disorder (ADHD), today announced that the United States Patent and Trademark Office will issue the Company's U.S. Patent #8,476,304, which includes claims covering modified release Metadoxine, the Company's lead drug candidate, on July 2, 2013.</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drug product composition patent protects the unique dual-release design of MG01CI including both immediate and sustained release formulations for optimal and effective once-daily dosing and will remain in effect in the United States through July 3, 2032. Additional geographies are expected to approve similar claims based on approval in the U.S.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patent protects not only the formulation used in our lead product candidate for ADHD, but more broadly the unique pharmacokinetic profile achieved using the dual-release system in MG01CI. The issuance of this patent will give us strong protection in the U.S. for many years to come," said Dr. Yaron Daniely, Chief Executive Officer of Alcobra. "Further, the patent provides Alcobra with additional opportunities to capitalize on the unique qualities of MG01CI to effectively address additional cognitive disorders beyond ADHD.”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MG01CI is a proprietary, oral, dual-layer tablet formulation, combining rapid onset and extended release formulations of Metadoxine. This proprietary extended-release formulation prolongs the serum levels of Metadoxine for up to 12 hours, which may result in enhanced efficacy benefits. MG01CI, evaluated in a six-week randomized, double-blind, placebo-controlled, parallel-group, multi-center Phase IIb study of 120 adult subjects with ADHD, showed statistically significant and rapid improvement in ADHD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Alcobra Ltd. is an emerging biopharmaceutical company primarily focused on the development and commercialization of a proprietary drug, MG01CI, to treat ADHD. MG01CI has completed Phase II studies to treat ADHD. The company was founded in 2008 and is headquartered in Tel Aviv, Israel.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approval of claims that relate to the patent issued in the United States in other countries. The forward-looking statements contained or implied in this press release are subject to other risks and uncertainties, including those discussed under the heading “Risk Factors” in Alcobra Ltd.’s registration statement on Form F-1 filed with the Securities and Exchange Commission (“</w:t>
      </w:r>
      <w:r>
        <w:rPr>
          <w:rFonts w:ascii="Arial" w:cs="Arial" w:eastAsia="Arial" w:hAnsi="Arial"/>
          <w:sz w:val="18"/>
          <w:szCs w:val="18"/>
          <w:i w:val="1"/>
          <w:iCs w:val="1"/>
          <w:u w:val="single" w:color="auto"/>
          <w:color w:val="auto"/>
        </w:rPr>
        <w:t>SEC</w:t>
      </w:r>
      <w:r>
        <w:rPr>
          <w:rFonts w:ascii="Arial" w:cs="Arial" w:eastAsia="Arial" w:hAnsi="Arial"/>
          <w:sz w:val="18"/>
          <w:szCs w:val="18"/>
          <w:i w:val="1"/>
          <w:iCs w:val="1"/>
          <w:color w:val="auto"/>
        </w:rPr>
        <w:t>”)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76767"/>
        </w:rPr>
        <w:t>CONTACT: U.S. Investor Contacts: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676767"/>
        </w:rPr>
        <w:t>KCSA Strategic Communications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676767"/>
        </w:rPr>
        <w:t>Jeffrey Goldberger / Garth Russell</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676767"/>
        </w:rPr>
        <w:t>+1 212.896.1249 / +1 212.896.1250</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jgoldberger@kcsa.com</w:t>
      </w:r>
      <w:r>
        <w:rPr>
          <w:rFonts w:ascii="Arial" w:cs="Arial" w:eastAsia="Arial" w:hAnsi="Arial"/>
          <w:sz w:val="18"/>
          <w:szCs w:val="18"/>
          <w:color w:val="auto"/>
        </w:rPr>
        <w:t xml:space="preserve"> </w:t>
      </w:r>
      <w:r>
        <w:rPr>
          <w:rFonts w:ascii="Arial" w:cs="Arial" w:eastAsia="Arial" w:hAnsi="Arial"/>
          <w:sz w:val="18"/>
          <w:szCs w:val="18"/>
          <w:color w:val="676767"/>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grussell@kcsa.com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40"/>
        <w:spacing w:after="0"/>
        <w:rPr>
          <w:sz w:val="20"/>
          <w:szCs w:val="20"/>
          <w:color w:val="auto"/>
        </w:rPr>
      </w:pPr>
      <w:r>
        <w:rPr>
          <w:rFonts w:ascii="Arial" w:cs="Arial" w:eastAsia="Arial" w:hAnsi="Arial"/>
          <w:sz w:val="18"/>
          <w:szCs w:val="18"/>
          <w:color w:val="676767"/>
        </w:rPr>
        <w:t>Israel Investor Contact: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676767"/>
        </w:rPr>
        <w:t>Investor Relations Ltd.</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676767"/>
        </w:rPr>
        <w:t>Moran Meir-Beres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676767"/>
        </w:rPr>
        <w:t>+011972-3-5167620</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moran@km-ir.co.il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2019-12-08T04:57:52Z</dcterms:created>
  <dcterms:modified xsi:type="dcterms:W3CDTF">2019-12-08T04:57:52Z</dcterms:modified>
</cp:coreProperties>
</file>