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51"/>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251"/>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251"/>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3" w:lineRule="exact"/>
        <w:rPr>
          <w:sz w:val="24"/>
          <w:szCs w:val="24"/>
          <w:color w:val="auto"/>
        </w:rPr>
      </w:pPr>
    </w:p>
    <w:p>
      <w:pPr>
        <w:jc w:val="center"/>
        <w:ind w:right="-251"/>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jc w:val="center"/>
        <w:ind w:right="-251"/>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03" w:lineRule="exact"/>
        <w:rPr>
          <w:sz w:val="24"/>
          <w:szCs w:val="24"/>
          <w:color w:val="auto"/>
        </w:rPr>
      </w:pPr>
    </w:p>
    <w:p>
      <w:pPr>
        <w:ind w:left="3052"/>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3092"/>
        <w:spacing w:after="0"/>
        <w:rPr>
          <w:sz w:val="20"/>
          <w:szCs w:val="20"/>
          <w:color w:val="auto"/>
        </w:rPr>
      </w:pPr>
      <w:r>
        <w:rPr>
          <w:rFonts w:ascii="Times New Roman" w:cs="Times New Roman" w:eastAsia="Times New Roman" w:hAnsi="Times New Roman"/>
          <w:sz w:val="18"/>
          <w:szCs w:val="18"/>
          <w:b w:val="1"/>
          <w:bCs w:val="1"/>
          <w:color w:val="auto"/>
        </w:rPr>
        <w:t>SECURITIES EXCHANGE ACT OF 1934 (AMENDMENT NO.)</w:t>
      </w:r>
    </w:p>
    <w:p>
      <w:pPr>
        <w:spacing w:after="0" w:line="166" w:lineRule="exact"/>
        <w:rPr>
          <w:sz w:val="24"/>
          <w:szCs w:val="24"/>
          <w:color w:val="auto"/>
        </w:rPr>
      </w:pPr>
    </w:p>
    <w:p>
      <w:pPr>
        <w:ind w:left="12"/>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12"/>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52" w:hanging="331"/>
        <w:spacing w:after="0"/>
        <w:tabs>
          <w:tab w:leader="none" w:pos="4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452" w:hanging="331"/>
        <w:spacing w:after="0"/>
        <w:tabs>
          <w:tab w:leader="none" w:pos="4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sz w:val="24"/>
          <w:szCs w:val="24"/>
          <w:color w:val="auto"/>
        </w:rPr>
      </w:pPr>
    </w:p>
    <w:p>
      <w:pPr>
        <w:ind w:left="452" w:hanging="331"/>
        <w:spacing w:after="0"/>
        <w:tabs>
          <w:tab w:leader="none" w:pos="45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452" w:hanging="331"/>
        <w:spacing w:after="0"/>
        <w:tabs>
          <w:tab w:leader="none" w:pos="4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452" w:hanging="331"/>
        <w:spacing w:after="0"/>
        <w:tabs>
          <w:tab w:leader="none" w:pos="4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251"/>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ind w:right="-251"/>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2972"/>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ind w:left="12"/>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32" w:hanging="211"/>
        <w:spacing w:after="0"/>
        <w:tabs>
          <w:tab w:leader="none" w:pos="332"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32" w:hanging="211"/>
        <w:spacing w:after="0"/>
        <w:tabs>
          <w:tab w:leader="none" w:pos="332" w:val="left"/>
        </w:tabs>
        <w:numPr>
          <w:ilvl w:val="1"/>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252" w:hanging="252"/>
        <w:spacing w:after="0"/>
        <w:tabs>
          <w:tab w:leader="none" w:pos="2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38"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38" w:lineRule="exact"/>
        <w:rPr>
          <w:rFonts w:ascii="Times New Roman" w:cs="Times New Roman" w:eastAsia="Times New Roman" w:hAnsi="Times New Roman"/>
          <w:sz w:val="18"/>
          <w:szCs w:val="18"/>
          <w:color w:val="auto"/>
        </w:rPr>
      </w:pPr>
    </w:p>
    <w:p>
      <w:pPr>
        <w:ind w:left="252" w:right="3440" w:hanging="252"/>
        <w:spacing w:after="0" w:line="282" w:lineRule="auto"/>
        <w:tabs>
          <w:tab w:leader="none" w:pos="2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38"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-410845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-830580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-1113790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492" w:hanging="492"/>
        <w:spacing w:after="0"/>
        <w:tabs>
          <w:tab w:leader="none" w:pos="492"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52" w:hanging="452"/>
        <w:spacing w:after="0" w:line="282" w:lineRule="auto"/>
        <w:tabs>
          <w:tab w:leader="none" w:pos="452"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sz w:val="24"/>
          <w:szCs w:val="24"/>
          <w:color w:val="auto"/>
        </w:rPr>
      </w:pPr>
    </w:p>
    <w:p>
      <w:pPr>
        <w:ind w:left="492" w:hanging="492"/>
        <w:spacing w:after="0"/>
        <w:tabs>
          <w:tab w:leader="none" w:pos="4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38"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38"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-127635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-410845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-693420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523240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72"/>
          </w:cols>
          <w:pgMar w:left="328" w:top="468" w:right="5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2513965</wp:posOffset>
            </wp:positionH>
            <wp:positionV relativeFrom="page">
              <wp:posOffset>517525</wp:posOffset>
            </wp:positionV>
            <wp:extent cx="2554605" cy="857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55460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10285 Science Center Drive</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invite you to attend the 2026 annual meeting of stockholders (the “Annual Meeting”) of Arcturus Therapeutics Holdings Inc. (the “Company” or “Arcturus”), to be held on June 5, 2026 at 9:00 a.m. Pacific Time, at https://www.cstproxy.com/arcturusrx/2026. The Annual Meeting will be a completely virtual meeting of stockholders, which will be conducted exclusively on the internet. No physical meeting will be held.</w:t>
      </w:r>
    </w:p>
    <w:p>
      <w:pPr>
        <w:spacing w:after="0" w:line="176"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Details regarding how to attend the entirely virtual Annual Meeting and the business to be conducted at the Annual Meeting are more fully described in the accompanying notice of annual meeting of stockholders and proxy statement.</w:t>
      </w:r>
    </w:p>
    <w:p>
      <w:pPr>
        <w:spacing w:after="0" w:line="162"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Your vote is important. Regardless of whether you plan to attend the virtual Annual Meeting, it is important that your shares be represented and voted at the Annual Meeting, and we hope you will vote as soon as possible. You may vote by proxy over the Internet or by mail by following the instructions on the proxy card or voting instruction card. Voting over the Internet, written proxy or voting instruction card will ensure your representation at the Annual Meeting regardless of whether you attend the Annual Meeting.</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Thank you for your ongoing support of, and continued interest in, Arcturus.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Sincerely,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Dr. Moncef Slaoui</w:t>
      </w:r>
    </w:p>
    <w:p>
      <w:pPr>
        <w:spacing w:after="0" w:line="27"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Joseph E. Payne</w:t>
      </w:r>
    </w:p>
    <w:p>
      <w:pPr>
        <w:spacing w:after="0" w:line="27"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1" w:lineRule="exact"/>
        <w:rPr>
          <w:sz w:val="20"/>
          <w:szCs w:val="20"/>
          <w:color w:val="auto"/>
        </w:rPr>
      </w:pPr>
    </w:p>
    <w:p>
      <w:pPr>
        <w:sectPr>
          <w:pgSz w:w="11900" w:h="16838" w:orient="portrait"/>
          <w:cols w:equalWidth="0" w:num="2">
            <w:col w:w="6340" w:space="720"/>
            <w:col w:w="4180"/>
          </w:cols>
          <w:pgMar w:left="320" w:top="1440"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2479675</wp:posOffset>
            </wp:positionH>
            <wp:positionV relativeFrom="page">
              <wp:posOffset>517525</wp:posOffset>
            </wp:positionV>
            <wp:extent cx="2554605" cy="857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55460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22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10285 Science Center Drive</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0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Time and</w:t>
      </w:r>
      <w:r>
        <w:rPr>
          <w:sz w:val="20"/>
          <w:szCs w:val="20"/>
          <w:color w:val="auto"/>
        </w:rPr>
        <w:tab/>
      </w:r>
      <w:r>
        <w:rPr>
          <w:rFonts w:ascii="Times New Roman" w:cs="Times New Roman" w:eastAsia="Times New Roman" w:hAnsi="Times New Roman"/>
          <w:sz w:val="17"/>
          <w:szCs w:val="17"/>
          <w:color w:val="auto"/>
        </w:rPr>
        <w:t>9:00 a.m. Pacific Time, on June 5,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Place</w:t>
      </w:r>
      <w:r>
        <w:rPr>
          <w:sz w:val="20"/>
          <w:szCs w:val="20"/>
          <w:color w:val="auto"/>
        </w:rPr>
        <w:tab/>
      </w:r>
      <w:r>
        <w:rPr>
          <w:rFonts w:ascii="Times New Roman" w:cs="Times New Roman" w:eastAsia="Times New Roman" w:hAnsi="Times New Roman"/>
          <w:sz w:val="18"/>
          <w:szCs w:val="18"/>
          <w:color w:val="auto"/>
        </w:rPr>
        <w:t>Virtually via the Internet at https://www.cstproxy.com/arcturusrx/2026. No physical meeting will be held.</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Items of</w:t>
      </w:r>
      <w:r>
        <w:rPr>
          <w:sz w:val="20"/>
          <w:szCs w:val="20"/>
          <w:color w:val="auto"/>
        </w:rPr>
        <w:tab/>
      </w:r>
      <w:r>
        <w:rPr>
          <w:rFonts w:ascii="Times New Roman" w:cs="Times New Roman" w:eastAsia="Times New Roman" w:hAnsi="Times New Roman"/>
          <w:sz w:val="17"/>
          <w:szCs w:val="17"/>
          <w:color w:val="auto"/>
        </w:rPr>
        <w:t>(1) To elect Dr. Peter Farrell, Joseph E. Payne, James Barlow, Dr. Edward W. Holmes, Dr. Magda Marquet, Dr. Jing L. Marantz, Dr. John H.</w:t>
      </w:r>
    </w:p>
    <w:p>
      <w:pPr>
        <w:spacing w:after="0" w:line="3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Business</w:t>
      </w:r>
      <w:r>
        <w:rPr>
          <w:sz w:val="20"/>
          <w:szCs w:val="20"/>
          <w:color w:val="auto"/>
        </w:rPr>
        <w:tab/>
      </w:r>
      <w:r>
        <w:rPr>
          <w:rFonts w:ascii="Times New Roman" w:cs="Times New Roman" w:eastAsia="Times New Roman" w:hAnsi="Times New Roman"/>
          <w:sz w:val="18"/>
          <w:szCs w:val="18"/>
          <w:color w:val="auto"/>
        </w:rPr>
        <w:t>Markels, and Dr. Moncef Slaoui to the Board of Directors (the “Board”), to serve until our next annual meeting of stockholders.</w:t>
      </w:r>
    </w:p>
    <w:p>
      <w:pPr>
        <w:spacing w:after="0" w:line="207" w:lineRule="exact"/>
        <w:rPr>
          <w:sz w:val="20"/>
          <w:szCs w:val="20"/>
          <w:color w:val="auto"/>
        </w:rPr>
      </w:pPr>
    </w:p>
    <w:p>
      <w:pPr>
        <w:ind w:left="1380" w:hanging="252"/>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resolution approving named executive officer compensation.</w:t>
      </w:r>
    </w:p>
    <w:p>
      <w:pPr>
        <w:spacing w:after="0" w:line="225" w:lineRule="exact"/>
        <w:rPr>
          <w:rFonts w:ascii="Times New Roman" w:cs="Times New Roman" w:eastAsia="Times New Roman" w:hAnsi="Times New Roman"/>
          <w:sz w:val="18"/>
          <w:szCs w:val="18"/>
          <w:color w:val="auto"/>
        </w:rPr>
      </w:pPr>
    </w:p>
    <w:p>
      <w:pPr>
        <w:ind w:left="1120" w:right="320" w:firstLine="8"/>
        <w:spacing w:after="0" w:line="282" w:lineRule="auto"/>
        <w:tabs>
          <w:tab w:leader="none" w:pos="13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(“Deloitte”), as our independent registered public accounting firm for the fiscal year ending December 31, 2026.</w:t>
      </w:r>
    </w:p>
    <w:p>
      <w:pPr>
        <w:spacing w:after="0" w:line="161" w:lineRule="exact"/>
        <w:rPr>
          <w:rFonts w:ascii="Times New Roman" w:cs="Times New Roman" w:eastAsia="Times New Roman" w:hAnsi="Times New Roman"/>
          <w:sz w:val="18"/>
          <w:szCs w:val="18"/>
          <w:color w:val="auto"/>
        </w:rPr>
      </w:pPr>
    </w:p>
    <w:p>
      <w:pPr>
        <w:ind w:left="1380" w:hanging="252"/>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other business that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 xml:space="preserve">Adjournments </w:t>
      </w:r>
      <w:r>
        <w:rPr>
          <w:rFonts w:ascii="Times New Roman" w:cs="Times New Roman" w:eastAsia="Times New Roman" w:hAnsi="Times New Roman"/>
          <w:sz w:val="18"/>
          <w:szCs w:val="18"/>
          <w:color w:val="auto"/>
        </w:rPr>
        <w:t>Any action on the items of business described above may be considered at the annual meeting at the time and on the date specified above</w:t>
      </w:r>
    </w:p>
    <w:p>
      <w:pPr>
        <w:spacing w:after="0" w:line="3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and</w:t>
      </w:r>
      <w:r>
        <w:rPr>
          <w:sz w:val="20"/>
          <w:szCs w:val="20"/>
          <w:color w:val="auto"/>
        </w:rPr>
        <w:tab/>
      </w:r>
      <w:r>
        <w:rPr>
          <w:rFonts w:ascii="Times New Roman" w:cs="Times New Roman" w:eastAsia="Times New Roman" w:hAnsi="Times New Roman"/>
          <w:sz w:val="18"/>
          <w:szCs w:val="18"/>
          <w:color w:val="auto"/>
        </w:rPr>
        <w:t>or at any time and date to which the annual meeting may be properly adjourned or postponed.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Postponements</w:t>
      </w:r>
    </w:p>
    <w:p>
      <w:pPr>
        <w:sectPr>
          <w:pgSz w:w="11900" w:h="16838" w:orient="portrait"/>
          <w:cols w:equalWidth="0" w:num="1">
            <w:col w:w="11240"/>
          </w:cols>
          <w:pgMar w:left="320" w:top="792"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April 14, 2026. Only stockholders of record of our common stock as of April 14, 2026 are entitled to notice of and to vote at the annual meeting.</w:t>
      </w:r>
    </w:p>
    <w:p>
      <w:pPr>
        <w:spacing w:after="0" w:line="158" w:lineRule="exact"/>
        <w:rPr>
          <w:sz w:val="20"/>
          <w:szCs w:val="20"/>
          <w:color w:val="auto"/>
        </w:rPr>
      </w:pPr>
    </w:p>
    <w:p>
      <w:pPr>
        <w:sectPr>
          <w:pgSz w:w="11900" w:h="16838" w:orient="portrait"/>
          <w:cols w:equalWidth="0" w:num="2">
            <w:col w:w="980" w:space="240"/>
            <w:col w:w="10020"/>
          </w:cols>
          <w:pgMar w:left="320" w:top="792" w:right="339" w:bottom="1440" w:gutter="0" w:footer="0" w:header="0"/>
          <w:type w:val="continuous"/>
        </w:sect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Meeting Admission</w:t>
      </w:r>
    </w:p>
    <w:p>
      <w:pPr>
        <w:spacing w:after="0" w:line="20" w:lineRule="exact"/>
        <w:rPr>
          <w:sz w:val="20"/>
          <w:szCs w:val="20"/>
          <w:color w:val="auto"/>
        </w:rPr>
      </w:pPr>
      <w:r>
        <w:rPr>
          <w:sz w:val="20"/>
          <w:szCs w:val="20"/>
          <w:color w:val="auto"/>
        </w:rPr>
        <w:br w:type="column"/>
      </w:r>
    </w:p>
    <w:p>
      <w:pPr>
        <w:ind w:right="20"/>
        <w:spacing w:after="0" w:line="261" w:lineRule="auto"/>
        <w:rPr>
          <w:sz w:val="20"/>
          <w:szCs w:val="20"/>
          <w:color w:val="auto"/>
        </w:rPr>
      </w:pPr>
      <w:r>
        <w:rPr>
          <w:rFonts w:ascii="Times New Roman" w:cs="Times New Roman" w:eastAsia="Times New Roman" w:hAnsi="Times New Roman"/>
          <w:sz w:val="18"/>
          <w:szCs w:val="18"/>
          <w:color w:val="auto"/>
        </w:rPr>
        <w:t>You are invited to virtually attend the annual meeting if you are a stockholder of record or a beneficial owner of shares of our common stock, in each case, as of April 14, 2026. You may attend the Annual Meeting and vote during the Annual Meeting by visiting https://www.cstproxy.com/arcturusrx/2026 and using your control number to enter the virtual Annual Meeting. If you are not a stockholder of record but hold shares as a beneficial owner in street name, you may be required to provide proof of beneficial ownership.</w:t>
      </w:r>
    </w:p>
    <w:p>
      <w:pPr>
        <w:spacing w:after="0" w:line="176" w:lineRule="exact"/>
        <w:rPr>
          <w:sz w:val="20"/>
          <w:szCs w:val="20"/>
          <w:color w:val="auto"/>
        </w:rPr>
      </w:pPr>
    </w:p>
    <w:p>
      <w:pPr>
        <w:sectPr>
          <w:pgSz w:w="11900" w:h="16838" w:orient="portrait"/>
          <w:cols w:equalWidth="0" w:num="2">
            <w:col w:w="820" w:space="400"/>
            <w:col w:w="10020"/>
          </w:cols>
          <w:pgMar w:left="320" w:top="79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Your vote is very important.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instruction card.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You may vote by proxy over the Internet or by mail by following the instructions on the proxy card or</w:t>
      </w:r>
    </w:p>
    <w:p>
      <w:pPr>
        <w:spacing w:after="0" w:line="434" w:lineRule="exact"/>
        <w:rPr>
          <w:sz w:val="20"/>
          <w:szCs w:val="20"/>
          <w:color w:val="auto"/>
        </w:rPr>
      </w:pPr>
    </w:p>
    <w:p>
      <w:pPr>
        <w:sectPr>
          <w:pgSz w:w="11900" w:h="16838" w:orient="portrait"/>
          <w:cols w:equalWidth="0" w:num="3">
            <w:col w:w="520" w:space="700"/>
            <w:col w:w="2240" w:space="60"/>
            <w:col w:w="7720"/>
          </w:cols>
          <w:pgMar w:left="320" w:top="792" w:right="339" w:bottom="1440" w:gutter="0" w:footer="0" w:header="0"/>
          <w:type w:val="continuous"/>
        </w:sectPr>
      </w:pPr>
    </w:p>
    <w:p>
      <w:pPr>
        <w:spacing w:after="0" w:line="5" w:lineRule="exact"/>
        <w:rPr>
          <w:sz w:val="20"/>
          <w:szCs w:val="20"/>
          <w:color w:val="auto"/>
        </w:rPr>
      </w:pPr>
    </w:p>
    <w:p>
      <w:pPr>
        <w:ind w:left="1220"/>
        <w:spacing w:after="0" w:line="284" w:lineRule="auto"/>
        <w:rPr>
          <w:sz w:val="20"/>
          <w:szCs w:val="20"/>
          <w:color w:val="auto"/>
        </w:rPr>
      </w:pPr>
      <w:r>
        <w:rPr>
          <w:rFonts w:ascii="Times New Roman" w:cs="Times New Roman" w:eastAsia="Times New Roman" w:hAnsi="Times New Roman"/>
          <w:sz w:val="18"/>
          <w:szCs w:val="18"/>
          <w:color w:val="auto"/>
        </w:rPr>
        <w:t>For specific instructions on how to vote your shares, please refer to the section entitled “</w:t>
      </w:r>
      <w:r>
        <w:rPr>
          <w:rFonts w:ascii="Times New Roman" w:cs="Times New Roman" w:eastAsia="Times New Roman" w:hAnsi="Times New Roman"/>
          <w:sz w:val="18"/>
          <w:szCs w:val="18"/>
          <w:i w:val="1"/>
          <w:iCs w:val="1"/>
          <w:color w:val="auto"/>
        </w:rPr>
        <w:t>Questions and Answers About the Proxy Materials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Annual Meeting</w:t>
      </w:r>
      <w:r>
        <w:rPr>
          <w:rFonts w:ascii="Times New Roman" w:cs="Times New Roman" w:eastAsia="Times New Roman" w:hAnsi="Times New Roman"/>
          <w:sz w:val="18"/>
          <w:szCs w:val="18"/>
          <w:color w:val="auto"/>
        </w:rPr>
        <w:t>” in the accompanying proxy statement.</w:t>
      </w:r>
    </w:p>
    <w:p>
      <w:pPr>
        <w:sectPr>
          <w:pgSz w:w="11900" w:h="16838" w:orient="portrait"/>
          <w:cols w:equalWidth="0" w:num="1">
            <w:col w:w="11240"/>
          </w:cols>
          <w:pgMar w:left="320" w:top="792" w:right="339" w:bottom="1440" w:gutter="0" w:footer="0" w:header="0"/>
          <w:type w:val="continuous"/>
        </w:sectPr>
      </w:pP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Dr. Moncef Slaoui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078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780" w:type="dxa"/>
            <w:vAlign w:val="bottom"/>
          </w:tcPr>
          <w:p>
            <w:pPr>
              <w:spacing w:after="0"/>
              <w:rPr>
                <w:sz w:val="24"/>
                <w:szCs w:val="24"/>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7"/>
        </w:trPr>
        <w:tc>
          <w:tcPr>
            <w:tcW w:w="107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QUESTIONS AND ANSWERS ABOUT THE PROXY MATERIALS AND ANNUAL MEETING</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AND CORPORATE GOVERNANCE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NUMBER 1. ELECTION OF DIRECTORS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PROPOSAL NUMBER 2. TO APPROVE BY NON-BINDING ADVISORY VOTE, THE RESOLUTION APPROVING THE COMPANY’S</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NAMED EXECUTIVE OFFICER COMPENSATION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NUMBER 3. RATIFICATION OF APPOINTMENT OF INDEPENDENT REGISTERED PUBLIC ACCOUNTING FIRM</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REPORT OF THE AUDIT COMMITTEE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SECURITY OWNERSHIP</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MATTERS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PROPOSALS OF STOCKHOLDERS FOR 2027 ANNUAL MEETING</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10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5" w:name="page6"/>
    <w:bookmarkEnd w:id="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ARCTURUS THERAPEUTICS HOLDINGS INC. PROXY STATEMENT FOR THE 2026 ANNUAL MEETING OF STOCKHOLDERS TO BE HELD ON JUNE 5, 2026</w:t>
      </w:r>
    </w:p>
    <w:p>
      <w:pPr>
        <w:spacing w:after="0" w:line="175"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The information provided in the “Questions and Answers” format below is for your convenience only and is merely a summary of the information contained in this proxy statement. You should read the entire proxy statement carefully. In this proxy statement, we refer to Arcturus Therapeutics Holdings Inc., a Delaware corporation, as Arcturus, the Company, we, us, our and other similar pronouns.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THE PROXY MATERIALS AND ANNUAL MEETING</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proxy statement and the enclosed form of proxy are furnished in connection with the solicitation of proxies by our Board for use at the 2026 annual meeting of stockholders of Arcturus Therapeutics Holdings Inc., a Delaware corporation, and any postponements or adjournments thereof.</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 meeting will be held on June 5, 2026 at 9:00 a.m. Pacific Time, at https://www.cstproxy.com/arcturusrx/2026. The Annual Meeting will be a completely virtual meeting of stockholders.</w:t>
      </w:r>
    </w:p>
    <w:p>
      <w:pPr>
        <w:spacing w:after="0" w:line="162"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Stockholders are invited to attend the virtual annual meeting and are requested to vote on the items of business described in this proxy statement. The proxy statement is being mailed on or about April 24, 2026 to all stockholders entitled to vote at the annual meeting.</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Who may vote at the annual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Only stockholders of record as of the close of business on April 14, 2026, the record date, are entitled to vote at the annual meeting. As of the record date, there were 28,423,069 shares of our common stock issued and outstanding, held by eight holders of record. We do not have cumulative voting rights for the election of directors.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at the close of business on the record date for the annual meeting, your shares were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in your name with our transfer agent, Continental Stock Transfer &amp; Trust Company (“Continental”), then you are a stockholder of record. As a stockholder of record, you have the right to grant your voting proxy directly to the individuals listed on the proxy card or to vote online, by mail, or in person at the annual meeting.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Nominee</w:t>
      </w:r>
      <w:r>
        <w:rPr>
          <w:rFonts w:ascii="Times New Roman" w:cs="Times New Roman" w:eastAsia="Times New Roman" w:hAnsi="Times New Roman"/>
          <w:sz w:val="18"/>
          <w:szCs w:val="18"/>
          <w:color w:val="auto"/>
        </w:rPr>
        <w:t>. If, at the close of business on the record date for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your shares were held, not in your name, but rather in an account at a brokerage firm, bank, or other nominee,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your broker, bank or other nominee regarding how to vote the shares in your account by following the voting instructions your broker, bank or other nominee provides. You are also invited to attend the annual meeting. However, since you are not the stockholder of record, you may not vote your shares in person at the annual meeting unless you obtain a valid proxy from your broker, bank or other nominee.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gain admission to the virtual annual meeting or vote my shares at the virtual annual meeting?</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You are entitled to attend the virtual Annual Meeting only if you were a stockholder of record as of the record date for the Annual Meeting, which was April 14, 2026, or you hold a valid proxy for the Annual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Stockholders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your shares are registered in your name with Arcturus’ transfer agent and you wish to attend the online-only virtual meeting, go to https://www.cstproxy.com/arcturusrx/2026, enter the control number you received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Nominee</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Beneficial stockholders who wish to attend the online-only virtual meeting must obtain a legal proxy by contacting their account representative at the bank, broker, or other nominee that holds their shares and e-mail a copy (a legible photograph is sufficient) of their legal proxy to our transfer agent, Continental Stock Transfer (“Continental”), proxy@continentalstock.com. Beneficial stockholders who e-mail a valid legal proxy will be issued a meeting control number that will allow them to register to attend and participate in the online-only meeting. After contacting Continental, a beneficial holder will receive an e-mail prior to the meeting with a link and instructions for entering the virtual meeting. Beneficial stockholders should contact Continental at least five business days prior to the meeting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ask questions at the virtual Annual Meeting?</w:t>
      </w:r>
    </w:p>
    <w:p>
      <w:pPr>
        <w:spacing w:after="0" w:line="229" w:lineRule="exact"/>
        <w:rPr>
          <w:sz w:val="20"/>
          <w:szCs w:val="20"/>
          <w:color w:val="auto"/>
        </w:rPr>
      </w:pPr>
    </w:p>
    <w:p>
      <w:pPr>
        <w:ind w:left="20" w:right="80"/>
        <w:spacing w:after="0" w:line="266" w:lineRule="auto"/>
        <w:rPr>
          <w:sz w:val="20"/>
          <w:szCs w:val="20"/>
          <w:color w:val="auto"/>
        </w:rPr>
      </w:pPr>
      <w:r>
        <w:rPr>
          <w:rFonts w:ascii="Times New Roman" w:cs="Times New Roman" w:eastAsia="Times New Roman" w:hAnsi="Times New Roman"/>
          <w:sz w:val="18"/>
          <w:szCs w:val="18"/>
          <w:color w:val="auto"/>
        </w:rPr>
        <w:t>Stockholders have multiple opportunities to submit questions to the Company for the virtual Annual Meeting. Stockholders who wish to submit a question in advance may do so at https://www.cstproxy.com/arcturusrx/2026. Stockholders may also submit questions online during the meeting at https://www.cstproxy.com/arcturusrx/2026. Given time constraints, some questions may not be addressed during the virtual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my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may vote in one of the following ways:</w:t>
      </w:r>
    </w:p>
    <w:p>
      <w:pPr>
        <w:spacing w:after="0" w:line="225" w:lineRule="exact"/>
        <w:rPr>
          <w:sz w:val="20"/>
          <w:szCs w:val="20"/>
          <w:color w:val="auto"/>
        </w:rPr>
      </w:pPr>
    </w:p>
    <w:p>
      <w:pPr>
        <w:ind w:left="560" w:right="100" w:hanging="552"/>
        <w:spacing w:after="0" w:line="282" w:lineRule="auto"/>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by mail. Complete, sign and date the proxy card that accompanies this proxy statement and return it promptly in the postage-prepaid envelope provided. Your completed, signed and dated proxy card must be received prior to the annual meeting.</w:t>
      </w:r>
    </w:p>
    <w:p>
      <w:pPr>
        <w:spacing w:after="0" w:line="161" w:lineRule="exact"/>
        <w:rPr>
          <w:rFonts w:ascii="Times New Roman" w:cs="Times New Roman" w:eastAsia="Times New Roman" w:hAnsi="Times New Roman"/>
          <w:sz w:val="18"/>
          <w:szCs w:val="18"/>
          <w:color w:val="auto"/>
        </w:rPr>
      </w:pPr>
    </w:p>
    <w:p>
      <w:pPr>
        <w:ind w:left="560" w:right="60" w:hanging="552"/>
        <w:spacing w:after="0" w:line="266" w:lineRule="auto"/>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via the Internet. To vote via the Internet, go to www.cstproxyvote.com to complete an electronic proxy card (have your proxy card in hand when you visit the website). You will be asked to provide the company number and control number from your proxy card. Internet voting is available 24 hours a day, 7 days a week, until 11:59 p.m., Eastern time, on June 4, 2026.</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being asked to vote on three proposals:</w:t>
      </w:r>
    </w:p>
    <w:p>
      <w:pPr>
        <w:spacing w:after="0" w:line="225" w:lineRule="exact"/>
        <w:rPr>
          <w:sz w:val="20"/>
          <w:szCs w:val="20"/>
          <w:color w:val="auto"/>
        </w:rPr>
      </w:pPr>
    </w:p>
    <w:p>
      <w:pPr>
        <w:ind w:left="560" w:hanging="552"/>
        <w:spacing w:after="0" w:line="282" w:lineRule="auto"/>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Dr. Peter Farrell, Joseph E. Payne, James Barlow, Dr. Edward W. Holmes, Dr. Magda Marquet, Dr. Jing L. Marantz, Dr. John H. Markels, and Dr. Moncef Slaoui to the Board, to serve until our next annual meeting of stockholders;</w:t>
      </w:r>
    </w:p>
    <w:p>
      <w:pPr>
        <w:spacing w:after="0" w:line="161"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non-binding advisory vote, of the resolution approving named executive officer compensation (the “Say on Pay Proposal”); and</w:t>
      </w:r>
    </w:p>
    <w:p>
      <w:pPr>
        <w:spacing w:after="0" w:line="225"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Deloitte &amp; Touche LLP (“Deloitte”) as our independent registered public accounting firm for our fiscal year ending December 31, 2026.</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What if other matters are properly brought before the annual meeting?</w:t>
      </w:r>
    </w:p>
    <w:p>
      <w:pPr>
        <w:spacing w:after="0" w:line="229"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auto"/>
        </w:rPr>
        <w:t>As of the date of this proxy statement, we are not aware of any other matters that will be presented for consideration at the annual meeting. If any other matters are properly brought before the annual meeting, the persons named as proxies will be authorized to vote or otherwise act on those matters in accordance with their judgment. If for any reason any of Dr. Peter Farrell, Joseph E. Payne, James Barlow, Dr. Edward W. Holmes, Dr. Magda Marquet, Dr. Jing L. Marantz, Dr. John H. Markels, or Dr. Moncef Slaoui is not available as a candidate for director, the persons named as proxy holders will vote your proxy for such other candidate as may be nominated by our Board.</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Board recommends that you vote your shares:</w:t>
      </w:r>
    </w:p>
    <w:p>
      <w:pPr>
        <w:spacing w:after="0" w:line="221" w:lineRule="exact"/>
        <w:rPr>
          <w:sz w:val="20"/>
          <w:szCs w:val="20"/>
          <w:color w:val="auto"/>
        </w:rPr>
      </w:pPr>
    </w:p>
    <w:p>
      <w:pPr>
        <w:ind w:left="560" w:hanging="552"/>
        <w:spacing w:after="0" w:line="286" w:lineRule="auto"/>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Dr. Peter Farrell, Joseph E. Payne, James Barlow, Dr. Edward W. Holmes, Dr. Magda Marquet, Dr. Jing L. Marantz, Dr. John H. Markels, and Dr. Moncef Slaoui to the Board;</w:t>
      </w:r>
    </w:p>
    <w:p>
      <w:pPr>
        <w:spacing w:after="0" w:line="154"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Say on Pay Proposal; and</w:t>
      </w:r>
    </w:p>
    <w:p>
      <w:pPr>
        <w:spacing w:after="0" w:line="225" w:lineRule="exact"/>
        <w:rPr>
          <w:rFonts w:ascii="Times New Roman" w:cs="Times New Roman" w:eastAsia="Times New Roman" w:hAnsi="Times New Roman"/>
          <w:sz w:val="18"/>
          <w:szCs w:val="18"/>
          <w:color w:val="auto"/>
        </w:rPr>
      </w:pPr>
    </w:p>
    <w:p>
      <w:pPr>
        <w:ind w:left="560" w:hanging="552"/>
        <w:spacing w:after="0" w:line="286" w:lineRule="auto"/>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Deloitte as our independent registered public accounting firm for our fiscal year ending December 31, 2026.</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If you are a stockholder of record, you can change your vote or revoke your proxy at any time before the annual meeting by:</w:t>
      </w:r>
    </w:p>
    <w:p>
      <w:pPr>
        <w:spacing w:after="0" w:line="225" w:lineRule="exact"/>
        <w:rPr>
          <w:sz w:val="20"/>
          <w:szCs w:val="20"/>
          <w:color w:val="auto"/>
        </w:rPr>
      </w:pPr>
    </w:p>
    <w:p>
      <w:pPr>
        <w:ind w:left="560" w:hanging="552"/>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over the Internet (until the applicable deadline set forth above);</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a later-dated proxy card (which automatically revokes the earlier proxy);</w:t>
      </w:r>
    </w:p>
    <w:p>
      <w:pPr>
        <w:spacing w:after="0" w:line="225" w:lineRule="exact"/>
        <w:rPr>
          <w:rFonts w:ascii="Times New Roman" w:cs="Times New Roman" w:eastAsia="Times New Roman" w:hAnsi="Times New Roman"/>
          <w:sz w:val="18"/>
          <w:szCs w:val="18"/>
          <w:color w:val="auto"/>
        </w:rPr>
      </w:pPr>
    </w:p>
    <w:p>
      <w:pPr>
        <w:ind w:left="560" w:right="20" w:hanging="552"/>
        <w:spacing w:after="0" w:line="282" w:lineRule="auto"/>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written notice of revocation to our corporate secretary at Arcturus Therapeutics Holdings Inc., 10285 Science Center Drive, San Diego, California 92121, Attn: Corporate Secretary; or</w:t>
      </w:r>
    </w:p>
    <w:p>
      <w:pPr>
        <w:spacing w:after="0" w:line="16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virtually.</w:t>
      </w:r>
    </w:p>
    <w:p>
      <w:pPr>
        <w:spacing w:after="0" w:line="223" w:lineRule="exact"/>
        <w:rPr>
          <w:sz w:val="20"/>
          <w:szCs w:val="20"/>
          <w:color w:val="auto"/>
        </w:rPr>
      </w:pPr>
    </w:p>
    <w:p>
      <w:pPr>
        <w:jc w:val="both"/>
        <w:ind w:left="20" w:right="20"/>
        <w:spacing w:after="0" w:line="284" w:lineRule="auto"/>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Nominee</w:t>
      </w:r>
      <w:r>
        <w:rPr>
          <w:rFonts w:ascii="Times New Roman" w:cs="Times New Roman" w:eastAsia="Times New Roman" w:hAnsi="Times New Roman"/>
          <w:sz w:val="18"/>
          <w:szCs w:val="18"/>
          <w:color w:val="auto"/>
        </w:rPr>
        <w:t>. If you are the beneficial owner of your shares, you must contact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 bank or other nominee holding your shares and follow their instructions to change your vote or revoke your proxy.</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229"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auto"/>
        </w:rPr>
        <w:t>Proxies are solicited by, and on behalf of, our Board. Joseph E. Payne, our President and Chief Executive Officer, and Lance Kurata, our Chief Legal Officer, have been designated as proxies for the annual meeting by our Board.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as described above and, if any other matters are properly brought before the annual meeting, the shares will be voted in accordance with the proxies’ judgment.</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On each matter to be voted upon at the annual meeting, each stockholder will be entitled to one vote for each share of our common stock held by them on the record date.</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annual meeting?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or represented at the annual meeting for the meeting to be properly held under our bylaws and Delaware law. Holders of at least 33.33% of the voting power of our outstanding common stock entitled to vote at the annual meeting must be present in person (including virtually) or represented by proxy for us to hold and transact business at the annual meeting. On the record date, there were 28,423,069 shares outstanding and entitled to vote. Thus, the holders of at least 9,473,409 shares must be present in person (including virtually) or represented by proxy at the annual meeting to have a quorum.</w:t>
      </w:r>
    </w:p>
    <w:p>
      <w:pPr>
        <w:spacing w:after="0" w:line="183"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Abstentions, “WITHHOLD” votes, and “broker non-votes” (as explained below) are counted as present and entitled to vote for purposes of determining a quorum. If there is no quorum, the meeting may be adjourned to another date by the chairman of the meeting or the holders of a majority of the voting power present in person (including virtually) or represented by proxy at the annual meeting and entitled to vote.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jc w:val="both"/>
        <w:ind w:left="20" w:right="20"/>
        <w:spacing w:after="0" w:line="255"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holding the shares as to how to vote on matters deemed “non-routine” and there is at least one “routine” matter to be voted upon at the meeting. Generally, if shares are held in street name, the beneficial owner of the shares is entitled to give voting instructions to the broker holding the shares. If the beneficial owner does not provide voting instructions, the broker can still vote the shares with respect to matters that are considered to be “routine,” but not with respect to “non-routine,” matters. In the event that a broker votes shares on the “routine” matters, but does not vote shares on the “non-routine” matters, those shares will be treated as broker non-votes with respect to the “non-routine” proposals. Accordingly, if you own shares through a nominee, such as a broker or bank, please be sure to instruct your nominee how to vote to ensure that your vote is counted on each of the proposals.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matters are considered “routine” and “non-routine”?</w:t>
      </w:r>
    </w:p>
    <w:p>
      <w:pPr>
        <w:spacing w:after="0" w:line="22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The ratification of the appointment of Deloitte as our independent registered public accounting firm for our fiscal year ending December 31, 2026 (Proposal No. 3) is considered routine under the rules of the Nasdaq Stock Market LLC (“Nasdaq”). All other proposals are considered “non-routine” under applicable federal securities rules and the rules of The Nasdaq Stock Market LLC.</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are the effects of abstentions and broker non-votes?</w:t>
      </w:r>
    </w:p>
    <w:p>
      <w:pPr>
        <w:spacing w:after="0" w:line="229" w:lineRule="exact"/>
        <w:rPr>
          <w:sz w:val="20"/>
          <w:szCs w:val="20"/>
          <w:color w:val="auto"/>
        </w:rPr>
      </w:pPr>
    </w:p>
    <w:p>
      <w:pPr>
        <w:ind w:left="20" w:right="380"/>
        <w:spacing w:after="0" w:line="266" w:lineRule="auto"/>
        <w:rPr>
          <w:sz w:val="20"/>
          <w:szCs w:val="20"/>
          <w:color w:val="auto"/>
        </w:rPr>
      </w:pPr>
      <w:r>
        <w:rPr>
          <w:rFonts w:ascii="Times New Roman" w:cs="Times New Roman" w:eastAsia="Times New Roman" w:hAnsi="Times New Roman"/>
          <w:sz w:val="18"/>
          <w:szCs w:val="18"/>
          <w:color w:val="auto"/>
        </w:rPr>
        <w:t>Abstentions (i.e. shares present at the annual meeting and marked “abstain”) are deemed to be shares presented or represented by proxy and entitled to vote, and are counted for purposes of determining whether a quorum is present. However, abstentions are not counted as a vote either for or against a proposal, and have no effect on the outcome of the matters voted upon.</w:t>
      </w:r>
    </w:p>
    <w:p>
      <w:pPr>
        <w:spacing w:after="0" w:line="176" w:lineRule="exact"/>
        <w:rPr>
          <w:sz w:val="20"/>
          <w:szCs w:val="20"/>
          <w:color w:val="auto"/>
        </w:rPr>
      </w:pPr>
    </w:p>
    <w:p>
      <w:pPr>
        <w:ind w:left="20" w:right="180"/>
        <w:spacing w:after="0" w:line="261" w:lineRule="auto"/>
        <w:rPr>
          <w:sz w:val="20"/>
          <w:szCs w:val="20"/>
          <w:color w:val="auto"/>
        </w:rPr>
      </w:pPr>
      <w:r>
        <w:rPr>
          <w:rFonts w:ascii="Times New Roman" w:cs="Times New Roman" w:eastAsia="Times New Roman" w:hAnsi="Times New Roman"/>
          <w:sz w:val="18"/>
          <w:szCs w:val="18"/>
          <w:color w:val="auto"/>
        </w:rPr>
        <w:t>A broker non-vote occurs when the beneficial owner of shares fails to provide the broker, bank or other nominee that holds the shares with specific instructions on how to vote on any “non-routine” matters brought to a vote at the annual meeting. In this situation, the broker, bank or other nominee will not vote on the “non-routine” matter. Broker non-votes are counted for purposes of determining whether a quorum is present and have no effect on the outcome of the matters voted upon.</w:t>
      </w:r>
    </w:p>
    <w:p>
      <w:pPr>
        <w:spacing w:after="0" w:line="180" w:lineRule="exact"/>
        <w:rPr>
          <w:sz w:val="20"/>
          <w:szCs w:val="20"/>
          <w:color w:val="auto"/>
        </w:rPr>
      </w:pPr>
    </w:p>
    <w:p>
      <w:pPr>
        <w:jc w:val="both"/>
        <w:ind w:left="20" w:right="20"/>
        <w:spacing w:after="0" w:line="256" w:lineRule="auto"/>
        <w:rPr>
          <w:sz w:val="20"/>
          <w:szCs w:val="20"/>
          <w:color w:val="auto"/>
        </w:rPr>
      </w:pPr>
      <w:r>
        <w:rPr>
          <w:rFonts w:ascii="Times New Roman" w:cs="Times New Roman" w:eastAsia="Times New Roman" w:hAnsi="Times New Roman"/>
          <w:sz w:val="18"/>
          <w:szCs w:val="18"/>
          <w:color w:val="auto"/>
        </w:rPr>
        <w:t>Note that if you are a beneficial holder, brokers and other nominees will be entitled to vote your shares on “routine” matters without instructions from you. The only proposal that would be considered “routine” in such event is the proposal for the ratification of the appointment of Deloitte as our independent registered public accounting firm for the fiscal year ending December 31, 2026 (Proposal No. 3). A broker or other nominee will not be entitled to vote your shares on any “non-routine” matters, absent instructions from you. “Non-routine” matters include all proposals other than Proposal No. 3, including the election of directors. Accordingly, we encourage you to provide voting instructions to your broker or other nominee whether or not you plan to attend the meeting.</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b w:val="1"/>
          <w:bCs w:val="1"/>
          <w:color w:val="auto"/>
        </w:rPr>
        <w:t>What is the voting requirement to approve each of the proposals?</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Proposal No. 1: Election of Directors. </w:t>
      </w:r>
      <w:r>
        <w:rPr>
          <w:rFonts w:ascii="Times New Roman" w:cs="Times New Roman" w:eastAsia="Times New Roman" w:hAnsi="Times New Roman"/>
          <w:sz w:val="18"/>
          <w:szCs w:val="18"/>
          <w:color w:val="auto"/>
        </w:rPr>
        <w:t>The election of each of Dr. Peter Farrell, Joseph E. Payne, James Barlow, Dr. Edward W. Holmes, Dr. Magda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Marquet, Dr. Jing L. Marantz, Dr. John H. Markels, and Dr. Moncef Slaoui to the Board requires a plurality of the votes cast by the holders of shares present in person or represented by proxy at the annual meeting and entitled to vote on the election of a director. This means that if each of the nominees receives one or more votes, he or she will be elected as a director. You may vote “FOR” or “WITHHOLD” for each of the nominees. Because the outcome of this proposal will be determined by a plurality vote, shares voted “WITHHOLD” will not generally prevent each of Dr. Peter Farrell, Joseph E. Payne, James Barlow, Dr. Edward W. Holmes, Dr. Magda Marquet, Dr. Jing L. Marantz, Dr. John H. Markels, and Dr. Moncef Slaoui from being elected as a director. Shares voted “WITHHOLD” will count towards the quorum requirement for the annual meeting.</w:t>
      </w:r>
    </w:p>
    <w:p>
      <w:pPr>
        <w:spacing w:after="0" w:line="183"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8"/>
          <w:szCs w:val="18"/>
          <w:i w:val="1"/>
          <w:iCs w:val="1"/>
          <w:color w:val="auto"/>
        </w:rPr>
        <w:t>Proposal No.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Say on Pay</w:t>
      </w:r>
      <w:r>
        <w:rPr>
          <w:rFonts w:ascii="Times New Roman" w:cs="Times New Roman" w:eastAsia="Times New Roman" w:hAnsi="Times New Roman"/>
          <w:sz w:val="18"/>
          <w:szCs w:val="18"/>
          <w:color w:val="auto"/>
        </w:rPr>
        <w:t>. The approval, on an advisory basis, of the Say on Pay Proposal requires the affirmative vote of a majority of the votes cast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proposal at the annual meeting. You may vote “FOR,” “AGAINST,” or “ABSTAIN” on this proposal. Abstentions will count towards the quorum requirement for the annual meeting but will not count as a vote for or against the proposal.</w:t>
      </w:r>
    </w:p>
    <w:p>
      <w:pPr>
        <w:spacing w:after="0" w:line="173"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No. 3: Ratification of Appointment of Deloitte. </w:t>
      </w:r>
      <w:r>
        <w:rPr>
          <w:rFonts w:ascii="Times New Roman" w:cs="Times New Roman" w:eastAsia="Times New Roman" w:hAnsi="Times New Roman"/>
          <w:sz w:val="18"/>
          <w:szCs w:val="18"/>
          <w:color w:val="auto"/>
        </w:rPr>
        <w:t>The ratification of the appointment of Deloitte requires the affirmative vote of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cast on the proposal at the annual meeting. You may vote “FOR,” “AGAINST,” or “ABSTAIN” on this proposal. Abstentions will count towards the quorum requirement for the annual meeting but will not count as a vote for or against the proposal.</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representative of Continental will tabulate the votes and may act as inspector of elections.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 or fail to provide timely directions to my broker, bank or other nominee?</w:t>
      </w:r>
    </w:p>
    <w:p>
      <w:pPr>
        <w:spacing w:after="0" w:line="227" w:lineRule="exact"/>
        <w:rPr>
          <w:sz w:val="20"/>
          <w:szCs w:val="20"/>
          <w:color w:val="auto"/>
        </w:rPr>
      </w:pPr>
    </w:p>
    <w:p>
      <w:pPr>
        <w:jc w:val="both"/>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you are a stockholder of record and you submit a proxy but you do not provide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your shares will be voted:</w:t>
      </w:r>
    </w:p>
    <w:p>
      <w:pPr>
        <w:spacing w:after="0" w:line="156" w:lineRule="exact"/>
        <w:rPr>
          <w:sz w:val="20"/>
          <w:szCs w:val="20"/>
          <w:color w:val="auto"/>
        </w:rPr>
      </w:pPr>
    </w:p>
    <w:p>
      <w:pPr>
        <w:ind w:left="560" w:hanging="552"/>
        <w:spacing w:after="0" w:line="286" w:lineRule="auto"/>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Dr. Peter Farrell, Joseph E. Payne, James Barlow, Dr. Edward W. Holmes, Dr. Magda Marquet, Dr. Jing L. Marantz, Dr. John H. Markels, and Dr. Moncef Slaoui to the Board;</w:t>
      </w:r>
    </w:p>
    <w:p>
      <w:pPr>
        <w:spacing w:after="0" w:line="154"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Say on Pay Proposal; and</w:t>
      </w:r>
    </w:p>
    <w:p>
      <w:pPr>
        <w:spacing w:after="0" w:line="225" w:lineRule="exact"/>
        <w:rPr>
          <w:rFonts w:ascii="Times New Roman" w:cs="Times New Roman" w:eastAsia="Times New Roman" w:hAnsi="Times New Roman"/>
          <w:sz w:val="18"/>
          <w:szCs w:val="18"/>
          <w:color w:val="auto"/>
        </w:rPr>
      </w:pPr>
    </w:p>
    <w:p>
      <w:pPr>
        <w:ind w:left="560" w:right="40" w:hanging="552"/>
        <w:spacing w:after="0" w:line="286" w:lineRule="auto"/>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Deloitte as our independent registered public accounting firm for our fiscal year ending December 31, 2026.</w:t>
      </w:r>
    </w:p>
    <w:p>
      <w:pPr>
        <w:spacing w:after="0" w:line="15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In addition, if any other matters are properly brought before the annual meeting, the persons named as proxies will be authorized to vote or otherwise act on those matters in accordance with their judgment.</w:t>
      </w:r>
    </w:p>
    <w:p>
      <w:pPr>
        <w:spacing w:after="0" w:line="160"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Nominee</w:t>
      </w:r>
      <w:r>
        <w:rPr>
          <w:rFonts w:ascii="Times New Roman" w:cs="Times New Roman" w:eastAsia="Times New Roman" w:hAnsi="Times New Roman"/>
          <w:sz w:val="18"/>
          <w:szCs w:val="18"/>
          <w:color w:val="auto"/>
        </w:rPr>
        <w:t>. Brokers, banks and other nominees holding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 in street name for customers are generally required to vote such shares in the manner directed by their customers. In the absence of timely directions, your broker, bank or other nominee will have discretion to vote your shares on our sole “routine” matter - Proposal No. 3 relating to ratifying the appointment of Deloitte. Absent direction from you, however, your broker, bank or other nominee will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have the discretion to vote on Proposal No. 1 or 2.</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How can I contact Arcturus’ transfer agent?</w:t>
      </w:r>
    </w:p>
    <w:p>
      <w:pPr>
        <w:spacing w:after="0" w:line="233" w:lineRule="exact"/>
        <w:rPr>
          <w:sz w:val="20"/>
          <w:szCs w:val="20"/>
          <w:color w:val="auto"/>
        </w:rPr>
      </w:pPr>
    </w:p>
    <w:p>
      <w:pPr>
        <w:jc w:val="both"/>
        <w:ind w:left="20"/>
        <w:spacing w:after="0" w:line="216" w:lineRule="auto"/>
        <w:rPr>
          <w:sz w:val="20"/>
          <w:szCs w:val="20"/>
          <w:color w:val="auto"/>
        </w:rPr>
      </w:pPr>
      <w:r>
        <w:rPr>
          <w:rFonts w:ascii="Times New Roman" w:cs="Times New Roman" w:eastAsia="Times New Roman" w:hAnsi="Times New Roman"/>
          <w:sz w:val="18"/>
          <w:szCs w:val="18"/>
          <w:color w:val="auto"/>
        </w:rPr>
        <w:t>You may contact our transfer agent by writing Continental Stock Transfer &amp; Trust Company, 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10014. You may also contact our transfer agent via email at cstmail@continentalstock.com or by telephone at (212) 509-4000.</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How are proxies solicited for the annual meeting, and who is paying for such solicitation?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or employees.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 although we may engage a proxy solicitor in the future.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choose to access the proxy materials and/or vote over the Internet, or attend the annual meeting virtually, you are responsible for any Internet access charges you may incur.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announce preliminary voting results at the annual meeting. We will also disclose voting results on a Current Report on Form 8-K filed with the Securities and Exchange Commission (“SEC”), within four business days after the annual meeting. If final voting results are not available to us in time to file a Current Report on Form 8-K within four business days after the annual meeting, we will file a Current Report on Form 8-K to publish preliminary results and, within four business days after final results are known, file an additional Current Report on Form 8-K to publish the final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printed materials?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receive more than one set of printed materials, your shares may be registered in more than one name and/or are registered in different accounts.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follow the voting instructions on each set of printed materials to ensure that all of your shares are voted.</w:t>
      </w:r>
    </w:p>
    <w:p>
      <w:pPr>
        <w:spacing w:after="0" w:line="20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printed copy of the proxy materials. How may I obtain an additional copy of the proxy materials?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an SEC-approved procedure called “householding,” under which we can deliver a single copy of the proxy materials and annual report to multiple stockholders who share the same address unless we receive contrary instructions from one or more of the stockholders. This procedure reduces our printing and mailing costs. Stockholders who participate in householding will continue to be able to access and receive separate proxy cards. Upon written or oral request, we will undertake to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at the address below, or call us at 858-900-2660: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10285 Science Center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who hold shares in street name may contact their brokerage firm, bank, broker-dealer or other nominee to request information about householding.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Proposals of Stockholders for 2027 Annual Meeting</w:t>
      </w:r>
      <w:r>
        <w:rPr>
          <w:rFonts w:ascii="Times New Roman" w:cs="Times New Roman" w:eastAsia="Times New Roman" w:hAnsi="Times New Roman"/>
          <w:sz w:val="18"/>
          <w:szCs w:val="18"/>
          <w:color w:val="auto"/>
        </w:rPr>
        <w:t>” in this proxy statement for more information regarding the deadlines for the submission of stockholder proposals for our 2027 annual meeting.</w:t>
      </w:r>
    </w:p>
    <w:p>
      <w:pPr>
        <w:spacing w:after="0" w:line="2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792"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Composition of the Board</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Board is currently composed of eight members. The following table sets forth the names, ages, and certain other information for our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Age</w:t>
            </w:r>
          </w:p>
        </w:tc>
        <w:tc>
          <w:tcPr>
            <w:tcW w:w="57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Since</w:t>
            </w:r>
          </w:p>
        </w:tc>
      </w:tr>
      <w:tr>
        <w:trPr>
          <w:trHeight w:val="209"/>
        </w:trPr>
        <w:tc>
          <w:tcPr>
            <w:tcW w:w="2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Dr. Moncef Slaoui, Ph.D.</w:t>
            </w: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5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8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2024</w:t>
            </w: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E. Payne</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54</w:t>
            </w:r>
          </w:p>
        </w:tc>
        <w:tc>
          <w:tcPr>
            <w:tcW w:w="57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2013</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Barlow</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67</w:t>
            </w:r>
          </w:p>
        </w:tc>
        <w:tc>
          <w:tcPr>
            <w:tcW w:w="57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May 2018</w:t>
            </w: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Peter Farrell</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83</w:t>
            </w:r>
          </w:p>
        </w:tc>
        <w:tc>
          <w:tcPr>
            <w:tcW w:w="57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2018</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Edward W. Holmes</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85</w:t>
            </w:r>
          </w:p>
        </w:tc>
        <w:tc>
          <w:tcPr>
            <w:tcW w:w="57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2019</w:t>
            </w: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Magda Marquet</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67</w:t>
            </w:r>
          </w:p>
        </w:tc>
        <w:tc>
          <w:tcPr>
            <w:tcW w:w="57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2018</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Jing L. Marantz</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57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December 2021</w:t>
            </w: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John H. Markels</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w:t>
            </w:r>
          </w:p>
        </w:tc>
        <w:tc>
          <w:tcPr>
            <w:tcW w:w="57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2022</w:t>
            </w:r>
          </w:p>
        </w:tc>
      </w:tr>
    </w:tbl>
    <w:p>
      <w:pPr>
        <w:spacing w:after="0" w:line="194" w:lineRule="exact"/>
        <w:rPr>
          <w:sz w:val="20"/>
          <w:szCs w:val="20"/>
          <w:color w:val="auto"/>
        </w:rPr>
      </w:pPr>
    </w:p>
    <w:p>
      <w:pPr>
        <w:jc w:val="both"/>
        <w:ind w:left="20" w:right="20"/>
        <w:spacing w:after="0" w:line="253" w:lineRule="auto"/>
        <w:rPr>
          <w:sz w:val="20"/>
          <w:szCs w:val="20"/>
          <w:color w:val="auto"/>
        </w:rPr>
      </w:pPr>
      <w:r>
        <w:rPr>
          <w:rFonts w:ascii="Times New Roman" w:cs="Times New Roman" w:eastAsia="Times New Roman" w:hAnsi="Times New Roman"/>
          <w:sz w:val="18"/>
          <w:szCs w:val="18"/>
          <w:b w:val="1"/>
          <w:bCs w:val="1"/>
          <w:color w:val="auto"/>
        </w:rPr>
        <w:t>Dr. Moncef Slaoui, Ph.D.</w:t>
      </w:r>
      <w:r>
        <w:rPr>
          <w:rFonts w:ascii="Times New Roman" w:cs="Times New Roman" w:eastAsia="Times New Roman" w:hAnsi="Times New Roman"/>
          <w:sz w:val="18"/>
          <w:szCs w:val="18"/>
          <w:color w:val="auto"/>
        </w:rPr>
        <w:t>, joined our Board of Directors in June 2024. Dr. Slaoui served as a Partner at Medicxi, a venture capital firm, from July 2017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2021. In May 2020, Dr. Slaoui was appointed as chief advisor to the White House’s Operation Warp Speed initiative, the administration’s national program to accelerate the development, manufacturing, and distribution of COVID-19 vaccines, therapeutics, and diagnostics, where he served until January 2021. Dr. Slaoui served on the board of directors of Vaxcyte, Inc., a publicly traded biotechnology company (NASDAQ: PCVX), from July 2017 to March 2021 and served as the Chairman from May 2018 to March 2021. From September 1988 to July 2017, Dr. Slaoui was employed at GlaxoSmithKline plc (“</w:t>
      </w:r>
      <w:r>
        <w:rPr>
          <w:rFonts w:ascii="Times New Roman" w:cs="Times New Roman" w:eastAsia="Times New Roman" w:hAnsi="Times New Roman"/>
          <w:sz w:val="18"/>
          <w:szCs w:val="18"/>
          <w:u w:val="single" w:color="auto"/>
          <w:color w:val="auto"/>
        </w:rPr>
        <w:t>GSK</w:t>
      </w:r>
      <w:r>
        <w:rPr>
          <w:rFonts w:ascii="Times New Roman" w:cs="Times New Roman" w:eastAsia="Times New Roman" w:hAnsi="Times New Roman"/>
          <w:sz w:val="18"/>
          <w:szCs w:val="18"/>
          <w:color w:val="auto"/>
          <w:highlight w:val="white"/>
        </w:rPr>
        <w:t>”), a multinational pharmaceutical company (NYSE: GSK). Between 1988 and 2003, he served in various R&amp;D leadership</w:t>
      </w:r>
      <w:r>
        <w:rPr>
          <w:rFonts w:ascii="Times New Roman" w:cs="Times New Roman" w:eastAsia="Times New Roman" w:hAnsi="Times New Roman"/>
          <w:sz w:val="18"/>
          <w:szCs w:val="18"/>
          <w:color w:val="auto"/>
        </w:rPr>
        <w:t xml:space="preserve"> roles in GSK’s vaccine division. From June 2009 to June 2017, Dr. Slaoui served as the Chairman of Vaccines at GSK, and from June 2003 to June 2006, he served as head of Worldwide Business Development at GSK. From March 2006 to July 2017, he served as Chairman of GSK Pharmaceutical R&amp;D. Dr. Slaoui currently serves on the boards of directors of private biotechnology companies, including ALTESA Biosciences and ZephyrAI. From July 2017 to May 2020, Dr. Slaoui served on the board of directors of Moderna, Inc., a biotechnology company, and from April 2020 to May 2020, Dr. Slaoui served on the board of directors of Lonza Group Ltd. From 2016 to March 2021, Dr. Slaoui served as Chairman of the board of directors of Galvani Bioelectronics, a company launched in November 2016 that GSK jointly owns with Verily Life Sciences. From 1984 to 1988, Dr. Slaoui served as a professor of Immunology at the University of Mons, Belgium. Dr. Slaoui holds a Ph.D. in Molecular Biology and Immunology from the Université Libre de Bruxelles, Belgium. Dr. Slaoui is nominated for re-election on our Board because of his depth of vaccine industry and public company experience.</w:t>
      </w:r>
    </w:p>
    <w:p>
      <w:pPr>
        <w:spacing w:after="0" w:line="185" w:lineRule="exact"/>
        <w:rPr>
          <w:sz w:val="20"/>
          <w:szCs w:val="20"/>
          <w:color w:val="auto"/>
        </w:rPr>
      </w:pPr>
    </w:p>
    <w:p>
      <w:pPr>
        <w:jc w:val="both"/>
        <w:ind w:left="20"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Joseph E. Payne </w:t>
      </w:r>
      <w:r>
        <w:rPr>
          <w:rFonts w:ascii="Times New Roman" w:cs="Times New Roman" w:eastAsia="Times New Roman" w:hAnsi="Times New Roman"/>
          <w:sz w:val="18"/>
          <w:szCs w:val="18"/>
          <w:color w:val="auto"/>
        </w:rPr>
        <w:t>is our President and Chief Executive Officer, positions he has held since March 2013. Mr. Payne served on our predecessor’s board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2013. He brings with him an exceptional track record of ushering novel therapeutics to the clinic including targeted RNA medicines utilizing lipid-mediated delivery technologies. Mr. Payne’s background includes over 20 years of successful drug discovery experience at Merck Research Labs, DuPont Pharmaceuticals, Bristol-Myers Squibb, Kalypsys, and Nitto Denko Corporation as evidenced by over 40 publications and patents, and several investigational new drug (IND) clinical candidates. His academic training includes a Bachelor’s Degree in Chemistry, magna cum laude from Brigham Young University, a Master of Science in Synthetic Organic Chemistry from the University of Calgary and Executive Training Certification from MIT Sloan School of Management. He served on the board of directors of Vallon Pharmaceuticals Inc., a public clinical-stage company focused on the development and commercialization of novel abuse-deterrent medications for CNS disorders, until April 2023. Mr. Payne is nominated for re-election on our Board because of his position as our President and Chief Executive Officer and his significant experience in the pharmaceutical sector. As a member of our executive team, Mr. Payne serves a vital function in the link between management and our Board, enabling the Board to perform its oversight function with the benefits of management’s perspective on the business.</w:t>
      </w: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James Barlow </w:t>
      </w:r>
      <w:r>
        <w:rPr>
          <w:rFonts w:ascii="Times New Roman" w:cs="Times New Roman" w:eastAsia="Times New Roman" w:hAnsi="Times New Roman"/>
          <w:sz w:val="18"/>
          <w:szCs w:val="18"/>
          <w:color w:val="auto"/>
        </w:rPr>
        <w:t>is a member of the board of directors of NAHS Holding, Inc., an Employee Stock Ownership Plan company, whose affiliates provide post-acute care, subacute care, short and long-term rehabilitation, and skilled nursing in the United States. Mr. Barlow is a C-level financial executive with more than 30 years of experience leading teams in the successful strategic achievement of financial and operational goals, and expertise in domestic and international operations, financial planning, forecasting and reporting, restructurings, business development and integrations, treasury and investor relations. As an Executive Officer (Principal Accounting Officer) at Allergan, Inc. from January 2002 to March 2015, he oversaw financial due diligence, integration and structuring for all significant asset purchases, sales, business combinations and licensing transactions, the spin-off of Advanced Medical Optics, the $3.3 billion acquisition of Inamed Corporation and more than $4.5 billion in other transactions. He ensured consistent application of corporate policies and procedures and alignment with global reporting and corporate compliance requirements, made recommendations globally to improve financial operations and participated in robust financial planning/forecasting activities. Prior to joining Allergan, Mr. Barlow served as Chief Financial Officer of Wynn Oil Company, a division of Parker Hannifin Corporation, during 2001, Treasurer and Controller of Wynn’s International, Inc. from 1990 to 2000 and Vice President and Controller of Ford Equipment Leasing Company from 1986 to 1990. From 1983 to 1985 Mr. Barlow worked for the accounting firm Deloitte Haskins and Sells. Mr. Barlow received a Bachelor of Science degree in Accounting, graduating magna cum laude, from Brigham Young University and a Master of Accountancy, graduating with honors—high distinction, from Brigham Young University. He is a certified public accountant (inactive). Mr. Barlow is nominated for re-election on our Board of Directors because of his significant experience as an executive and director of a number of companies in the healthcare sector, and because of his financial and accounting expertise.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Dr. Peter Farrell </w:t>
      </w:r>
      <w:r>
        <w:rPr>
          <w:rFonts w:ascii="Times New Roman" w:cs="Times New Roman" w:eastAsia="Times New Roman" w:hAnsi="Times New Roman"/>
          <w:sz w:val="18"/>
          <w:szCs w:val="18"/>
          <w:color w:val="auto"/>
        </w:rPr>
        <w:t>was the Chairman of our Board from May 2018 to July 2025. In addition, Dr. Farrell is the founder, former long-term CEO and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of ResMed Inc. (NYSE:RMD). Dr. Farrell has been Chairman and a director of ResMed since 1989, when the company began as a management buyout of sleep technology from Baxter Healthcare. Peter was previously Foundation Director of the University of New South Wales (UNSW) Graduate School for Biomedical Engineering (1978-89) while simultaneously serving as Vice President of Research &amp; Development for Baxter Healthcare in Tokyo (1984-89). Dr. Farrell served on the board of directors of NuVasive, Inc., a company focused on the surgical treatment of spine disorders. Dr. Farrell serves on the board of trustees of The Scripps Research Institute in La Jolla and is Chairman of the Boston-based POC NMR diagnostic company, WaveGuide. Since July 2019, Dr. Farrell has been a director of Evolus, Inc. (EOLS). Dr. Farrell is a fellow or honorary fellow of several professional bodies, including the US National Academy of Engineering. He was inducted as 1998 San Diego Entrepreneur of the Year for Health Sciences, 2001 Australian Entrepreneur of the Year and 2005 US National Entrepreneur of the Year for Health Sciences. Dr. Farrell was appointed to the Executive Council of the division of Sleep Medicine at Harvard Medical School in 1998, was appointed Vice Chairman in 2000 (2000-2010), became Chairman in 2010 and served in that capacity for three years. He is on various academic advisory boards including UCSD’s Jacobs School of Engineering, where he was named the 2012 Gordon Fellow, UCSD’s Rady Business School and the MIT Dean of Engineering’s Advisory Council. Dr. Farrell holds a B.E. with honors in chemical engineering from the University of Sydney, an SM in chemical engineering from MIT, a PhD in bioengineering from the University of Washington, Seattle, and a DSc from UNSW for research which resulted in improved treatment for both hemodialysis and peritoneal dialysis patients. Dr. Farrell is nominated for re-election on our Board because of his significant experience as an executive and director of a number of companies in the healthcare sector.</w:t>
      </w:r>
    </w:p>
    <w:p>
      <w:pPr>
        <w:spacing w:after="0" w:line="2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92" w:right="359" w:bottom="1440" w:gutter="0" w:footer="0" w:header="0"/>
        </w:sectPr>
      </w:pPr>
    </w:p>
    <w:bookmarkStart w:id="13" w:name="page14"/>
    <w:bookmarkEnd w:id="13"/>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Dr. Edward W. Holmes </w:t>
      </w:r>
      <w:r>
        <w:rPr>
          <w:rFonts w:ascii="Times New Roman" w:cs="Times New Roman" w:eastAsia="Times New Roman" w:hAnsi="Times New Roman"/>
          <w:sz w:val="18"/>
          <w:szCs w:val="18"/>
          <w:color w:val="auto"/>
        </w:rPr>
        <w:t>has served as a member of our Board of Directors since September 2019. Dr. Holmes is currently a Distinguished Professor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Medicine at the University of California, Vice Chancellor/Dean of Health Sciences Emeritus at the University of California, San Diego, and CEO/President of the Sanford Consortium for Regenerative Medicine. Dr. Holmes has served as Chair of the Department of Medicine at the University of Pennsylvania, Vice President for Translational Medicine at Stanford University, and Vice Chancellor/Dean of Duke University School of Medicine. Dr. Holmes was the Executive Deputy Chairman of the Biomedical Research Council and the Executive Chairman of the National Medical Research Council in Singapore; he was a Senior Fellow in A*STAR and Advisor to the National Research Council of Singapore. He holds an appointment as the Lien Ying Chow Professor of Medicine at the Yong Loo Lin School of Medicine, National University of Singapore. For his contributions to the Singapore government, Dr. Holmes was made an Honorary Citizen in 2011, and he was awarded the President’s Science and Technology Medal in 2017. Dr. Holmes also served on the Council of Advisors for the National Institute for Diabetes, Digestive, and Kidney Diseases of the National Institutes of Health. He served as Chair of the Research Advisory Board of GlaxoSmithKline, on the scientific advisory board of Ajinomoto and on the board of directors of Tularik, Inc. He also served on the Grand Challenges Explorations Innovation Review Panel for the Gates Foundation. He has been elected to membership in the American Society for Clinical Investigation, the Association of American Physicians, Fellow of the American Association for the Advancement of Science, and a member of the United States National Academy of Medicine. Dr. Holmes holds a Doctor of Medicine degree from the University of Pennsylvania. Dr. Holmes is nominated for re-election on our Board because of his significant experience in research, medicine and genetics.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Dr. Magda Marquet, Ph.D.</w:t>
      </w:r>
      <w:r>
        <w:rPr>
          <w:rFonts w:ascii="Times New Roman" w:cs="Times New Roman" w:eastAsia="Times New Roman" w:hAnsi="Times New Roman"/>
          <w:sz w:val="18"/>
          <w:szCs w:val="18"/>
          <w:color w:val="auto"/>
        </w:rPr>
        <w:t>, joined our Board of Directors in 2018. Dr. Marquet has served as co-founder and co-chief executive officer of ALMA Life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Sciences LLC, an early-stage healthcare investment firm, since 2013. Dr. Marquet also has been a co-founder of AltheaDx, a biotechnology company, since 2009. Dr. Marquet previously served as the co-founder and chairman of Althea Technologies from 2009 to 2019, and previously served as its co-president and co-chief executive officer from 1998 to 2009. Prior to starting Althea Technologies, Dr. Marquet held several positions in product development and pharmaceutical development in companies such as Vical and Amylin Pharmaceuticals. Dr. Marquet served on the board of directors of Pfenex from 2019 until its acquisition by Ligand Pharmaceuticals in October 2020 and now serves on the board of directors of AnaptysBio since January 2021 as well as several private company boards. Dr. Marquet holds a Ph.D. in biochemical engineering from INSA/University of Toulouse, France. Dr. Marquet is nominated for re-election on our Board because of her significant experience as an executive and director of a number of companies in the life sciences sector, and because of her management and clinical expertise.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Dr. Jing L. Marantz, M.D., Ph.D.</w:t>
      </w:r>
      <w:r>
        <w:rPr>
          <w:rFonts w:ascii="Times New Roman" w:cs="Times New Roman" w:eastAsia="Times New Roman" w:hAnsi="Times New Roman"/>
          <w:sz w:val="18"/>
          <w:szCs w:val="18"/>
          <w:color w:val="auto"/>
        </w:rPr>
        <w:t>, joined our Board of Directors in December 2021. Dr. Marantz has served as Chief Medical Officer of Scholar Rock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 Corporation, a clinical stage biopharmaceutical company, since November 2022. From January 2022 to August 2022, Dr. Marantz served as Chief Business Officer of Krystal Biotech, Inc. after serving on its board for a year. From October 2020 to January 2022, Dr. Marantz served as Senior Vice President of Medical Affairs of Acceleron Pharma Inc. until its acquisition by Merck &amp; Co., Inc. From June 2018 to September 2020, Dr. Marantz served as Senior Vice President of Medical Affairs at Alnylam Pharmaceuticals. Prior to Alnylam, Dr. Marantz has held leadership positions at Alexion, Biogen, ARIAD, and Millennium Pharmaceuticals across development, medical affairs, and business development. Previously Dr. Marantz was a management consultant with Strategic Decisions Group and briefly affiliated with Massachusetts General Hospital following a post-doctoral fellowship at the Dana-Farber Cancer Institute. Dr. Marantz received her medical training from Tongji Medical College, a Ph.D. in Biochemistry and Molecular Biology from Medical University of South Carolina, and an MBA from the University of California at Berkeley. Dr. Marantz is nominated for re-election on our Board because of her significant experience as an executive and director of a number of companies in the life sciences sector, and because of her management and clinical expertise.</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792" w:right="359" w:bottom="1440" w:gutter="0" w:footer="0" w:header="0"/>
        </w:sectPr>
      </w:pPr>
    </w:p>
    <w:bookmarkStart w:id="14" w:name="page15"/>
    <w:bookmarkEnd w:id="14"/>
    <w:p>
      <w:pPr>
        <w:jc w:val="both"/>
        <w:ind w:left="20" w:right="20"/>
        <w:spacing w:after="0" w:line="253" w:lineRule="auto"/>
        <w:rPr>
          <w:sz w:val="20"/>
          <w:szCs w:val="20"/>
          <w:color w:val="auto"/>
        </w:rPr>
      </w:pPr>
      <w:r>
        <w:rPr>
          <w:rFonts w:ascii="Times New Roman" w:cs="Times New Roman" w:eastAsia="Times New Roman" w:hAnsi="Times New Roman"/>
          <w:sz w:val="18"/>
          <w:szCs w:val="18"/>
          <w:b w:val="1"/>
          <w:bCs w:val="1"/>
          <w:color w:val="auto"/>
        </w:rPr>
        <w:t>Dr. John H. Markels, Ph.D.</w:t>
      </w:r>
      <w:r>
        <w:rPr>
          <w:rFonts w:ascii="Times New Roman" w:cs="Times New Roman" w:eastAsia="Times New Roman" w:hAnsi="Times New Roman"/>
          <w:sz w:val="18"/>
          <w:szCs w:val="18"/>
          <w:color w:val="auto"/>
        </w:rPr>
        <w:t>, joined our Board of Directors in December 2022. Dr. Markels serves on the board of directors of Sangamo Therapeutics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chairs and serves on the advisory boards for the University of California, Berkeley College of Chemistry and University of Delaware Department of Chemical and Biomolecular Engineering, respectively. Dr. Markels retired from Merck &amp; Co., Inc. (“Merck”) in March 2022, most recently as President of Global Vaccines, where he led an integrated team dedicated to discovery and development, supply and access, and global marketing and long-term strategy for the vaccines portfolio. Earlier roles at Merck included President, Latin America from January 2018 to January 2019, SVP, Global Human Health Business Strategy from January 2017 to December 2017, Managing Director, Mexico from November 2013 to January 2017. Prior to his commercial roles, he had a long career in senior leadership positions in global manufacturing, including operations leadership for Europe, Middle East and Africa, Asia Pacific and emerging markets as well as manufacturing technology and product development roles in active pharmaceutical ingredients (API) and vaccines. Dr. Markels received his Ph.D. in chemical engineering from the University of California, Berkeley and his B.S. in chemical engineering from the University of Delaware. Dr. Markels is nominated for re-election on our Board because of his significant experience as an executive and director of a number of companies in the life sciences sector, and because of his management and expertise in the pharmaceutical, manufacturing, and technology sectors.</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left="20" w:right="20"/>
        <w:spacing w:after="0" w:line="256" w:lineRule="auto"/>
        <w:rPr>
          <w:sz w:val="20"/>
          <w:szCs w:val="20"/>
          <w:color w:val="auto"/>
        </w:rPr>
      </w:pPr>
      <w:r>
        <w:rPr>
          <w:rFonts w:ascii="Times New Roman" w:cs="Times New Roman" w:eastAsia="Times New Roman" w:hAnsi="Times New Roman"/>
          <w:sz w:val="18"/>
          <w:szCs w:val="18"/>
          <w:color w:val="auto"/>
        </w:rPr>
        <w:t>The listing rules of Nasdaq require us to maintain a Board comprised of a majority of independent directors, as determined affirmatively by our Board. In addition, the Nasdaq listing rules require that, subject to specified exceptions, each member of our audit, compensation and nominating and corporate governance committees must be independent. Audit committee members and compensation committee members must also satisfy the independence criteria set forth in Rule 10A-3 and Rule 10C-1, respectively, under the Securities Exchange Act of 1934, as amended (the “Exchange Act”). Under the Nasdaq listing rules, a director will only qualify as an “independent director” if, in the opinion of our Board, the director does not have a relationship that would interfere with the exercise of independent judgment in carrying out his or her responsibilities.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has undertaken a review of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none of Dr. Farrell, Mr. Barlow, Dr. Holmes, Dr. Marquet, Dr. Marantz, Dr. Markels, and Dr. Slaoui (representing seven of our eight directors), has a relationship that would interfere with the exercise of independent judgment in carrying out the responsibilities of a director and that they each are an “independent director” as that term is defined under the Nasdaq listing rules. Mr. Payne is not considered independent due to his position as our President and Chief Executive Officer.</w:t>
      </w:r>
    </w:p>
    <w:p>
      <w:pPr>
        <w:spacing w:after="0" w:line="18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In making these determinations, our Board considered the relationships that each nonemployee director has with us and all other facts and circumstances our Board deemed relevant in determining their independence, including consulting relationships, family relationships and the beneficial ownership of our capital stock by each non-employee director.</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Board is currently chaired by Dr. Slaoui.</w:t>
      </w:r>
    </w:p>
    <w:p>
      <w:pPr>
        <w:spacing w:after="0" w:line="225"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Our Board believes that we and our stockholders are currently best served by this leadership structure. As Chairman, Dr. Slaoui promotes unified leadership and direction for our Board and management and provides the critical leadership necessary for carrying out our strategic initiatives. Dr. Slaoui, together with our Board’s strong committee system and independent directors, allows our Board to maintain effective oversight of our business operations, including independent oversight of our financial statements, executive compensation, selection of director candidates, and corporate governance programs.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current Board’s leadership structure enhances its ability to effectively carry out its roles and responsibilities on behalf of our stockholders.</w:t>
      </w:r>
    </w:p>
    <w:p>
      <w:pPr>
        <w:spacing w:after="0" w:line="225" w:lineRule="exact"/>
        <w:rPr>
          <w:sz w:val="20"/>
          <w:szCs w:val="20"/>
          <w:color w:val="auto"/>
        </w:rPr>
      </w:pPr>
    </w:p>
    <w:p>
      <w:pPr>
        <w:jc w:val="both"/>
        <w:ind w:left="20" w:right="4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any of our directors and executive officers, nor have any of our directors or executive officers been involved in a legal proceeding that would be required to be disclosed pursuant to either 103(c)(2) or 401(f) of Regulation S-K of the Exchange Act.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229" w:lineRule="exact"/>
        <w:rPr>
          <w:sz w:val="20"/>
          <w:szCs w:val="20"/>
          <w:color w:val="auto"/>
        </w:rPr>
      </w:pPr>
    </w:p>
    <w:p>
      <w:pPr>
        <w:jc w:val="both"/>
        <w:ind w:left="20" w:right="20"/>
        <w:spacing w:after="0" w:line="254" w:lineRule="auto"/>
        <w:rPr>
          <w:sz w:val="20"/>
          <w:szCs w:val="20"/>
          <w:color w:val="auto"/>
        </w:rPr>
      </w:pPr>
      <w:r>
        <w:rPr>
          <w:rFonts w:ascii="Times New Roman" w:cs="Times New Roman" w:eastAsia="Times New Roman" w:hAnsi="Times New Roman"/>
          <w:sz w:val="18"/>
          <w:szCs w:val="18"/>
          <w:color w:val="auto"/>
        </w:rPr>
        <w:t>Our Board has an active role, as a whole and also at the committee level, in overseeing risk management. Our Board is responsible for general oversight and regular review of risk management, including financial, strategic, and operational risks. The compensation committee is responsible for overseeing the management of risks relating to our executive compensation plans and arrangements, and whether our compensation policies and programs have the potential to encourage excessive risk taking. The audit committee is responsible for overseeing the management of risks relating to accounting matters, financial reporting, and cybersecurity. The nominating and corporate governance committee is responsible for overseeing our corporate governance practices and the management of risks associated with Board independence and potential conflicts of interest. Although each committee is responsible for evaluating and overseeing the management of certain risks, the entire Board is regularly informed through discussions from committee members about such risks. The Board believes its leadership structure is consistent with and supports the administration of its risk oversight function.</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our Board held four meetings, and each director attended at least 75% of the aggregate of (i) the total number of meetings of our Board held during the period for which he or she has been a director and (ii) the total number of meetings held by all committees of our Board on which he or she served during the periods that he or she served.</w:t>
      </w:r>
    </w:p>
    <w:p>
      <w:pPr>
        <w:spacing w:after="0" w:line="176"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Our Board has established an audit committee, a compensation committee and a nominating and corporate governance committee. The composition and responsibilities of each of the committees of our Board is described below.</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The members of our audit committee are Mr. Barlow, Dr. Holmes and Dr. Markels. Mr. Barlow serves as the chairman. Each of the members of our audit committee is an independent director under the Nasdaq listing rules, satisfies the additional independence criteria for audit committee members and satisfies the requirements for financial literacy under the Nasdaq listing rules and Rule 10A-3 of the Exchange Act, as applicable.</w:t>
      </w:r>
    </w:p>
    <w:p>
      <w:pPr>
        <w:spacing w:after="0" w:line="176" w:lineRule="exact"/>
        <w:rPr>
          <w:sz w:val="20"/>
          <w:szCs w:val="20"/>
          <w:color w:val="auto"/>
        </w:rPr>
      </w:pPr>
    </w:p>
    <w:p>
      <w:pPr>
        <w:jc w:val="both"/>
        <w:ind w:left="20" w:right="40"/>
        <w:spacing w:after="0" w:line="282" w:lineRule="auto"/>
        <w:rPr>
          <w:sz w:val="20"/>
          <w:szCs w:val="20"/>
          <w:color w:val="auto"/>
        </w:rPr>
      </w:pPr>
      <w:r>
        <w:rPr>
          <w:rFonts w:ascii="Times New Roman" w:cs="Times New Roman" w:eastAsia="Times New Roman" w:hAnsi="Times New Roman"/>
          <w:sz w:val="18"/>
          <w:szCs w:val="18"/>
          <w:color w:val="auto"/>
        </w:rPr>
        <w:t>Our Board has also determined that Mr. Barlow qualifies as an audit committee financial expert within the meaning of the applicable rules and regulations of the SEC and satisfies the financial sophistication requirements of the Nasdaq listing rules.</w:t>
      </w:r>
    </w:p>
    <w:p>
      <w:pPr>
        <w:spacing w:after="0" w:line="162"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and assists our Board in monitoring our financial systems and our legal and regulatory compliance. Our audit committee also:</w:t>
      </w:r>
    </w:p>
    <w:p>
      <w:pPr>
        <w:spacing w:after="0" w:line="162" w:lineRule="exact"/>
        <w:rPr>
          <w:sz w:val="20"/>
          <w:szCs w:val="20"/>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work of our independent auditors;</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hiring, discharging and compensation of our independent auditors;</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engagements of the independent auditors to render any audit or permissible non-audit services;</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qualifications, independence and performance of the independent auditors;</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financial statements and our critical accounting policies and estimates;</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adequacy and effectiveness of our internal controls;</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policies with respect to risk assessment and risk management;</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monitors our policies and procedures relating to related person transactions;</w:t>
      </w:r>
    </w:p>
    <w:p>
      <w:pPr>
        <w:spacing w:after="0" w:line="225"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and the independent auditors the results of our annual audit, our quarterly financial statements and our publicly filed reports; and</w:t>
      </w:r>
    </w:p>
    <w:p>
      <w:pPr>
        <w:spacing w:after="0" w:line="161" w:lineRule="exact"/>
        <w:rPr>
          <w:rFonts w:ascii="Times New Roman" w:cs="Times New Roman" w:eastAsia="Times New Roman" w:hAnsi="Times New Roman"/>
          <w:sz w:val="18"/>
          <w:szCs w:val="18"/>
          <w:color w:val="auto"/>
        </w:rPr>
      </w:pPr>
    </w:p>
    <w:p>
      <w:pPr>
        <w:jc w:val="both"/>
        <w:ind w:left="560" w:hanging="552"/>
        <w:spacing w:after="0" w:line="266" w:lineRule="auto"/>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fulfills our Board’s oversight responsibility with respect to our cybersecurity policies, overseeing our risk management with respect to cybersecurity, reviewing our adoption and implementation of systems, controls and procedures designed to prevent, detect and respond to cyber-attacks or security breaches involving us, and reviewing our cybersecurity insurance requirements.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audit committee held four meetings during 2025.</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auto"/>
        </w:rPr>
        <w:t>The members of our compensation committee are Dr. Marquet, Dr. Marantz and Mr. Barlow. Dr. Marquet is currently the chairwoman of our compensation committee. Our Board has determined that each member of our compensation committee is an independent director under the current rules of Nasdaq, satisfies the additional independence criteria for compensation committee members under Rule 10C-1 of the Exchange Act and the Nasdaq listing rules, is a “non-employee director” within the meaning of Rule 16b-3 under the Exchange Act, and is an “outside director” for purposes of Section 162(m) of the Internal Revenue Code of 1986, as amended (the “Code”).</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compensation committee oversees our corporate compensation programs. The compensation committee also:</w:t>
      </w:r>
    </w:p>
    <w:p>
      <w:pPr>
        <w:spacing w:after="0" w:line="225" w:lineRule="exact"/>
        <w:rPr>
          <w:sz w:val="20"/>
          <w:szCs w:val="20"/>
          <w:color w:val="auto"/>
        </w:rPr>
      </w:pPr>
    </w:p>
    <w:p>
      <w:pPr>
        <w:ind w:left="560" w:hanging="552"/>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for Board approval policies, plans and arrangements relating to compensation and benefits of our officers and employees;</w:t>
      </w: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ind w:left="560" w:right="20" w:hanging="552"/>
        <w:spacing w:after="0" w:line="282" w:lineRule="auto"/>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for Board approval corporate goals and objectives relevant to the compensation of our Chief Executive Officer and other executive officers;</w:t>
      </w:r>
    </w:p>
    <w:p>
      <w:pPr>
        <w:spacing w:after="0" w:line="161"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our executive officers in light of established goals and objectives;</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compensation of our executive officers based on its evaluations;</w:t>
      </w:r>
    </w:p>
    <w:p>
      <w:pPr>
        <w:spacing w:after="0" w:line="225"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director compensation levels and practices, and recommends, from time to time, changes in such compensation levels and practices to the Board;</w:t>
      </w:r>
    </w:p>
    <w:p>
      <w:pPr>
        <w:spacing w:after="0" w:line="161"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the compensation disclosures required by SEC rules;</w:t>
      </w:r>
    </w:p>
    <w:p>
      <w:pPr>
        <w:spacing w:after="0" w:line="225" w:lineRule="exact"/>
        <w:rPr>
          <w:rFonts w:ascii="Times New Roman" w:cs="Times New Roman" w:eastAsia="Times New Roman" w:hAnsi="Times New Roman"/>
          <w:sz w:val="18"/>
          <w:szCs w:val="18"/>
          <w:color w:val="auto"/>
        </w:rPr>
      </w:pPr>
    </w:p>
    <w:p>
      <w:pPr>
        <w:ind w:left="560" w:right="20" w:hanging="552"/>
        <w:spacing w:after="0" w:line="282" w:lineRule="auto"/>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a compensation consultant, legal counsel or other external advisors to advise on executive compensation and assess the independence of executive officers in accordance with Nasdaq;</w:t>
      </w:r>
    </w:p>
    <w:p>
      <w:pPr>
        <w:spacing w:after="0" w:line="161" w:lineRule="exact"/>
        <w:rPr>
          <w:rFonts w:ascii="Times New Roman" w:cs="Times New Roman" w:eastAsia="Times New Roman" w:hAnsi="Times New Roman"/>
          <w:sz w:val="18"/>
          <w:szCs w:val="18"/>
          <w:color w:val="auto"/>
        </w:rPr>
      </w:pPr>
    </w:p>
    <w:p>
      <w:pPr>
        <w:ind w:left="560" w:right="20" w:hanging="552"/>
        <w:spacing w:after="0" w:line="282" w:lineRule="auto"/>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whether any compensation consultant, legal counsel or other external advisor has a conflict of interest in accordance with the SEC rules; and</w:t>
      </w:r>
    </w:p>
    <w:p>
      <w:pPr>
        <w:spacing w:after="0" w:line="161"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prepares the annual compensation committee report required by SEC rules.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compensation committee is also responsible for assessing and monitoring whether any of our compensation policies and programs have the potential to encourage excessive risk-taking.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compensation committee held four meetings during 2025.</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was at any time one of our officers or employees. None of our executive officers serves as a member of the board of directors or compensation committee of any entity that has one or more executive officers serving as members of our Board or compensation committee.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Dr. Holmes, Dr. Marantz and Dr. Markels. Dr. Holmes is the chairman of our nominating and corporate governance committee. Our Board has determined that each member of our nominating and corporate governance committee is independent under the Nasdaq listing rules.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nominating and corporate governance committee oversees and assists our Board in reviewing and recommending nominees for election as directors.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nominating and corporate governance committee also:</w:t>
      </w:r>
    </w:p>
    <w:p>
      <w:pPr>
        <w:spacing w:after="0" w:line="207" w:lineRule="exact"/>
        <w:rPr>
          <w:sz w:val="20"/>
          <w:szCs w:val="20"/>
          <w:color w:val="auto"/>
        </w:rPr>
      </w:pPr>
    </w:p>
    <w:p>
      <w:pPr>
        <w:ind w:left="560" w:hanging="552"/>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and makes recommendations regarding the organization and governance of our Board and its committees;</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assesses the performance of members of our Board and makes recommendations regarding committee and chair assignments;</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desired qualifications for Board membership and conducts searches for potential members of our Board; and</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makes recommendations with regard to our corporate governance guidelines.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nominating and corporate governance committee held two meetings during 2025.</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229"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In its evaluation of director candidates, including the member or members of the Board eligible for reelection, our nominating and corporate governance committee will consider the following:</w:t>
      </w:r>
    </w:p>
    <w:p>
      <w:pPr>
        <w:spacing w:after="0" w:line="162" w:lineRule="exact"/>
        <w:rPr>
          <w:sz w:val="20"/>
          <w:szCs w:val="20"/>
          <w:color w:val="auto"/>
        </w:rPr>
      </w:pPr>
    </w:p>
    <w:p>
      <w:pPr>
        <w:ind w:left="560" w:hanging="552"/>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size and composition of our Board and the needs of the Board and its respective committees;</w:t>
      </w: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ind w:left="560" w:hanging="552"/>
        <w:spacing w:after="0" w:line="266"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such as character, integrity, judgment, diversity of experience, independence, area of expertise, corporate experience, length of service, potential conflicts of interest, other commitments, and the like. Our nominating and corporate governance committee evaluates these factors, among others, and does not assign any particular weighting or priority to any of these factors; and</w:t>
      </w:r>
    </w:p>
    <w:p>
      <w:pPr>
        <w:spacing w:after="0" w:line="17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our nominating and corporate governance committee may consider appropriate.</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also focuses on issues of diversity, such as diversity in experience, international perspective, background, expertise, skills, age, gender, and ethnicity. The nominating and corporate governance committee does not have a formal policy with respect to diversity; however, our Board and the nominating and corporate governance committee believe that it is essential that members of our Board represent diverse viewpoints. Any nominee for a position on the Board must satisfy the following minimum qualifications:</w:t>
      </w:r>
    </w:p>
    <w:p>
      <w:pPr>
        <w:spacing w:after="0" w:line="180" w:lineRule="exact"/>
        <w:rPr>
          <w:sz w:val="20"/>
          <w:szCs w:val="20"/>
          <w:color w:val="auto"/>
        </w:rPr>
      </w:pPr>
    </w:p>
    <w:p>
      <w:pPr>
        <w:ind w:left="560" w:hanging="552"/>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levels of personal and professional ethics and integrity;</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achievement and competence in the nominee’s field and the ability to exercise sound business judgment;</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that are complementary to those of the existing Board;</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assist and support management and make significant contributions to our success; and</w:t>
      </w:r>
    </w:p>
    <w:p>
      <w:pPr>
        <w:spacing w:after="0" w:line="225" w:lineRule="exact"/>
        <w:rPr>
          <w:rFonts w:ascii="Times New Roman" w:cs="Times New Roman" w:eastAsia="Times New Roman" w:hAnsi="Times New Roman"/>
          <w:sz w:val="18"/>
          <w:szCs w:val="18"/>
          <w:color w:val="auto"/>
        </w:rPr>
      </w:pPr>
    </w:p>
    <w:p>
      <w:pPr>
        <w:ind w:left="560" w:right="720" w:hanging="552"/>
        <w:spacing w:after="0" w:line="282" w:lineRule="auto"/>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the fiduciary responsibilities required of a member of the Board and the commitment of time and energy necessary to diligently carry out those responsibilities.</w:t>
      </w:r>
    </w:p>
    <w:p>
      <w:pPr>
        <w:spacing w:after="0" w:line="162"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If our nominating and corporate governance committee determines that an additional or replacement director is required,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180"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After completing its review and evaluation of director candidates, our nominating and corporate governance committee recommends to our full Board the director nominee. Our nominating and corporate governance committee has discretion to decide which individuals to recommend for nomination as directors and our Board has the final authority in determining the selection of director candidates for nomination to our Board.</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Requirements for Stockholder Recommendations of a Candidate to our Board</w:t>
      </w:r>
    </w:p>
    <w:p>
      <w:pPr>
        <w:spacing w:after="0" w:line="229" w:lineRule="exact"/>
        <w:rPr>
          <w:sz w:val="20"/>
          <w:szCs w:val="20"/>
          <w:color w:val="auto"/>
        </w:rPr>
      </w:pPr>
    </w:p>
    <w:p>
      <w:pPr>
        <w:jc w:val="both"/>
        <w:ind w:left="20" w:right="20"/>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recommendations for candidates to our Board from our stockholders. A stockholder that wishes to recommend a candidate for consideration by the committee as a potential candidate for director must direct the recommendation in writing to Arcturus Therapeutics Holdings Inc., 10285 Science Center Drive, San Diego, California 92121, Attention: Corporate Secretary, and must include the candidate’s name, home and business contact information, detailed biographical data, relevant qualifications, a signed letter from the candidate confirming willingness to serve, information regarding any relationships between us and the candidate and evidence of the recommending stockholder’s ownership of our stock. Such recommendation must also include a statement from the recommending stockholder in support of the candidate, particularly within the context of the criteria for Board membership, including character, integrity, judgment, diversity of experience, independence, area of expertise, corporate experience, potential conflicts of interest, other commitments and personal references. Our nominating and corporate governance committee will consider the recommendation but will not be obligated to take any further action with respect to the recommendation. See “</w:t>
      </w:r>
      <w:r>
        <w:rPr>
          <w:rFonts w:ascii="Times New Roman" w:cs="Times New Roman" w:eastAsia="Times New Roman" w:hAnsi="Times New Roman"/>
          <w:sz w:val="18"/>
          <w:szCs w:val="18"/>
          <w:i w:val="1"/>
          <w:iCs w:val="1"/>
          <w:color w:val="auto"/>
        </w:rPr>
        <w:t>Stockholder Proposals and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Nominations Not for Inclusion in Proxy Statement” </w:t>
      </w:r>
      <w:r>
        <w:rPr>
          <w:rFonts w:ascii="Times New Roman" w:cs="Times New Roman" w:eastAsia="Times New Roman" w:hAnsi="Times New Roman"/>
          <w:sz w:val="18"/>
          <w:szCs w:val="18"/>
          <w:color w:val="auto"/>
        </w:rPr>
        <w:t>elsewhere in this proxy statement for additional requirements on the timeliness for recommendations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candidates in connection with next year’s annual meeting.</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229" w:lineRule="exact"/>
        <w:rPr>
          <w:sz w:val="20"/>
          <w:szCs w:val="20"/>
          <w:color w:val="auto"/>
        </w:rPr>
      </w:pPr>
    </w:p>
    <w:p>
      <w:pPr>
        <w:jc w:val="both"/>
        <w:ind w:left="20" w:right="20"/>
        <w:spacing w:after="0" w:line="256" w:lineRule="auto"/>
        <w:rPr>
          <w:sz w:val="20"/>
          <w:szCs w:val="20"/>
          <w:color w:val="auto"/>
        </w:rPr>
      </w:pPr>
      <w:r>
        <w:rPr>
          <w:rFonts w:ascii="Times New Roman" w:cs="Times New Roman" w:eastAsia="Times New Roman" w:hAnsi="Times New Roman"/>
          <w:sz w:val="18"/>
          <w:szCs w:val="18"/>
          <w:color w:val="auto"/>
        </w:rPr>
        <w:t>In cases where stockholders or other interested parties wish to communicate directly with our non-management directors, messages can be sent to Arcturus Therapeutics Holdings Inc., 10285 Science Center Drive, San Diego, California 92121, Attention: Corporate Secretary. Our corporate secretary monitors these communications and will provide a summary of all received messages to the Board at each regularly scheduled meeting of the Board. Our Board generally meets on a quarterly basis. Where the nature of a communication warrants, our corporate secretary may determine, in his judgment, to obtain the more immediate attention of the appropriate committee of the Board, non-management directors, independent advisors or our management, as our corporate secretary considers appropriate.</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Our corporate secretary may decide in the exercise of his or her judgment whether a response to any stockholder or interested party communication is necessary.</w:t>
      </w:r>
    </w:p>
    <w:p>
      <w:pPr>
        <w:spacing w:after="0" w:line="162"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This procedure for stockholder and other interested party communications with the non-management directors is administered by our nominating and corporate governance committee. This procedure does not apply to (i) communications to non-management directors from our officers or directors who are stockholders or (ii) stockholder proposals submitted pursuant to Rule 14a-8 under the Exchange Act.</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w:t>
      </w:r>
    </w:p>
    <w:p>
      <w:pPr>
        <w:spacing w:after="0" w:line="229"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We do not have a formal policy regarding attendance by members of our Board at annual meetings of stockholders. We encourage, but do not require, directors to attend.</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The Company’s Code of Business Conduct and Ethics (the “Code of Conduct”) is applicable to all directors, officers and employees of the Company and its subsidiaries, including but not limited to the Company’s principal executive officer and principal financial officer.</w:t>
      </w:r>
    </w:p>
    <w:p>
      <w:pPr>
        <w:spacing w:after="0" w:line="162" w:lineRule="exact"/>
        <w:rPr>
          <w:sz w:val="20"/>
          <w:szCs w:val="20"/>
          <w:color w:val="auto"/>
        </w:rPr>
      </w:pPr>
    </w:p>
    <w:p>
      <w:pPr>
        <w:ind w:left="20" w:right="400"/>
        <w:spacing w:after="0" w:line="282" w:lineRule="auto"/>
        <w:rPr>
          <w:sz w:val="20"/>
          <w:szCs w:val="20"/>
          <w:color w:val="auto"/>
        </w:rPr>
      </w:pPr>
      <w:r>
        <w:rPr>
          <w:rFonts w:ascii="Times New Roman" w:cs="Times New Roman" w:eastAsia="Times New Roman" w:hAnsi="Times New Roman"/>
          <w:sz w:val="18"/>
          <w:szCs w:val="18"/>
          <w:color w:val="auto"/>
        </w:rPr>
        <w:t>A copy of the Code of Conduct on the corporate governance section of our website, which is located at https://ir.arcturusrx.com/static-files/d91a5916-5ba8-450b-9a87-11c2b87daf0a.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Arcturus, dedication to human capital management is a core component of our corporate governance and culture. Our comprehensive approach to human capital management is grounded in our core values of integrity, excellence, and respect for people, which reflect our commitment to creating a safe, supportive, ethical, and rewarding work environment.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had approximately 111 employees, of which 106 were full-time and five were part-time. Additionally, we are supported by contractors and scientific consultants in most areas of the business. None of our employees are represented by a labor union or covered by a collective bargaining agreement. We consider relations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Practices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currently have a formal Environmental, Social and Governance Policy (“ESG Policy”) in place, but plan to do so in the future. We anticipate that the ESG Policy, when adopted by the Board, will include “Human Capital Management” as a key component, and focus on various topics, which may or may not include (1) hiring, promotion and talent development; (2) health and safety; (3) compensation and benefits; and (4) diversity and inclusion. Although we have not adopted a formal ESG Policy, our management and leadership incorporates the foregoing and other environmental, social and governance considerations in all matters related to human capital and human capital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adopted a written insider trading policy (the “Insider Trading Policy”) governing the purchase, sale, and/or other dispositions of our securities by directors, officers, employees, and certain consultants and independent contractors, which the Company believes is reasonably designed to promote compliance with insider trading laws, rules and regulations, and applicable Nasdaq listing standards.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Officer and Director Hedging</w:t>
      </w:r>
    </w:p>
    <w:p>
      <w:pPr>
        <w:spacing w:after="0" w:line="22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Pursuant to the Insider Trading Policy, officers, employees, and certain consultants and independent contractors are prohibited from engaging in any hedging transactions (including transactions involving options, puts, calls, prepaid variable forward contracts, equity swaps, collars and exchange funds, or other derivatives) that are designed to hedge or speculate on any change in the market value of our securities.</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related footnotes show the compensation paid during the year ended December 31, 2025 to our non-employee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4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7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40" w:type="dxa"/>
            <w:vAlign w:val="bottom"/>
          </w:tcPr>
          <w:p>
            <w:pPr>
              <w:spacing w:after="0"/>
              <w:rPr>
                <w:sz w:val="19"/>
                <w:szCs w:val="19"/>
                <w:color w:val="auto"/>
              </w:rPr>
            </w:pPr>
          </w:p>
        </w:tc>
      </w:tr>
      <w:tr>
        <w:trPr>
          <w:trHeight w:val="23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Cash ($)</w:t>
            </w: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Awards ($) (1)</w:t>
            </w:r>
          </w:p>
        </w:tc>
        <w:tc>
          <w:tcPr>
            <w:tcW w:w="1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Compensation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Moncef Slaoui</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80,500</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154,000</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234,000</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James Barlow</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80,000</w:t>
            </w:r>
          </w:p>
        </w:tc>
        <w:tc>
          <w:tcPr>
            <w:tcW w:w="3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154,000</w:t>
            </w:r>
          </w:p>
        </w:tc>
        <w:tc>
          <w:tcPr>
            <w:tcW w:w="320" w:type="dxa"/>
            <w:vAlign w:val="bottom"/>
          </w:tcPr>
          <w:p>
            <w:pPr>
              <w:spacing w:after="0"/>
              <w:rPr>
                <w:sz w:val="18"/>
                <w:szCs w:val="18"/>
                <w:color w:val="auto"/>
              </w:rPr>
            </w:pPr>
          </w:p>
        </w:tc>
        <w:tc>
          <w:tcPr>
            <w:tcW w:w="17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234,000</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Peter Farrell</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67,500</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154,000</w:t>
            </w:r>
          </w:p>
        </w:tc>
        <w:tc>
          <w:tcPr>
            <w:tcW w:w="3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221,500</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Edward W. Holmes</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70,000</w:t>
            </w:r>
          </w:p>
        </w:tc>
        <w:tc>
          <w:tcPr>
            <w:tcW w:w="3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154,000</w:t>
            </w:r>
          </w:p>
        </w:tc>
        <w:tc>
          <w:tcPr>
            <w:tcW w:w="320" w:type="dxa"/>
            <w:vAlign w:val="bottom"/>
          </w:tcPr>
          <w:p>
            <w:pPr>
              <w:spacing w:after="0"/>
              <w:rPr>
                <w:sz w:val="18"/>
                <w:szCs w:val="18"/>
                <w:color w:val="auto"/>
              </w:rPr>
            </w:pPr>
          </w:p>
        </w:tc>
        <w:tc>
          <w:tcPr>
            <w:tcW w:w="17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224,000</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Magda Marquet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70,000</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154,000</w:t>
            </w:r>
          </w:p>
        </w:tc>
        <w:tc>
          <w:tcPr>
            <w:tcW w:w="3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224,000</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Jing L. Marantz</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65,000</w:t>
            </w:r>
          </w:p>
        </w:tc>
        <w:tc>
          <w:tcPr>
            <w:tcW w:w="3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154,000</w:t>
            </w:r>
          </w:p>
        </w:tc>
        <w:tc>
          <w:tcPr>
            <w:tcW w:w="320" w:type="dxa"/>
            <w:vAlign w:val="bottom"/>
          </w:tcPr>
          <w:p>
            <w:pPr>
              <w:spacing w:after="0"/>
              <w:rPr>
                <w:sz w:val="18"/>
                <w:szCs w:val="18"/>
                <w:color w:val="auto"/>
              </w:rPr>
            </w:pPr>
          </w:p>
        </w:tc>
        <w:tc>
          <w:tcPr>
            <w:tcW w:w="17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219,000</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John H. Markels</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65,000</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154,000</w:t>
            </w:r>
          </w:p>
        </w:tc>
        <w:tc>
          <w:tcPr>
            <w:tcW w:w="3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219,000</w:t>
            </w:r>
          </w:p>
        </w:tc>
      </w:tr>
    </w:tbl>
    <w:p>
      <w:pPr>
        <w:spacing w:after="0" w:line="196" w:lineRule="exact"/>
        <w:rPr>
          <w:sz w:val="20"/>
          <w:szCs w:val="20"/>
          <w:color w:val="auto"/>
        </w:rPr>
      </w:pPr>
    </w:p>
    <w:p>
      <w:pPr>
        <w:ind w:left="560" w:hanging="552"/>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annual option awards, which vest as set forth below in “</w:t>
      </w:r>
      <w:r>
        <w:rPr>
          <w:rFonts w:ascii="Times New Roman" w:cs="Times New Roman" w:eastAsia="Times New Roman" w:hAnsi="Times New Roman"/>
          <w:sz w:val="18"/>
          <w:szCs w:val="18"/>
          <w:i w:val="1"/>
          <w:iCs w:val="1"/>
          <w:color w:val="auto"/>
        </w:rPr>
        <w:t>Annual Equity Grants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Narrative to Director Compensation Table</w:t>
      </w:r>
    </w:p>
    <w:p>
      <w:pPr>
        <w:spacing w:after="0" w:line="229"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Our director compensation policy is intended to provide a total compensation package that enables us to attract and retain qualified and experienced individuals to serve as directors and to align our directors’ interests with those of our stockholders.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Annual Cash Compensation</w:t>
      </w:r>
    </w:p>
    <w:p>
      <w:pPr>
        <w:spacing w:after="0" w:line="227"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auto"/>
        </w:rPr>
        <w:t>The annual retainers payable to non-employee directors for service on the Board and its committees are (i) $50,000 for service on the Board, (ii) $10,000 for service on the compensation committee, (iii) $5,000 for service on the nominating and corporate governance committee, (iv) $10,000 for service on the audit committee, (v) an additional $35,000 for the Chairman of the Board, (vi) an additional $10,000 for the chairman of the compensation committee, (vii) an additional $5,000 for the chairman of the nominating and corporate governance committee, and (viii) an additional $10,000 for the chairman of the audit committee.</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Inaugural Equity Grants</w:t>
      </w:r>
    </w:p>
    <w:p>
      <w:pPr>
        <w:spacing w:after="0" w:line="227"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Each non-employee director who joins the board is granted an equity award of an option to purchase 15,000 shares of our common stock, which vests monthly over a two-year period from the date of grant. This is in addition to the Annual Equity Grant, which is prorated if service is less than one year, as set forth below in “</w:t>
      </w:r>
      <w:r>
        <w:rPr>
          <w:rFonts w:ascii="Times New Roman" w:cs="Times New Roman" w:eastAsia="Times New Roman" w:hAnsi="Times New Roman"/>
          <w:sz w:val="18"/>
          <w:szCs w:val="18"/>
          <w:i w:val="1"/>
          <w:iCs w:val="1"/>
          <w:color w:val="auto"/>
        </w:rPr>
        <w:t>Annual Equity Grants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Annual Equity Grants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non-employee director was granted an annual equity award of an option to purchase 15,000 shares of our common stock, which vests monthly over a one-year period from the date of grant. New directors are granted an annual equity grant that is prorated based on the number of days until the next expected Annual Shareholder meeting to align with days of service in the year of grant.</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PROPOSAL NUMBER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is currently composed of eight directors. At the annual meeting, each director will be elected to our Board by the holders of our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director’s term continues until the election and qualification of his or her successor, or such director’s earlier death, resignation or removal.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recommended for nomination and our Board nominated each of Dr. Peter Farrell, Joseph E. Payne, James Barlow, Dr. Edward W. Holmes, Dr. Magda Marquet, Dr. Jing L. Marantz, Dr. John H. Markels, and Dr. Moncef Slaoui for election as a director at the annual meeting. If elected, each will serve as a director until our next annual meeting and until his or her respective successor is duly elected and qualified. For more information concerning each of the nominees, please see the section entitled “</w:t>
      </w:r>
      <w:r>
        <w:rPr>
          <w:rFonts w:ascii="Times New Roman" w:cs="Times New Roman" w:eastAsia="Times New Roman" w:hAnsi="Times New Roman"/>
          <w:sz w:val="18"/>
          <w:szCs w:val="18"/>
          <w:i w:val="1"/>
          <w:iCs w:val="1"/>
          <w:color w:val="auto"/>
        </w:rPr>
        <w:t>Board of Directors and Corporate Governance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nominees has agreed to serve if elected, and management has no reason to believe that he or she will be unavailable to serve. In the event he or she is unable or declines to serve as a director at the time of the annual meeting, proxies will be voted for any nominee who may be proposed by the nominating and corporate governance committee and designated by the present Board to fill the vacancy.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directors elected to the Board will be elected by a plurality of the votes cast by the holders of shares present in person (including virtually) or represented by proxy and entitled to vote on the election of a director. In other words, if each of the nominees receives a single “FOR” vote, he or she will be elected as a director. Shares represented by executed proxies will be voted, if authority to do so is not expressly withheld, to elect each of Dr. Peter Farrell, Joseph E. Payne, James Barlow, Dr. Edward W. Holmes, Dr. Magda Marquet, Dr. Jing L. Marantz, Dr. John H. Markels, and Dr. Moncef Slaoui as a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recommends a vote “FOR” the election to the Board of each of Dr. Peter Farrell, Joseph E. Payne, James Barlow, Dr. Edward 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Holmes, Dr. Magda Marquet, Dr. Jing L. Marantz, Dr. John H. Markels, and Dr. Moncef Slaoui as a director.</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92" w:right="3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PROPOSAL NUMBER 2</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TO APPROVE, BY NON-BINDING ADVISORY VOTE, THE RESOLUTION APPROVING THE COMPANY’S NAMED EXECUTIVE OFFICER COMPENSATION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Section 14A of the Exchange Act and the related rules of the SEC, the Company is asking its stockholders to vote to approve, on an advisory (non-binding) basis, the compensation of our named executive officers as disclosed in this proxy statement. This proposal, commonly known as a “say-on-pay” proposal, gives our stockholders the opportunity to express their views on the compensation of our named executive officers. This vote is not intended to address any specific item of compensation, but rather the overall compensation of our named executive officers and the principles, policies and practices described in this proxy statement. Accordingly, the following advisory resolution is submitted for stockholder vote at the annual meeting: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RESOLVED, that the stockholders of Arcturus Therapeutics Holdings Inc. (the “Company”) approve, on an advisory basis, the compensation of the Company’s named executive officers as disclosed in this proxy statement pursuant to the compensation disclosure rules of the Securities and Exchange Commission, including the compensation tables regarding named executive officer compensation and the narrative disclosures that accompany the compensation tables.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“say-on-pay” vote is non-binding, the board of directors and the compensation committee will carefully review and consider the voting results when evaluating our named executive officer compensation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Say on Pay Proposal requires the affirmative “FOR” vote of a majority of the votes cast on the proposal at the annual meeting. You may vote “FOR,” “AGAINST,” or “ABSTAIN” on this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a vote “FOR” the approval of the non-binding advisory resolution approving the Company’s Named Executive Officer compensation.</w:t>
      </w: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NUMBER 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207"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Our audit committee has appointed Deloitte as the independent registered public accounting firm to audit our consolidated financial statements for the year ending December 31, 2026.</w:t>
      </w:r>
    </w:p>
    <w:p>
      <w:pPr>
        <w:spacing w:after="0" w:line="162" w:lineRule="exact"/>
        <w:rPr>
          <w:sz w:val="20"/>
          <w:szCs w:val="20"/>
          <w:color w:val="auto"/>
        </w:rPr>
      </w:pPr>
    </w:p>
    <w:p>
      <w:pPr>
        <w:jc w:val="both"/>
        <w:ind w:left="20" w:right="20"/>
        <w:spacing w:after="0" w:line="256" w:lineRule="auto"/>
        <w:rPr>
          <w:sz w:val="20"/>
          <w:szCs w:val="20"/>
          <w:color w:val="auto"/>
        </w:rPr>
      </w:pPr>
      <w:r>
        <w:rPr>
          <w:rFonts w:ascii="Times New Roman" w:cs="Times New Roman" w:eastAsia="Times New Roman" w:hAnsi="Times New Roman"/>
          <w:sz w:val="18"/>
          <w:szCs w:val="18"/>
          <w:color w:val="auto"/>
        </w:rPr>
        <w:t>Notwithstanding such appointment and even if our stockholders ratify such appointment, our audit committee, in its discretion, may appoint another independent registered public accounting firm at any time during the year if it believes that such a change would be in the best interests of Arcturus and its stockholders. Our audit committee is submitting the appointment of Deloitte to our stockholders because we value our stockholders’ views on such appointment and as a matter of good corporate governance. If the appointment is not ratified by our stockholders, our audit committee may consider appointing another independent registered public accounting firm. A representative of Deloitte is expected to be present virtually at the annual meeting, and will be available to respond to appropriate questions following the virtual annual meeting, but is not expected to make a statement.</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Fees Paid to Independent Registered Public Accounting Firm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billed to us and our subsidiaries by Deloitte, an independent registered public accounting firm, which served as our principal accountant for the year ended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3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989</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 fees(3)</w:t>
            </w:r>
          </w:p>
        </w:tc>
        <w:tc>
          <w:tcPr>
            <w:tcW w:w="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1,091</w:t>
            </w:r>
          </w:p>
        </w:tc>
        <w:tc>
          <w:tcPr>
            <w:tcW w:w="3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w:t>
            </w:r>
          </w:p>
        </w:tc>
      </w:tr>
      <w:tr>
        <w:trPr>
          <w:trHeight w:val="20"/>
        </w:trPr>
        <w:tc>
          <w:tcPr>
            <w:tcW w:w="7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60" w:hanging="552"/>
        <w:spacing w:after="0" w:line="266" w:lineRule="auto"/>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for professional services rendered by our principal accountant in connection with the audit of our consolidated annual financial statements and services that would normally be provided by our principal accountant in connection with statutory and regulatory filings or engagements.</w:t>
      </w:r>
    </w:p>
    <w:p>
      <w:pPr>
        <w:spacing w:after="0" w:line="17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are fees for services rendered by our respective principal accountants in connection with tax compliance, tax planning and tax advice.</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relates to services rendered in connection with Registration Statements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billed to us and our subsidiaries by Ernst &amp; Young LLP (“E&amp;Y”), our former independent registered public accounting firm, for the years ended December 31, 2025 and 2025. E&amp;Y served as our principal accountant for the year ended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3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 fees(3)</w:t>
            </w:r>
          </w:p>
        </w:tc>
        <w:tc>
          <w:tcPr>
            <w:tcW w:w="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7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60" w:hanging="552"/>
        <w:spacing w:after="0" w:line="266" w:lineRule="auto"/>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for professional services rendered by our principal accountant in connection with the audit of our consolidated annual financial statements and services that would normally be provided by our principal accountant in connection with statutory and regulatory filings or engagements.</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ind w:left="560" w:hanging="552"/>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are fees for services rendered by our respective principal accountants in connection with tax compliance, tax planning and tax advice.</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relates to services rendered in connection with Registration Statements on Form S-3 in 2025 and Form S-8 in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22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In 2025, there were no other professional services provided by Deloitte or E&amp;Y that would have required our audit committee to consider their compatibility with maintaining the independence of Deloitte or E&amp;Y.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Change of Independent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5, 2024, the audit committee authorized the dismissal of E&amp;Y as the Company’s independent registered public accounting firm, and E&amp;Y was dismissed as the Company’s independent registered public accounting firm as of such date. E&amp;Y served as the Company’s independent registered public accounting firm for the fiscal years ended December 31, 2023 and 2022 and the subsequent periods through April 5, 2024. E&amp;Y’s report on the Company’s consolidated financial statements as of and for the years ended December 31, 2023 and 2022 did not contain an adverse opinion or disclaimer of opinion, and were not qualified or modified as to uncertainty, audit scope or accounting principles.</w:t>
      </w:r>
    </w:p>
    <w:p>
      <w:pPr>
        <w:spacing w:after="0" w:line="183"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During the Company’s fiscal years ended December 31, 2023 and 2022 and the subsequent interim period through April 5, 2024: (i) there were no disagreements between the Company and E&amp;Y on any matters of accounting principles or practices, financial statement disclosure, or auditing scope or procedure, which disagreements, if not resolved to the satisfaction of E&amp;Y, would have caused them to make reference to the subject matter of the disagreements in connection with their opinion on the Company’s consolidated financial statements; and (ii) there were no “reportable events” (as described in Item 304(a)(1)(v) of Regulation S-K).</w:t>
      </w:r>
    </w:p>
    <w:p>
      <w:pPr>
        <w:spacing w:after="0" w:line="183"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Effective April 5, 2024, the audit committee authorized the appointment of Deloitte as the Company’s new independent registered public accounting firm for the fiscal year ending December 31, 2024, and Deloitte was appointed as the Company’s independent registered public accounting firm. The decision to change the Company's principal independent accountants was the result of a competitive process undertaken by management and the audit committee as well as the Company's focus on reducing its general and administrative expenses. During the Company’s fiscal years ended December 31, 2023 and 2022, and the subsequent interim period through April 5, 2024, neither the Company nor anyone acting on behalf of the Company had consulted Deloitte regarding either: (i) the application of accounting principles to a specified transaction, either completed or proposed, or the type of audit opinion that might be rendered on the Company’s financial statements, nor did Deloitte provide a written report or oral advice to the Company that Deloitte concluded was an important factor considered by the Company in reaching a decision as to the accounting, auditing or financial reporting issues; or (ii) any matter that was either the subject of a “disagreement” (as defined in Item 304(a)(1)(iv) of Regulation S-K and the related instructions) or a “reportable event” (as described in Item 304(a)(1)(v) of Regulation S-K).</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2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Ratification of the appointment of Deloitte as our independent registered public accounting firm for the year ending December 31, 2026 requires the affirmative “FOR” vote of a majority of the votes cast on the proposal at the annual meeting. You may vote “FOR,” “AGAINST,” or “ABSTAIN” on this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a vote “FOR” the ratification of the appointment of Deloitte as our independent registered public accounting firm for the year ending December 31, 2026.</w:t>
      </w:r>
    </w:p>
    <w:p>
      <w:pPr>
        <w:spacing w:after="0" w:line="2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92" w:right="35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is a committee of our Board comprised solely of independent directors as required by the listing standards of Nasdaq and rules and regulations of the SEC. The audit committee operates under a written charter approved by our Board, which is available on the corporate governance section of our web site at http://ir.arcturusrx.com/governance-highlights. The audit committee held four meetings in 2025. The meetings of the audit committee are designed to facilitate and encourage communication among the audit committee, us and our independent auditor. The composition of the audit committee, the attributes of its members and the responsibilities of the audit committee, as reflected in its charter, are intended to comply with applicable requirements for corporate audit committees. The audit committee reviews and assesses the adequacy of its charter and its performance on an annual basis.</w:t>
      </w:r>
    </w:p>
    <w:p>
      <w:pPr>
        <w:spacing w:after="0" w:line="189" w:lineRule="exact"/>
        <w:rPr>
          <w:sz w:val="20"/>
          <w:szCs w:val="20"/>
          <w:color w:val="auto"/>
        </w:rPr>
      </w:pPr>
    </w:p>
    <w:p>
      <w:pPr>
        <w:jc w:val="both"/>
        <w:ind w:left="20" w:right="20"/>
        <w:spacing w:after="0" w:line="255" w:lineRule="auto"/>
        <w:rPr>
          <w:sz w:val="20"/>
          <w:szCs w:val="20"/>
          <w:color w:val="auto"/>
        </w:rPr>
      </w:pPr>
      <w:r>
        <w:rPr>
          <w:rFonts w:ascii="Times New Roman" w:cs="Times New Roman" w:eastAsia="Times New Roman" w:hAnsi="Times New Roman"/>
          <w:sz w:val="18"/>
          <w:szCs w:val="18"/>
          <w:color w:val="auto"/>
        </w:rPr>
        <w:t>With respect to our financial reporting process, our management is responsible for (i) establishing and maintaining internal controls and (ii) preparing our consolidated financial statements. Arcturus’ independent registered public accounting firm is responsible for performing an independent audit of Arcturus’ consolidated financial statements in accordance with the auditing standards of the Public Company Accounting Oversight Board (United States), or PCAOB, and to issue a report thereon. It is the responsibility of the audit committee to oversee these activities. Specifically, the audit committee is responsible for the appointment, compensation, and general oversight of the external auditor, as well as fee negotiations with the external auditor. It is not the responsibility of the audit committee to prepare Arcturus financial statements. These are the fundamental responsibilities of management. In the performance of its oversight function, the audit committee has:</w:t>
      </w:r>
    </w:p>
    <w:p>
      <w:pPr>
        <w:spacing w:after="0" w:line="189" w:lineRule="exact"/>
        <w:rPr>
          <w:sz w:val="20"/>
          <w:szCs w:val="20"/>
          <w:color w:val="auto"/>
        </w:rPr>
      </w:pPr>
    </w:p>
    <w:p>
      <w:pPr>
        <w:ind w:left="560" w:hanging="552"/>
        <w:spacing w:after="0"/>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for fiscal year 2025 with the management of Arcturus;</w:t>
      </w:r>
    </w:p>
    <w:p>
      <w:pPr>
        <w:spacing w:after="0" w:line="225" w:lineRule="exact"/>
        <w:rPr>
          <w:rFonts w:ascii="Times New Roman" w:cs="Times New Roman" w:eastAsia="Times New Roman" w:hAnsi="Times New Roman"/>
          <w:sz w:val="18"/>
          <w:szCs w:val="18"/>
          <w:color w:val="auto"/>
        </w:rPr>
      </w:pPr>
    </w:p>
    <w:p>
      <w:pPr>
        <w:ind w:left="560" w:right="440" w:hanging="552"/>
        <w:spacing w:after="0" w:line="266" w:lineRule="auto"/>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Arcturus’ independent registered public accounting firm for fiscal year 2025, the matters required to be discussed by Auditing Standard No. 16, Communications with Audit Committees, as amended (AICPA, Professional Standards, Vol. 1, section 380), and as adopted by the PCAOB in Rule 3200T; and</w:t>
      </w:r>
    </w:p>
    <w:p>
      <w:pPr>
        <w:spacing w:after="0" w:line="175" w:lineRule="exact"/>
        <w:rPr>
          <w:rFonts w:ascii="Times New Roman" w:cs="Times New Roman" w:eastAsia="Times New Roman" w:hAnsi="Times New Roman"/>
          <w:sz w:val="18"/>
          <w:szCs w:val="18"/>
          <w:color w:val="auto"/>
        </w:rPr>
      </w:pPr>
    </w:p>
    <w:p>
      <w:pPr>
        <w:ind w:left="560" w:right="980" w:hanging="552"/>
        <w:spacing w:after="0" w:line="282" w:lineRule="auto"/>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Deloitte as required by applicable requirements of the PCAOB regarding Deloitte’s communications with the audit committee concerning independence, and has discussed with Deloitte its independence.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 of the audited financial statements and the various discussions with management and Deloitte, the audit committee recommended to our Board that the audited financial statements be included in our annual report on Form 10-K for the fiscal year ended December 31, 2025 for filing with the SEC.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Barlow</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 Edward Holmes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 John H. Markels</w:t>
      </w:r>
    </w:p>
    <w:p>
      <w:pPr>
        <w:spacing w:after="0" w:line="205"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i w:val="1"/>
          <w:iCs w:val="1"/>
          <w:color w:val="auto"/>
        </w:rPr>
        <w:t>This report of the audit committee shall not be deemed to be “soliciting material” or to be “filed” with the SEC or subject to Regulation 14A promulgated by the SEC or Section 18 of the Exchange Act, and shall not be deemed incorporated by reference into any prior or subsequent filing by Arcturus under the Securities Act of 1933, as amended (the “Securities Act”), or the Exchange Act, except to the extent Arcturus specifically requests that the information be treated as “soliciting material” or specifically incorporates it by reference.</w:t>
      </w:r>
    </w:p>
    <w:p>
      <w:pPr>
        <w:spacing w:after="0" w:line="2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names of our executive officers, their ages, their positions with us and other biographical information are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0" w:type="dxa"/>
            <w:vAlign w:val="bottom"/>
          </w:tcPr>
          <w:p>
            <w:pPr>
              <w:spacing w:after="0"/>
              <w:rPr>
                <w:sz w:val="20"/>
                <w:szCs w:val="20"/>
                <w:color w:val="auto"/>
              </w:rPr>
            </w:pPr>
          </w:p>
        </w:tc>
        <w:tc>
          <w:tcPr>
            <w:tcW w:w="744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09"/>
        </w:trPr>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E. Payne</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tcBorders>
              <w:top w:val="single" w:sz="8" w:color="CCEEFF"/>
            </w:tcBorders>
            <w:shd w:val="clear" w:color="auto" w:fill="CCEEFF"/>
          </w:tcPr>
          <w:p>
            <w:pPr>
              <w:spacing w:after="0"/>
              <w:rPr>
                <w:sz w:val="18"/>
                <w:szCs w:val="18"/>
                <w:color w:val="auto"/>
              </w:rPr>
            </w:pPr>
          </w:p>
        </w:tc>
        <w:tc>
          <w:tcPr>
            <w:tcW w:w="7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Joe Roberts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7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Interim Principal Financial and Accounting Officer, Controller</w:t>
            </w: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Padmanabh Chivukula</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7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Scientific Officer and Chief Operating Officer</w:t>
            </w: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Lance Kurata</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7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Biographical information for Joseph E. Payne is set forth above in the section titled “</w:t>
      </w:r>
      <w:r>
        <w:rPr>
          <w:rFonts w:ascii="Times New Roman" w:cs="Times New Roman" w:eastAsia="Times New Roman" w:hAnsi="Times New Roman"/>
          <w:sz w:val="18"/>
          <w:szCs w:val="18"/>
          <w:i w:val="1"/>
          <w:iCs w:val="1"/>
          <w:color w:val="auto"/>
        </w:rPr>
        <w:t>Board of Directors and Corporate Governance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20" w:right="20"/>
        <w:spacing w:after="0" w:line="262" w:lineRule="auto"/>
        <w:rPr>
          <w:sz w:val="20"/>
          <w:szCs w:val="20"/>
          <w:color w:val="auto"/>
        </w:rPr>
      </w:pPr>
      <w:r>
        <w:rPr>
          <w:rFonts w:ascii="Times New Roman" w:cs="Times New Roman" w:eastAsia="Times New Roman" w:hAnsi="Times New Roman"/>
          <w:sz w:val="18"/>
          <w:szCs w:val="18"/>
          <w:b w:val="1"/>
          <w:bCs w:val="1"/>
          <w:color w:val="auto"/>
        </w:rPr>
        <w:t>Joe Roberts</w:t>
      </w:r>
      <w:r>
        <w:rPr>
          <w:rFonts w:ascii="Times New Roman" w:cs="Times New Roman" w:eastAsia="Times New Roman" w:hAnsi="Times New Roman"/>
          <w:sz w:val="18"/>
          <w:szCs w:val="18"/>
          <w:color w:val="auto"/>
        </w:rPr>
        <w:t>, has served as our interim principal financial officer and interim principal accounting officer since December 2025. Mr. Roberts joined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July 2018 and has held roles of increasing seniority until his appointment as Controller in March 2024. Mr. Roberts was previously a financial analyst with Qualcomm, and an auditor with each of Ernst &amp; Young and Grant Thornton. He received his professional certificate in accounting from the University of California San Diego and his bachelor of arts from the University of California Santa Barbara.</w:t>
      </w:r>
    </w:p>
    <w:p>
      <w:pPr>
        <w:spacing w:after="0" w:line="176" w:lineRule="exact"/>
        <w:rPr>
          <w:sz w:val="20"/>
          <w:szCs w:val="20"/>
          <w:color w:val="auto"/>
        </w:rPr>
      </w:pPr>
    </w:p>
    <w:p>
      <w:pPr>
        <w:jc w:val="both"/>
        <w:ind w:left="20"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Dr. Padmanabh Chivukula </w:t>
      </w:r>
      <w:r>
        <w:rPr>
          <w:rFonts w:ascii="Times New Roman" w:cs="Times New Roman" w:eastAsia="Times New Roman" w:hAnsi="Times New Roman"/>
          <w:sz w:val="18"/>
          <w:szCs w:val="18"/>
          <w:color w:val="auto"/>
        </w:rPr>
        <w:t>has served as our Chief Scientific Officer and Chief Operating Officer since 2013. Dr. Chivukula has an exceptional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technically solid foundation in nanoparticle technology. From 2008 until February 2013, Dr. Chivukula was employed by Nitto Denko Corporation, where his titles included Group Leader and Chief Scientist. Dr. Chivukula brings over 15 years of experience in drug delivery and therapeutic drug development, including leading the polymeric RNAi research department at Nitto. Dr. Chivukula has a Ph.D. in Pharmaceutical Chemistry from the University of Utah where he specialized in nano particle technology.</w:t>
      </w:r>
    </w:p>
    <w:p>
      <w:pPr>
        <w:spacing w:after="0" w:line="179" w:lineRule="exact"/>
        <w:rPr>
          <w:sz w:val="20"/>
          <w:szCs w:val="20"/>
          <w:color w:val="auto"/>
        </w:rPr>
      </w:pPr>
    </w:p>
    <w:p>
      <w:pPr>
        <w:jc w:val="both"/>
        <w:ind w:left="20"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Lance Kurata </w:t>
      </w:r>
      <w:r>
        <w:rPr>
          <w:rFonts w:ascii="Times New Roman" w:cs="Times New Roman" w:eastAsia="Times New Roman" w:hAnsi="Times New Roman"/>
          <w:sz w:val="18"/>
          <w:szCs w:val="18"/>
          <w:color w:val="auto"/>
        </w:rPr>
        <w:t>has served as our Chief Legal Officer since August 2020. Prior to joining Arcturus, Mr. Kurata was Partner and Chair of West Coast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Transactions at Mintz, Levin, Cohn, Ferris, Glovsky and Popeo, PC. From 2002 to 2006, he was a partner at Fish &amp; Richardson, where he was a member of the corporate group and nationwide head of the technology transactions practice. From 1996 until 2002, Mr. Kurata practiced corporate law at Brobeck Phleger &amp; Harrison, specializing in strategic collaborations, public and private financings, mergers and acquisitions and corporate governance. Mr. Kurata obtained his B.A. from University of California, Los Angeles and he earned his J.D. from Stanford Law School.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Discussion and Analysis is designed to provide our stockholders with an understanding of our executive compensation philosophy and decision-making process. It discusses the principles underlying the structure of the compensation arrangements for our Chief Executive Officer, former Chief Financial Officer, Interim Principal Financial and Accounting Officer, and our other two most highly compensated executive officers who were serving as executive officers during 2025 (the “NEOs”). Unless noted otherwise, any reference within the Compensation Discussion and Analysis to decisions made by the board of directors refers to the decisions made by the independent members of the board of directors only. This Compensation Discussion and Analysis primarily focuses on the compensation of our NEOs, as identified in the table below. There is further focus on the ongoing named executive officers, which excludes our former CFO Andy Sassine who was no longer employed by the Company at the end of 2025.</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580" w:type="dxa"/>
            <w:vAlign w:val="bottom"/>
          </w:tcPr>
          <w:p>
            <w:pPr>
              <w:ind w:left="44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E. Payne</w:t>
            </w:r>
          </w:p>
        </w:tc>
        <w:tc>
          <w:tcPr>
            <w:tcW w:w="85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Dr. Padmanabh Chivukula</w:t>
            </w:r>
          </w:p>
        </w:tc>
        <w:tc>
          <w:tcPr>
            <w:tcW w:w="8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Chief Scientific Officer, Chief Operating Officer</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Andy Sassine</w:t>
            </w:r>
          </w:p>
        </w:tc>
        <w:tc>
          <w:tcPr>
            <w:tcW w:w="85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Former Chief Financial Officer</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Lance Kurata</w:t>
            </w:r>
          </w:p>
        </w:tc>
        <w:tc>
          <w:tcPr>
            <w:tcW w:w="8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16"/>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Joseph Roberts</w:t>
            </w:r>
          </w:p>
        </w:tc>
        <w:tc>
          <w:tcPr>
            <w:tcW w:w="858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8"/>
                <w:szCs w:val="18"/>
                <w:color w:val="auto"/>
              </w:rPr>
              <w:t>Interim Principal Financial and Accounting Officer; Controller</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compensation programs for the NEOs are determined and approved by our board of directors, acting at the recommendation of the compensation committee. The compensation committee takes into account Mr. Payne’s recommendations regarding the compensation for our executive officers, although Mr. Payne does not participate in the deliberations or determinations of his own compensation. The other NEOs do not have any role in determining or recommending the form or amount of compensation paid to any of our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Performance Highlights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the appropriate level of compensation for our executive officers, we take into account the overall performance of the Company against the specific annual corporate objectives established by the board of directors at the beginning of that year, as well as qualitative considerations related to drug discovery and development, and financial activities (including securing new financing).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biotechnology industry is characterized by stock price volatility and, as a result, our focus on pay-for-performance is based on an assessment of the level of the Company’s achievement against those specific objectives. For more information, see the section titled “Company Performance Objectives” in this proxy statement. In addition to considering the Company’s accomplishments and progress each year, we also consider the long-term performance of the executive leadership team. We believe that the skills, creativity and dedication of executive leadership have led to significant accomplishments during fiscal year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CF program, we enrolled and completed dosing in the three initially planned cohorts of our Phase 2 multiple ascending dose study of ARCT-032, confirming the safety and tolerability of ARCT-032 dosed daily for four weeks. This study was initiated in December 2024 and was designed to identify a safe and effective dose regimen in those with Class I (null) CFTR mutations and people with CF who do not benefit from CFTR modulators. In the study, six CF adults with Class I CFTR mutations inhaled 10 mg doses of ARCT-032 daily over 28 days. Interim results released in October 2025 demonstrated that the treatment was generally safe and well tolerated.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OTC program, we advanced a Phase 2 double-blind multiple-dose study of ARCT-810. Five patients with OTC deficiency completed dosing.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Commercial sales of KOSTAIVE began in October 2024 in Japan by Meiji Seika Pharma, Ltd. (“Meiji”), CSL Seqirus’ exclusive partner in Japan, marking the first commercial sales of an Arcturus-developed product. In September 2025, Meiji launched a new presentation of KOSTAIVE in Japan. The product is a 2-dose vial lyophilized presentation incorporating the updated XEC variant strain. Approval for offshore manufacturing of the 2-dose vial lyophilized presentation was granted by Japan in August 2025, followed by approval for onshore manufacturing in January 2026. KOSTAIVE was approved by the European Commission (EC) in February 2025 and by the United Kingdom in January 2026, providing further validation of our platform by additional significant regulatory authorities.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2024, we initiated dosing of an sa-mRNA vaccine candidate against pandemic avian influenza (bird flu) in a Phase 1 trial funded by the Biomedical Advanced Research and Development Authority (“BARDA”). The study results were received in the second half of 2025, indicating a favorable tolerability and safety profile and the ability to induce a robust and durable humoral immune response in young and older adults.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improved our platform technologies and advanced our early-stage research activities and manufacturing process development and operations. We conducted exploratory platform development activities, including the evaluation of genome editing, and new targeting approaches, where our LUNAR and STARR platforms could be useful for identification and development of additional products for our portfolio.</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jc w:val="both"/>
        <w:spacing w:after="0" w:line="256" w:lineRule="auto"/>
        <w:rPr>
          <w:sz w:val="20"/>
          <w:szCs w:val="20"/>
          <w:color w:val="auto"/>
        </w:rPr>
      </w:pPr>
      <w:r>
        <w:rPr>
          <w:rFonts w:ascii="Times New Roman" w:cs="Times New Roman" w:eastAsia="Times New Roman" w:hAnsi="Times New Roman"/>
          <w:sz w:val="18"/>
          <w:szCs w:val="18"/>
          <w:color w:val="auto"/>
        </w:rPr>
        <w:t>The above accomplishments, milestones and advancements, together with those achieved by the Company since inception, have directly contributed to: (1) the development, launch and advancement of a significant drug candidate pipeline; (2) non-clinical and clinical development, and commercialization, of the Company’s LUNAR-COVID program; (3) the development and launch of an organization and infrastructure designed to execute on the Company’s mission of becoming a leading RNA medicines company; and (4) the establishment of a collaboration that has provided significant economic and clinical benefits. We believe that the compensation programs and awards to our NEOs should be evaluated within the context of these significant accomplishments and performance over a sustained period of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Program Objectives and Philosophy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continue the execution and growth of our business as described above, we believe that it is vital that we continue to retain and attract experienced and skilled senior leadership by offering competitive base compensation and benefits, significant performance-based incentives, and the potential for long-term equity compensation. Our goal is to structure a meaningful portion of executive compensation in a manner that only has value if management is successful in building significant long-term value for our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current executive compensation programs are intended to achieve the following four fundamental goals and objectives: (1) to incentivize and reward sustained long-term performance by aligning significant elements of executive compensation with our stockholders’ interests, (2) to attract and retain an experienced, highly qualified and motivated executive management team to lead our business, (3) to provide economic rewards for achieving high levels of our performance and individual contribution, and (4) to pay compensation that is competitive, taking into account the experience, skills and performance of the executives required to build and maintain the organization necessary to support our mission to become a leading RNA medicines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structuring our executive compensation programs to achieve our goals and objectives, we are guided by the following philosophies:</w:t>
      </w:r>
    </w:p>
    <w:p>
      <w:pPr>
        <w:spacing w:after="0" w:line="225" w:lineRule="exact"/>
        <w:rPr>
          <w:sz w:val="20"/>
          <w:szCs w:val="20"/>
          <w:color w:val="auto"/>
        </w:rPr>
      </w:pPr>
    </w:p>
    <w:p>
      <w:pPr>
        <w:ind w:left="560" w:hanging="552"/>
        <w:spacing w:after="0" w:line="282" w:lineRule="auto"/>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Alignment with Stockholders’ Interests. Our compensation model should be designed to align the economic interests of our executives with those of our stockholders.</w:t>
      </w:r>
    </w:p>
    <w:p>
      <w:pPr>
        <w:spacing w:after="0" w:line="161" w:lineRule="exact"/>
        <w:rPr>
          <w:rFonts w:ascii="Times New Roman" w:cs="Times New Roman" w:eastAsia="Times New Roman" w:hAnsi="Times New Roman"/>
          <w:sz w:val="18"/>
          <w:szCs w:val="18"/>
          <w:color w:val="auto"/>
        </w:rPr>
      </w:pPr>
    </w:p>
    <w:p>
      <w:pPr>
        <w:jc w:val="both"/>
        <w:ind w:left="560" w:hanging="552"/>
        <w:spacing w:after="0" w:line="261" w:lineRule="auto"/>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for Performance. Our compensation model should deliver compensation at or above industry market levels for exceptional performance and deliver compensation below the market levels of our industry for years in which the Company does not perform well. Further, all of the time-based equity awards are granted as stock options, which we believe are also inherently performance based as they only provide value to the executive if stockholders realize a positive return on their investment.</w:t>
      </w:r>
    </w:p>
    <w:p>
      <w:pPr>
        <w:spacing w:after="0" w:line="179"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Rewards Program. The total compensation program must balance pay for performance elements with selected static non-performance based elements in order to create a total rewards program that is competitive and will help us attract and retain highly qualified and motivated executives.</w:t>
      </w:r>
    </w:p>
    <w:p>
      <w:pPr>
        <w:spacing w:after="0" w:line="161"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Approach. The level of compensation provided to executives must take into account each executive’s role, experience, tenure, performance and expected contributions to our future success.</w:t>
      </w:r>
    </w:p>
    <w:p>
      <w:pPr>
        <w:spacing w:after="0" w:line="161"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Achievement of Business Goals. The compensation program should be structured so that executives are incentivized to achieve our short-and long-term goals that are viewed as fundamental to driving value in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executive compensation on an annual basis and makes annual equity grants in December of each year. During 2025, the total compensation reported in the Summary Compensation Table for our CEO was below the median of the peer data reviewed by the compensation committee and was 54% lower than the amount reported in 2024, with 2025 Total Direct Compensation in the Summary Compensation Table also below-median and lower than 2024 for all NEOs. This is to reflect the fact that our stock price decreased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Practices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we provide a summary of our executive compensation practices, including both the practices that we follow and those that we do not follow, in each case based on whether we believe they serve the long-term interests of our stockholders.</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Core Compensation Principles and Practices</w:t>
      </w:r>
    </w:p>
    <w:p>
      <w:pPr>
        <w:spacing w:after="0" w:line="227" w:lineRule="exact"/>
        <w:rPr>
          <w:sz w:val="20"/>
          <w:szCs w:val="20"/>
          <w:color w:val="auto"/>
        </w:rPr>
      </w:pPr>
    </w:p>
    <w:p>
      <w:pPr>
        <w:ind w:left="560" w:right="100" w:hanging="552"/>
        <w:spacing w:after="0" w:line="261" w:lineRule="auto"/>
        <w:tabs>
          <w:tab w:leader="none" w:pos="56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Pay-for-Performance</w:t>
      </w:r>
      <w:r>
        <w:rPr>
          <w:rFonts w:ascii="Times New Roman" w:cs="Times New Roman" w:eastAsia="Times New Roman" w:hAnsi="Times New Roman"/>
          <w:sz w:val="18"/>
          <w:szCs w:val="18"/>
          <w:color w:val="auto"/>
        </w:rPr>
        <w:t>. A substantial majority of the compensation awarded to our NEOs is either tied to specific company-wide goals or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in the form of stock option awards that will only have value if the price of our stock increases after the grant date. There were no full value equity awards that guarantee value if the stock price does not increase, also known as restricted share or restricted stock units, granted to NEOs in 2025.</w:t>
      </w:r>
    </w:p>
    <w:p>
      <w:pPr>
        <w:spacing w:after="0" w:line="179" w:lineRule="exact"/>
        <w:rPr>
          <w:rFonts w:ascii="MS PGothic" w:cs="MS PGothic" w:eastAsia="MS PGothic" w:hAnsi="MS PGothic"/>
          <w:sz w:val="18"/>
          <w:szCs w:val="18"/>
          <w:color w:val="auto"/>
        </w:rPr>
      </w:pPr>
    </w:p>
    <w:p>
      <w:pPr>
        <w:ind w:left="560" w:right="100" w:hanging="552"/>
        <w:spacing w:after="0" w:line="267" w:lineRule="auto"/>
        <w:tabs>
          <w:tab w:leader="none" w:pos="56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Modest Perquisites. </w:t>
      </w:r>
      <w:r>
        <w:rPr>
          <w:rFonts w:ascii="Times New Roman" w:cs="Times New Roman" w:eastAsia="Times New Roman" w:hAnsi="Times New Roman"/>
          <w:sz w:val="18"/>
          <w:szCs w:val="18"/>
          <w:color w:val="auto"/>
        </w:rPr>
        <w:t>We provide only modest perquisites and nearly all of those perquisites are in the form of insurance benefits that we believe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line with industry practice for executive compensation. We do not provide perquisites such as personal travel reimbursement, tax services or financial planning.</w:t>
      </w:r>
    </w:p>
    <w:p>
      <w:pPr>
        <w:spacing w:after="0" w:line="173" w:lineRule="exact"/>
        <w:rPr>
          <w:rFonts w:ascii="MS PGothic" w:cs="MS PGothic" w:eastAsia="MS PGothic" w:hAnsi="MS PGothic"/>
          <w:sz w:val="18"/>
          <w:szCs w:val="18"/>
          <w:color w:val="auto"/>
        </w:rPr>
      </w:pPr>
    </w:p>
    <w:p>
      <w:pPr>
        <w:ind w:left="560" w:right="60" w:hanging="552"/>
        <w:spacing w:after="0" w:line="284" w:lineRule="auto"/>
        <w:tabs>
          <w:tab w:leader="none" w:pos="56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Periodic Peer Group Review</w:t>
      </w:r>
      <w:r>
        <w:rPr>
          <w:rFonts w:ascii="Times New Roman" w:cs="Times New Roman" w:eastAsia="Times New Roman" w:hAnsi="Times New Roman"/>
          <w:sz w:val="18"/>
          <w:szCs w:val="18"/>
          <w:color w:val="auto"/>
        </w:rPr>
        <w:t>. The compensation committee periodically reviews the Company’s compensation peer group and uses the market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context, although it does not target any specific percentile.</w:t>
      </w:r>
    </w:p>
    <w:p>
      <w:pPr>
        <w:spacing w:after="0" w:line="158" w:lineRule="exact"/>
        <w:rPr>
          <w:rFonts w:ascii="MS PGothic" w:cs="MS PGothic" w:eastAsia="MS PGothic" w:hAnsi="MS PGothic"/>
          <w:sz w:val="18"/>
          <w:szCs w:val="18"/>
          <w:color w:val="auto"/>
        </w:rPr>
      </w:pPr>
    </w:p>
    <w:p>
      <w:pPr>
        <w:ind w:left="560" w:right="260" w:hanging="552"/>
        <w:spacing w:after="0" w:line="267" w:lineRule="auto"/>
        <w:tabs>
          <w:tab w:leader="none" w:pos="56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Double Trigger</w:t>
      </w:r>
      <w:r>
        <w:rPr>
          <w:rFonts w:ascii="Times New Roman" w:cs="Times New Roman" w:eastAsia="Times New Roman" w:hAnsi="Times New Roman"/>
          <w:sz w:val="18"/>
          <w:szCs w:val="18"/>
          <w:color w:val="auto"/>
        </w:rPr>
        <w:t>. Our severance policy (the “Severance Policy”) only provides our executive officers with acceleration of unvested equity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them if they are terminated (without cause or constructively) in connection with a change of control transaction or within 18 months following a change of control transaction. We do not provide accelerated vesting of equity awards on a change in control alone.</w:t>
      </w:r>
    </w:p>
    <w:p>
      <w:pPr>
        <w:spacing w:after="0" w:line="173" w:lineRule="exact"/>
        <w:rPr>
          <w:rFonts w:ascii="MS PGothic" w:cs="MS PGothic" w:eastAsia="MS PGothic" w:hAnsi="MS PGothic"/>
          <w:sz w:val="18"/>
          <w:szCs w:val="18"/>
          <w:color w:val="auto"/>
        </w:rPr>
      </w:pPr>
    </w:p>
    <w:p>
      <w:pPr>
        <w:ind w:left="560" w:right="320" w:hanging="552"/>
        <w:spacing w:after="0" w:line="284" w:lineRule="auto"/>
        <w:tabs>
          <w:tab w:leader="none" w:pos="56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Reasonable Post-Employment and Change of Control Severance Arrangements</w:t>
      </w:r>
      <w:r>
        <w:rPr>
          <w:rFonts w:ascii="Times New Roman" w:cs="Times New Roman" w:eastAsia="Times New Roman" w:hAnsi="Times New Roman"/>
          <w:sz w:val="18"/>
          <w:szCs w:val="18"/>
          <w:color w:val="auto"/>
        </w:rPr>
        <w:t>. We believe that our severance arrangements with our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are reasonable and in line with industry practice.</w:t>
      </w:r>
    </w:p>
    <w:p>
      <w:pPr>
        <w:spacing w:after="0" w:line="158" w:lineRule="exact"/>
        <w:rPr>
          <w:rFonts w:ascii="MS PGothic" w:cs="MS PGothic" w:eastAsia="MS PGothic" w:hAnsi="MS PGothic"/>
          <w:sz w:val="18"/>
          <w:szCs w:val="18"/>
          <w:color w:val="auto"/>
        </w:rPr>
      </w:pPr>
    </w:p>
    <w:p>
      <w:pPr>
        <w:ind w:left="560" w:right="160" w:hanging="552"/>
        <w:spacing w:after="0" w:line="267" w:lineRule="auto"/>
        <w:tabs>
          <w:tab w:leader="none" w:pos="56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Regular Review of Share Utilization for Equity Compensation</w:t>
      </w:r>
      <w:r>
        <w:rPr>
          <w:rFonts w:ascii="Times New Roman" w:cs="Times New Roman" w:eastAsia="Times New Roman" w:hAnsi="Times New Roman"/>
          <w:sz w:val="18"/>
          <w:szCs w:val="18"/>
          <w:color w:val="auto"/>
        </w:rPr>
        <w:t>. We regularly evaluate equity spending by reviewing overhang levels (the dilutive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equity compensation on stockholders) and annual equity compensation burn rates (the aggregate shares awarded as a percentage of total outstanding shares).</w:t>
      </w:r>
    </w:p>
    <w:p>
      <w:pPr>
        <w:spacing w:after="0" w:line="173" w:lineRule="exact"/>
        <w:rPr>
          <w:rFonts w:ascii="MS PGothic" w:cs="MS PGothic" w:eastAsia="MS PGothic" w:hAnsi="MS PGothic"/>
          <w:sz w:val="18"/>
          <w:szCs w:val="18"/>
          <w:color w:val="auto"/>
        </w:rPr>
      </w:pPr>
    </w:p>
    <w:p>
      <w:pPr>
        <w:jc w:val="both"/>
        <w:ind w:left="560" w:right="60" w:hanging="552"/>
        <w:spacing w:after="0" w:line="267" w:lineRule="auto"/>
        <w:tabs>
          <w:tab w:leader="none" w:pos="56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Mitigate Undue Risk</w:t>
      </w:r>
      <w:r>
        <w:rPr>
          <w:rFonts w:ascii="Times New Roman" w:cs="Times New Roman" w:eastAsia="Times New Roman" w:hAnsi="Times New Roman"/>
          <w:sz w:val="18"/>
          <w:szCs w:val="18"/>
          <w:color w:val="auto"/>
        </w:rPr>
        <w:t>. We have designed our executive compensation program to mitigate undue risk associated with compensation by,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awarding a substantial portion of executive compensation in the form of long-term compensation with multi-year vesting (i.e. stock options with multi-year vesting requirements).</w:t>
      </w:r>
    </w:p>
    <w:p>
      <w:pPr>
        <w:spacing w:after="0" w:line="173" w:lineRule="exact"/>
        <w:rPr>
          <w:rFonts w:ascii="MS PGothic" w:cs="MS PGothic" w:eastAsia="MS PGothic" w:hAnsi="MS PGothic"/>
          <w:sz w:val="18"/>
          <w:szCs w:val="18"/>
          <w:color w:val="auto"/>
        </w:rPr>
      </w:pPr>
    </w:p>
    <w:p>
      <w:pPr>
        <w:ind w:left="560" w:right="40" w:hanging="552"/>
        <w:spacing w:after="0" w:line="267" w:lineRule="auto"/>
        <w:tabs>
          <w:tab w:leader="none" w:pos="56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Utilize Independent Compensation Consulting Firm</w:t>
      </w:r>
      <w:r>
        <w:rPr>
          <w:rFonts w:ascii="Times New Roman" w:cs="Times New Roman" w:eastAsia="Times New Roman" w:hAnsi="Times New Roman"/>
          <w:sz w:val="18"/>
          <w:szCs w:val="18"/>
          <w:color w:val="auto"/>
        </w:rPr>
        <w:t>. The compensation committee regularly consults with an independent compensation consulting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firm which provides no other services to the Company. For more information on our independent compensation consultant, please see “Board Meetings and Committees—Compensation Committee” above.</w:t>
      </w:r>
    </w:p>
    <w:p>
      <w:pPr>
        <w:spacing w:after="0" w:line="173" w:lineRule="exact"/>
        <w:rPr>
          <w:rFonts w:ascii="MS PGothic" w:cs="MS PGothic" w:eastAsia="MS PGothic" w:hAnsi="MS PGothic"/>
          <w:sz w:val="18"/>
          <w:szCs w:val="18"/>
          <w:color w:val="auto"/>
        </w:rPr>
      </w:pPr>
    </w:p>
    <w:p>
      <w:pPr>
        <w:ind w:left="560" w:right="20" w:hanging="552"/>
        <w:spacing w:after="0" w:line="284" w:lineRule="auto"/>
        <w:tabs>
          <w:tab w:leader="none" w:pos="56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No Stock Option Repricing Without Stockholder Approval</w:t>
      </w:r>
      <w:r>
        <w:rPr>
          <w:rFonts w:ascii="Times New Roman" w:cs="Times New Roman" w:eastAsia="Times New Roman" w:hAnsi="Times New Roman"/>
          <w:sz w:val="18"/>
          <w:szCs w:val="18"/>
          <w:color w:val="auto"/>
        </w:rPr>
        <w:t>. Our equity incentive plans prohibit us from repricing, exchanging or otherwise providing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for underwater stock options.</w:t>
      </w:r>
    </w:p>
    <w:p>
      <w:pPr>
        <w:spacing w:after="0" w:line="158" w:lineRule="exact"/>
        <w:rPr>
          <w:rFonts w:ascii="MS PGothic" w:cs="MS PGothic" w:eastAsia="MS PGothic" w:hAnsi="MS PGothic"/>
          <w:sz w:val="18"/>
          <w:szCs w:val="18"/>
          <w:color w:val="auto"/>
        </w:rPr>
      </w:pPr>
    </w:p>
    <w:p>
      <w:pPr>
        <w:ind w:left="560" w:right="160" w:hanging="552"/>
        <w:spacing w:after="0" w:line="284" w:lineRule="auto"/>
        <w:tabs>
          <w:tab w:leader="none" w:pos="56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No Inclusion of the Value of Equity Awards in Severance Calculations. </w:t>
      </w:r>
      <w:r>
        <w:rPr>
          <w:rFonts w:ascii="Times New Roman" w:cs="Times New Roman" w:eastAsia="Times New Roman" w:hAnsi="Times New Roman"/>
          <w:sz w:val="18"/>
          <w:szCs w:val="18"/>
          <w:color w:val="auto"/>
        </w:rPr>
        <w:t>Our post-termination and change of control severance arrangements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the value of equity awards in annual compensation for purposes of determining cash severance amounts.</w:t>
      </w:r>
    </w:p>
    <w:p>
      <w:pPr>
        <w:spacing w:after="0" w:line="158" w:lineRule="exact"/>
        <w:rPr>
          <w:rFonts w:ascii="MS PGothic" w:cs="MS PGothic" w:eastAsia="MS PGothic" w:hAnsi="MS PGothic"/>
          <w:sz w:val="18"/>
          <w:szCs w:val="18"/>
          <w:color w:val="auto"/>
        </w:rPr>
      </w:pPr>
    </w:p>
    <w:p>
      <w:pPr>
        <w:ind w:left="560" w:right="140" w:hanging="552"/>
        <w:spacing w:after="0" w:line="284" w:lineRule="auto"/>
        <w:tabs>
          <w:tab w:leader="none" w:pos="56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No Fixed Employment Terms or Guaranteed Future Compensation</w:t>
      </w:r>
      <w:r>
        <w:rPr>
          <w:rFonts w:ascii="Times New Roman" w:cs="Times New Roman" w:eastAsia="Times New Roman" w:hAnsi="Times New Roman"/>
          <w:sz w:val="18"/>
          <w:szCs w:val="18"/>
          <w:color w:val="auto"/>
        </w:rPr>
        <w:t>. We do not have employment contracts with our executive officers that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guaranteed terms of employment or guaranteed future compensation levels.</w:t>
      </w:r>
    </w:p>
    <w:p>
      <w:pPr>
        <w:spacing w:after="0" w:line="158" w:lineRule="exact"/>
        <w:rPr>
          <w:rFonts w:ascii="MS PGothic" w:cs="MS PGothic" w:eastAsia="MS PGothic" w:hAnsi="MS PGothic"/>
          <w:sz w:val="18"/>
          <w:szCs w:val="18"/>
          <w:color w:val="auto"/>
        </w:rPr>
      </w:pPr>
    </w:p>
    <w:p>
      <w:pPr>
        <w:ind w:left="560" w:right="500" w:hanging="552"/>
        <w:spacing w:after="0" w:line="284" w:lineRule="auto"/>
        <w:tabs>
          <w:tab w:leader="none" w:pos="56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No Funded Pension or Retirement Plans</w:t>
      </w:r>
      <w:r>
        <w:rPr>
          <w:rFonts w:ascii="Times New Roman" w:cs="Times New Roman" w:eastAsia="Times New Roman" w:hAnsi="Times New Roman"/>
          <w:sz w:val="18"/>
          <w:szCs w:val="18"/>
          <w:color w:val="auto"/>
        </w:rPr>
        <w:t>. We do not provide any guaranteed or funded retirement plan benefits other than matching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401(k) plan.</w:t>
      </w:r>
    </w:p>
    <w:p>
      <w:pPr>
        <w:spacing w:after="0" w:line="158" w:lineRule="exact"/>
        <w:rPr>
          <w:rFonts w:ascii="MS PGothic" w:cs="MS PGothic" w:eastAsia="MS PGothic" w:hAnsi="MS PGothic"/>
          <w:sz w:val="18"/>
          <w:szCs w:val="18"/>
          <w:color w:val="auto"/>
        </w:rPr>
      </w:pPr>
    </w:p>
    <w:p>
      <w:pPr>
        <w:ind w:left="560" w:right="60" w:hanging="552"/>
        <w:spacing w:after="0" w:line="267" w:lineRule="auto"/>
        <w:tabs>
          <w:tab w:leader="none" w:pos="56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No Hedging Transactions, Share Pledging, or Short Sales by Employees or Directors</w:t>
      </w:r>
      <w:r>
        <w:rPr>
          <w:rFonts w:ascii="Times New Roman" w:cs="Times New Roman" w:eastAsia="Times New Roman" w:hAnsi="Times New Roman"/>
          <w:sz w:val="18"/>
          <w:szCs w:val="18"/>
          <w:color w:val="auto"/>
        </w:rPr>
        <w:t>. Our insider trading policy prohibits any employee or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engaging in hedging transactions, short sales or trading in any derivative security of the Company. This policy also prohibits pledging our shares on margin.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Stockholder Say-on-Pay Votes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our stockholders with the opportunity periodically to cast an advisory vote on our executive compensation program (referred to as a “say-on-pay vote”). At our annual meeting of stockholders held in June 2025, approximately 96.9% of the votes cast on the say-on-pay proposal were voted in favor of the proposal. After considering the 2025 say-on-pay vote, including the compensation views expressed by our largest shareholders through regular outreach conducted by management, the compensation committee reaffirmed the fundamental design and elements of our executive compensation program and did not make any material changes to the structure of our executive compensation program. The board of directors and compensation committee will continue to consider the outcome of our say-on-pay proposals and direct stockholder feed-back when making future compensation decisions for the NEOs. At our 2022 annual meeting of stockholders held on June 21, 2022, a majority of stockholders present at the meeting selected “One Year” for their preference as to how frequently we should seek future advisory votes on the compensation of our named executive officers. As a result, we seek an advisory say-on-pay vote at each annual meeting of stockholders.</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Design and Elements of Our Compensation Program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elements of our current executive compensation programs for NEOs consist primarily of the following:</w:t>
      </w:r>
    </w:p>
    <w:p>
      <w:pPr>
        <w:spacing w:after="0" w:line="225" w:lineRule="exact"/>
        <w:rPr>
          <w:sz w:val="20"/>
          <w:szCs w:val="20"/>
          <w:color w:val="auto"/>
        </w:rPr>
      </w:pPr>
    </w:p>
    <w:p>
      <w:pPr>
        <w:ind w:left="560" w:hanging="552"/>
        <w:spacing w:after="0" w:line="282" w:lineRule="auto"/>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Each NEO earned an annual base salary during 2025 as a minimum guarantee of compensation to secure their ongoing employment and dedication.</w:t>
      </w:r>
    </w:p>
    <w:p>
      <w:pPr>
        <w:spacing w:after="0" w:line="161" w:lineRule="exact"/>
        <w:rPr>
          <w:rFonts w:ascii="Times New Roman" w:cs="Times New Roman" w:eastAsia="Times New Roman" w:hAnsi="Times New Roman"/>
          <w:sz w:val="18"/>
          <w:szCs w:val="18"/>
          <w:color w:val="auto"/>
        </w:rPr>
      </w:pPr>
    </w:p>
    <w:p>
      <w:pPr>
        <w:jc w:val="both"/>
        <w:ind w:left="560" w:hanging="552"/>
        <w:spacing w:after="0" w:line="266" w:lineRule="auto"/>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Incentive Compensation. Each NEO was eligible to earn an incentive cash compensation payment for the 2025 performance period based on qualitative assessment of the Company’s progress against its corporate goals and his individual performance and/or contribution to such progress. The purpose is to drive short-term performance as milestones towards the goal of creating long-term value for stockholders.</w:t>
      </w:r>
    </w:p>
    <w:p>
      <w:pPr>
        <w:spacing w:after="0" w:line="175" w:lineRule="exact"/>
        <w:rPr>
          <w:rFonts w:ascii="Times New Roman" w:cs="Times New Roman" w:eastAsia="Times New Roman" w:hAnsi="Times New Roman"/>
          <w:sz w:val="18"/>
          <w:szCs w:val="18"/>
          <w:color w:val="auto"/>
        </w:rPr>
      </w:pPr>
    </w:p>
    <w:p>
      <w:pPr>
        <w:jc w:val="both"/>
        <w:ind w:left="560" w:hanging="552"/>
        <w:spacing w:after="0" w:line="266" w:lineRule="auto"/>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Compensation. Stock option grants were awarded to certain NEOs during 2025, subject to a time-based vesting schedule. The purpose of the stock option grants is to reward growth in the stock price without a guarantee of value if there is no stock price growth after grant, with a multi-year vesting schedule to support retention of key employees and a long-term value orientation.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peer group company data regarding the mix of current and long-term incentive compensation and between cash and non-cash compensation, though we have not adopted any formal policies or guidelines for allocations among these various compensation elements. However, consistent with our pay for performance philosophy, we believe that a greater component of overall direct compensation for the NEOs relative to other employees should be performance-based.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Peer Company Data</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periodically review the compensation practices of our peer group companies identified below, and we consider the following factors: geographical region, company stage of development, company size and market capitalization.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Company having a combination of multiple drug candidates in diverse therapeutic areas, a mix of wholly-owned and partnered drug candidates, and a technology platform with the potential to enable multiple drug candidates in future years, it is very challenging to identify truly comparable companies.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peers from which benchmark compensation information was reviewed were of similar size and commercial stage. The Company’s 2025 compensation decisions were made using data from a 2024 study of similar companies. Most peer companies reviewed in 2024 were drug development and vaccine companies. The committee considered generally commercial stage companies with broadly similar market capitalization to recognize the commercial sales of ARCT-154. The 2024 peer group of companies reviewed as context when determining 2025 equity compensation decisions:</w:t>
      </w:r>
    </w:p>
    <w:p>
      <w:pPr>
        <w:sectPr>
          <w:pgSz w:w="11900" w:h="16838" w:orient="portrait"/>
          <w:cols w:equalWidth="0" w:num="1">
            <w:col w:w="11240"/>
          </w:cols>
          <w:pgMar w:left="320" w:top="792" w:right="339" w:bottom="1440" w:gutter="0" w:footer="0" w:header="0"/>
        </w:sectPr>
      </w:pP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ACADIA</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Blueprint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Coherus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Collegium</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Corcept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Dynavax</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Heron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Insmed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Ironwood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Novavax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Ultragenyx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Vir Biotechnology</w:t>
      </w:r>
    </w:p>
    <w:p>
      <w:pPr>
        <w:spacing w:after="0" w:line="427" w:lineRule="exact"/>
        <w:rPr>
          <w:sz w:val="20"/>
          <w:szCs w:val="20"/>
          <w:color w:val="auto"/>
        </w:rPr>
      </w:pPr>
    </w:p>
    <w:p>
      <w:pPr>
        <w:sectPr>
          <w:pgSz w:w="11900" w:h="16838" w:orient="portrait"/>
          <w:cols w:equalWidth="0" w:num="2">
            <w:col w:w="4340" w:space="720"/>
            <w:col w:w="6180"/>
          </w:cols>
          <w:pgMar w:left="320" w:top="792" w:right="339" w:bottom="1440" w:gutter="0" w:footer="0" w:header="0"/>
          <w:type w:val="continuous"/>
        </w:sectPr>
      </w:pPr>
    </w:p>
    <w:p>
      <w:pPr>
        <w:spacing w:after="0" w:line="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set compensation at any specific level or percentile based solely on the peer group data, although we reviewed and discussed the compensation data for the peer group companies to help inform executive compensation decisions. The peer group data is used by us as only one reference point taken into account in making compensation decisions. We do not use peer group or industry survey data as a standalone tool for setting compensation due to the unique aspects of our business and the need to attract and retain particular highly qualified executives with unique experience, skills and other individual facts and circumstances. However, we generally believe that reviewing and analyzing this information is an important component of our executive compensation decision-making process.</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The cash compensation of all ongoing NEOs in 2025 was at or below the median of the 2024 compensation peer group and equity award values and total compensation values was also set below the median of the 2024 peer group for all of the NEOs in this proxy.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 salary provides NEOs with a specified minimum level of cash compensation, which we believe is important to attract and retain their services. We determine base salary by considering competitive pay practices, cost of labor and compensation trends, individual performance and promotions, level and scope of responsibility, experience, internal pay equity, and our commercial stage. We do not use a formula or assign a particular weight to any one factor and the determination of base salary levels is subjective.</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Salary increases reflected market-based adjustments, as well as industry conditions. Salaries for the ongoing named executive officers, which group excludes the former CFO, were set below the median of the compensation peer group data reviewed by the Compensation Committee. The CEO was provided a 7% increase to align more closely with market levels, though CEO salary remained below the median of the peer data, like all of the ongoing named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salaries in 2024 and in 2025 were as follows:</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0"/>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2024 Salary</w:t>
            </w: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2025 Salary</w:t>
            </w: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8"/>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89"/>
        </w:trPr>
        <w:tc>
          <w:tcPr>
            <w:tcW w:w="44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Joseph E. Payne</w:t>
            </w:r>
          </w:p>
        </w:tc>
        <w:tc>
          <w:tcPr>
            <w:tcW w:w="3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r>
      <w:tr>
        <w:trPr>
          <w:trHeight w:val="23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695,000</w:t>
            </w: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750,000</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55,000</w:t>
            </w:r>
          </w:p>
        </w:tc>
        <w:tc>
          <w:tcPr>
            <w:tcW w:w="3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6"/>
        </w:trPr>
        <w:tc>
          <w:tcPr>
            <w:tcW w:w="47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Dr. Padmanabh Chivukula</w:t>
            </w: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Scientific Officer, Chief Operating Officer</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550,000</w:t>
            </w: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572,000</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22,000</w:t>
            </w:r>
          </w:p>
        </w:tc>
        <w:tc>
          <w:tcPr>
            <w:tcW w:w="3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6"/>
        </w:trPr>
        <w:tc>
          <w:tcPr>
            <w:tcW w:w="47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Andy Sassine</w:t>
            </w: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550,000</w:t>
            </w: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572,000</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22,000</w:t>
            </w:r>
          </w:p>
        </w:tc>
        <w:tc>
          <w:tcPr>
            <w:tcW w:w="3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6"/>
        </w:trPr>
        <w:tc>
          <w:tcPr>
            <w:tcW w:w="47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Lance Kurata</w:t>
            </w: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Legal Officer</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540,000</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40,000</w:t>
            </w:r>
          </w:p>
        </w:tc>
        <w:tc>
          <w:tcPr>
            <w:tcW w:w="3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6"/>
        </w:trPr>
        <w:tc>
          <w:tcPr>
            <w:tcW w:w="47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Joseph Roberts</w:t>
            </w: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Interim Principal Financial and Accounting Officer;</w:t>
            </w: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Controller</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211,130</w:t>
            </w: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219,580</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8,450</w:t>
            </w:r>
          </w:p>
        </w:tc>
        <w:tc>
          <w:tcPr>
            <w:tcW w:w="3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Incentive Compensation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Incentive Compensation Policy. </w:t>
      </w:r>
      <w:r>
        <w:rPr>
          <w:rFonts w:ascii="Times New Roman" w:cs="Times New Roman" w:eastAsia="Times New Roman" w:hAnsi="Times New Roman"/>
          <w:sz w:val="18"/>
          <w:szCs w:val="18"/>
          <w:color w:val="auto"/>
        </w:rPr>
        <w:t>We believe that our short-term incentive compensation program (“Incentive Compensation Policy”) for the NEOs rewards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achievement of important short-term objectives that advance us toward our long-term strategic objectives. Our Incentive Compensation Policy applies to all executive officers. Consistent with our compensation philosophy of paying for performance and maintaining a flexible approach, we use the Incentive Compensation Policy to incentivize the NEOs to achieve important corporate goals while at the same time encouraging and rewarding excellent individual performance by recognizing and rewarding differences in performance between individual executives.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Plan Design. </w:t>
      </w:r>
      <w:r>
        <w:rPr>
          <w:rFonts w:ascii="Times New Roman" w:cs="Times New Roman" w:eastAsia="Times New Roman" w:hAnsi="Times New Roman"/>
          <w:sz w:val="18"/>
          <w:szCs w:val="18"/>
          <w:color w:val="auto"/>
        </w:rPr>
        <w:t>The board of directors establishes important annual corporate goals each year that include clinical development, research,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organizational and financial goals which we believe are essential to building long-term stockholder value and are used to assess annual corporate performance. The corporate objectives are not weighted formally nor were they formally tied to a cash bonus plan in 2025, so there is a degree of qualitative judgment in the final score.</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2025 corporate performance was determined, the individual performance and future contribution of NEOs was reviewed by the compensation committee in consultation with Mr. Payne (other than his own performance). Mr. Payne’s individual performance is separately reviewed by the compensation committee.</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Target Annual Short-Term Incentive Compensation for 2025. </w:t>
      </w:r>
      <w:r>
        <w:rPr>
          <w:rFonts w:ascii="Times New Roman" w:cs="Times New Roman" w:eastAsia="Times New Roman" w:hAnsi="Times New Roman"/>
          <w:sz w:val="18"/>
          <w:szCs w:val="18"/>
          <w:color w:val="auto"/>
        </w:rPr>
        <w:t>The NEOs were each assigned a target annual incentive for 2025 ranging from 20% to 60%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salary. The table below shows the target annual incentive assigned by us to each NEO for 2025 both as a dollar amount and as a percentage of base salary.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5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Target</w:t>
            </w:r>
          </w:p>
        </w:tc>
      </w:tr>
      <w:tr>
        <w:trPr>
          <w:trHeight w:val="216"/>
        </w:trPr>
        <w:tc>
          <w:tcPr>
            <w:tcW w:w="5080" w:type="dxa"/>
            <w:vAlign w:val="bottom"/>
          </w:tcPr>
          <w:p>
            <w:pPr>
              <w:spacing w:after="0"/>
              <w:rPr>
                <w:sz w:val="18"/>
                <w:szCs w:val="18"/>
                <w:color w:val="auto"/>
              </w:rPr>
            </w:pPr>
          </w:p>
        </w:tc>
        <w:tc>
          <w:tcPr>
            <w:tcW w:w="460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Annual</w:t>
            </w:r>
          </w:p>
        </w:tc>
      </w:tr>
      <w:tr>
        <w:trPr>
          <w:trHeight w:val="216"/>
        </w:trPr>
        <w:tc>
          <w:tcPr>
            <w:tcW w:w="5080" w:type="dxa"/>
            <w:vAlign w:val="bottom"/>
          </w:tcPr>
          <w:p>
            <w:pPr>
              <w:spacing w:after="0"/>
              <w:rPr>
                <w:sz w:val="18"/>
                <w:szCs w:val="18"/>
                <w:color w:val="auto"/>
              </w:rPr>
            </w:pPr>
          </w:p>
        </w:tc>
        <w:tc>
          <w:tcPr>
            <w:tcW w:w="460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Incentive for</w:t>
            </w:r>
          </w:p>
        </w:tc>
      </w:tr>
      <w:tr>
        <w:trPr>
          <w:trHeight w:val="216"/>
        </w:trPr>
        <w:tc>
          <w:tcPr>
            <w:tcW w:w="5080" w:type="dxa"/>
            <w:vAlign w:val="bottom"/>
          </w:tcPr>
          <w:p>
            <w:pPr>
              <w:spacing w:after="0"/>
              <w:rPr>
                <w:sz w:val="18"/>
                <w:szCs w:val="18"/>
                <w:color w:val="auto"/>
              </w:rPr>
            </w:pPr>
          </w:p>
        </w:tc>
        <w:tc>
          <w:tcPr>
            <w:tcW w:w="460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Incentive for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6"/>
        </w:trPr>
        <w:tc>
          <w:tcPr>
            <w:tcW w:w="5080" w:type="dxa"/>
            <w:vAlign w:val="bottom"/>
          </w:tcPr>
          <w:p>
            <w:pPr>
              <w:spacing w:after="0"/>
              <w:rPr>
                <w:sz w:val="18"/>
                <w:szCs w:val="18"/>
                <w:color w:val="auto"/>
              </w:rPr>
            </w:pPr>
          </w:p>
        </w:tc>
        <w:tc>
          <w:tcPr>
            <w:tcW w:w="46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 of Base</w:t>
            </w: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Salary)</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E. Payne</w:t>
            </w:r>
          </w:p>
        </w:tc>
        <w:tc>
          <w:tcPr>
            <w:tcW w:w="4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450,000</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Dr. Padmanabh Chivukula</w:t>
            </w:r>
          </w:p>
        </w:tc>
        <w:tc>
          <w:tcPr>
            <w:tcW w:w="4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286,000</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Andy Sassine</w:t>
            </w:r>
          </w:p>
        </w:tc>
        <w:tc>
          <w:tcPr>
            <w:tcW w:w="4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286,000</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Lance Kurata</w:t>
            </w:r>
          </w:p>
        </w:tc>
        <w:tc>
          <w:tcPr>
            <w:tcW w:w="4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216,000</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Roberts</w:t>
            </w:r>
          </w:p>
        </w:tc>
        <w:tc>
          <w:tcPr>
            <w:tcW w:w="4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43,916</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Performance Objectives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2025 corporate objectives were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Therapeutics Pipeline</w:t>
      </w:r>
    </w:p>
    <w:p>
      <w:pPr>
        <w:spacing w:after="0" w:line="27"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ARCT-810 with Phase 2 interim proof-of-concept data, including N15 ureagenesis assay data.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ARCT-032 with Phase 2 interim safety, tolerability, and lung function efficacy data.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 results in a high-impact, peer-reviewed scientific journal.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Vaccine Pipeline</w:t>
      </w:r>
    </w:p>
    <w:p>
      <w:pPr>
        <w:spacing w:after="0" w:line="2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in Japan for updated KOSTAIVE® for the Fall 2025 season.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U.S. Biologics License Application for KOSTAIVE®.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pandemic influenza vaccine program (BARDA-funded), including completion of Phase 1 enrollment and reporting of topline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w:t>
      </w:r>
    </w:p>
    <w:p>
      <w:pPr>
        <w:spacing w:after="0" w:line="2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company-wide budget discipline.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internal and external collaborations remain in good standing.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27"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filing of all required SEC filings.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Section 404 of the Sarbanes-Oxley 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implement, and monitor corporate policies and procedures.</w:t>
      </w:r>
    </w:p>
    <w:p>
      <w:pPr>
        <w:spacing w:after="0" w:line="9" w:lineRule="exact"/>
        <w:rPr>
          <w:rFonts w:ascii="Times New Roman" w:cs="Times New Roman" w:eastAsia="Times New Roman" w:hAnsi="Times New Roman"/>
          <w:sz w:val="18"/>
          <w:szCs w:val="18"/>
          <w:color w:val="auto"/>
        </w:rPr>
      </w:pPr>
    </w:p>
    <w:p>
      <w:pPr>
        <w:ind w:left="660" w:right="200" w:hanging="328"/>
        <w:spacing w:after="0" w:line="26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intellectual property portfolio, including new filings and maintenance activities, trade secrets database management, and trademark registrations.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&amp; Platform</w:t>
      </w:r>
    </w:p>
    <w:p>
      <w:pPr>
        <w:spacing w:after="0" w:line="27"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stability of liquid formulations stored at 2–8°C, achieving a minimum stability of four weeks and targeting twelve weeks.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two to four new therapeutic programs, each achieving in vivo proof-of-concept (assuming clinical success of CF/OTC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early-stage vaccine programs, including Lyme disease.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Actual Annual Incentives Earned for 2025</w:t>
      </w:r>
    </w:p>
    <w:p>
      <w:pPr>
        <w:spacing w:after="0" w:line="227" w:lineRule="exact"/>
        <w:rPr>
          <w:sz w:val="20"/>
          <w:szCs w:val="20"/>
          <w:color w:val="auto"/>
        </w:rPr>
      </w:pPr>
    </w:p>
    <w:p>
      <w:pPr>
        <w:ind w:right="860"/>
        <w:spacing w:after="0" w:line="284" w:lineRule="auto"/>
        <w:rPr>
          <w:sz w:val="20"/>
          <w:szCs w:val="20"/>
          <w:color w:val="auto"/>
        </w:rPr>
      </w:pPr>
      <w:r>
        <w:rPr>
          <w:rFonts w:ascii="Times New Roman" w:cs="Times New Roman" w:eastAsia="Times New Roman" w:hAnsi="Times New Roman"/>
          <w:sz w:val="18"/>
          <w:szCs w:val="18"/>
          <w:color w:val="auto"/>
        </w:rPr>
        <w:t xml:space="preserve">The board of directors also recognized certain accomplishments directly related to management efforts including those listed above in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 Highlights</w:t>
      </w:r>
      <w:r>
        <w:rPr>
          <w:rFonts w:ascii="Times New Roman" w:cs="Times New Roman" w:eastAsia="Times New Roman" w:hAnsi="Times New Roman"/>
          <w:sz w:val="18"/>
          <w:szCs w:val="18"/>
          <w:color w:val="auto"/>
        </w:rPr>
        <w:t>.</w:t>
      </w: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4" w:name="page35"/>
    <w:bookmarkEnd w:id="34"/>
    <w:p>
      <w:pPr>
        <w:ind w:right="200"/>
        <w:spacing w:after="0" w:line="266" w:lineRule="auto"/>
        <w:rPr>
          <w:sz w:val="20"/>
          <w:szCs w:val="20"/>
          <w:color w:val="auto"/>
        </w:rPr>
      </w:pPr>
      <w:r>
        <w:rPr>
          <w:rFonts w:ascii="Times New Roman" w:cs="Times New Roman" w:eastAsia="Times New Roman" w:hAnsi="Times New Roman"/>
          <w:sz w:val="18"/>
          <w:szCs w:val="18"/>
          <w:color w:val="auto"/>
        </w:rPr>
        <w:t>The Compensation Committee, in consultation with Mr. Payne, determined that each NEO made meaningful individual contributions during 2025, including satisfaction of a number of the specified corporate objectives. However, the Compensation Committee did not approve annual cash bonuses for any of the NEOs for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 Equity Awards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accordance with our objective of aligning executive compensation with our stockholders’ interests, our current long-term incentive program for the NEOs generally consists of an annual award of equity compensation that is subject to a multi-year vesting or earn-out schedule. We believe that equity compensation is an effective tool for aligning the interests of our NEOs with the interests of our stockholders. Stock options are our preferred form of long-term incentive compensation because we believe they are inherently performance-based, with value delivered only if the price of our common stock appreciates following the grant. The number and the value of stock options granted to the NEOs was lower in 2025 than in 2024, except for Mr. Roberts, the interim principal financial officer and interim principal accounting officer. This was in recognition of performance against 2025 annual objectives, as well as to manage the rate of equity compensation award dilution and to conserve stock plan shares. The value of options reported as long-term incentive compensation awards to the NEOs during 2025 was lower than the value reported in the Summary Compensation Table of the 2024 proxy statement for all NEOs, and the grant values provided to all NEOs was below the median of the 2025 compensation peer data available to the Company at the time awards were made.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Policy</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While we do not have a formal written policy in place with regard to the timing of certain equity awards in relation to the disclosure of material nonpublic information, our Board and the compensation committee of the Board do not seek to time equity grants to take advantage of information, either positive or negative, about our Company that has not been publicly disclosed. It has been our practice generally to grant initial equity awards to our officers and non-employee directors in connection with their hiring or appointment to the Board, as applicable. We generally intend to issue equity awards to our officers at approximately the same time each year, typically in close proximity to the end of the fiscal year. In addition, non-employee directors generally receive grants of initial and annual equity awards, at the time of a director’s initial appointment or election to the Board and at the time of each annual meeting of our stockholders, respectively, pursuant to our director compensation policy. Option grants generally are effective on the date the award determination is made by the compensation committee or the Board, as the case may be, and the exercise price of options is typically based upon the Fair Market Value of our common stock as defined in our 2019 Omnibus Equity Incentive Plan, as amended and restated (the “2019 Plan”).</w:t>
      </w:r>
    </w:p>
    <w:p>
      <w:pPr>
        <w:spacing w:after="0" w:line="18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2025, we did not award any equity awards to a named executive officer in the period beginning four business days before the filing of a periodic report on Form 10-Q or Form 10-K, or the filing or furnishing of a current report on Form 8-K that discloses material nonpublic information, and ending one business day after the filing or furnishing of such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of Control Benefits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employment of an NEO is terminated by us without cause or by the NEO for a designated good reason outside of the context of a change of control transaction, the NEO would be entitled to severance benefits under his employment agreement with the Company. These severance benefits include a cash severance payment based on the NEO’s then-current base salary and a pro rata amount of his annual incentive bonus, and payment of COBRA premiums. In order to attract and retain these NEOs in a competitive environment for highly skilled senior executive talent in the biotechnology and pharmaceutical industry and to provide an incentive to obtain a broad release of claims in favor of the Company, we determined it was beneficial to offer each of them severance protection in the case of a termination without cause or constructive termination outside the context of a change of control transaction. These NEOs would also be entitled to certain termination benefits upon a termination of employment because of death or disability.</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2021, after consulting with the compensation committee’s independent compensation consultant, the Board adopted a written Severance Policy covering all senior executives of the Company. Termination and change of control payments under the Severance Policy are without duplication of any severance payments provided for in an individual employment agreement (such that the higher amount would apply). The primary changes effected by the Severance Policy are to (i) implement new and more internally equitable amounts for cash severance, (ii) make certain clean-up changes to the severance provisions in the NEOs’ employment agreements (the “Employment Agreements”), and (iii) require non-solicitation and non-disparagement restrictive covenants as a condition of receiving severance.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Severance Policy, the NEOs are entitled to certain severance benefits if their employment is terminated in connection with a change of control. Severance benefits under the Severance Policy are structured on a “double-trigger” basis, meaning that the executive must experience a termination without cause or resign for a specifically defined good reason in connection with the change of control in order for severance benefits to become payable under the Severance Policy. Like the severance benefits under the Employment Agreements, we believe that these change of control severance benefits are an important element of a competitive total compensation program. Additionally, we believe that providing change of control benefits should eliminate, or at least reduce, any reluctance of our NEOs and other key employees covered by the Severance Policy to diligently consider and pursue potential change of control opportunities that may be in the best interests of our stockholders. At the same time, by providing change of control benefits only upon the occurrence of an additional triggering event occurring in connection with the change of control transaction resulting in a job loss, we believe that this Severance Policy helps preserve the value of our key personnel for any potential acquiror.</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Severance Policy, the executive would be entitled to accelerated equity award vesting if their employment is terminated within 18 months of a change of control. The other severance benefits under the Severance Policy are generally similar to the severance benefits described above, provided that the executive is also entitled to a lump sum payment in an amount equal to his pro rata target annual bonus for the year of termination, and (ii) Company-paid COBRA coverage is extended by several additional months.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“Potential Payments Upon Termination or Change of Control” section below describes and quantifies the severance and other benefits potentially payable to the NEOs.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establishing competitive benefit packages for employees is an important factor in attracting and retaining highly-qualified personnel, including the NEOs. The NEOs are eligible to participate in all of our employee benefit plans, such as medical, dental, vision, group life, disability insurance, commuting benefits, employee stock purchase plan and the 401(k) plan, in each case generally on the same basis as other employees. We do not offer a tax-qualified defined-benefit pension plan or any non-qualified defined benefit retirement plans, nor do we provide material perquisites to our executives.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162(m)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Section 162(m) of the Code (“Section 162(m)”) disallows a federal income tax deduction for public corporations of remuneration in excess of $1 million paid in any fiscal year to certain specified executive officers. For taxable years beginning before January 1, 2018 (i) these executive officers consisted of a public corporation’s chief executive officer and up to three other executive officers (other than the chief financial officer) whose compensation is required to be disclosed to stockholders under the Exchange Act because they are our most highly-compensated executive officers and (ii) qualifying “performance-based compensation” was not subject to this deduction limit if specified requirements are met.</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Tax Cuts and Jobs Act of 2017, which was signed into law on December 22, 2017 (the “Tax Act”), the remuneration of a public corporation’s chief financial officer is also subject to the deduction limit. In addition, subject to certain transition rules (which apply to remuneration provided pursuant to written binding contracts which were in effect on November 2, 2017 and which are not subsequently modified in any material respect), for taxable years beginning after December 31, 2017, the exemption from the deduction limit for “performance-based compensation” is no longer available. In addition, under the Tax Act, once an executive becomes a “covered employee” under Section 162(m), the individual will continue to be a “covered employee” as long as he or she remains employed by the company. Consequently, all remuneration in excess of $1 million paid to a covered executive will not be deductible unless it qualifies for transitional relief applicable to certain binding, written performance-based compensation arrangements that were in place as November 2, 2017 or transitional relief for applicable to certain newly public companies. These changes will cause more of our compensation to be non-deductible under Section 162(m) and will eliminate the Company’s ability to structure performance-based awards to be exempt from Section 162(m).</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designing our executive compensation program and determining the compensation of our executive officers, including our named executive officers, the compensation committee considers a variety of factors, including the potential impact of the Section 162(m) deduction limit. While the compensation committee is mindful of the benefit of the full deductibility of compensation, it believes that we should not be constrained by the requirements of Section 162(m) where those requirements would impair our flexibility in compensating our executive officers in a manner that can best promote our corporate objectives. Therefore, the compensation committee has not adopted a policy that would require that all compensation be deductible, though it does consider the deductibility of compensation when making compensation decisions. The compensation committee may authorize compensation payments that are not fully tax deductible if it believes that such payments are appropriate to attract and retain executive talent or meet other business objectives.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written compensation recovery policy in accordance with applicable Nasdaq rules, a copy of which is filed as an exhibit to our most recent Annual Report on Form 10-K. The policy generally provides that we will seek to recover any incentive-based compensation erroneously awarded to any current or former executive officer due to material noncompliance with any financial reporting requirement under the securities laws during the three completed fiscal years immediately preceding the date we determine that an accounting restatement is required.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Processes and Procedures for Executive Compensation</w:t>
      </w:r>
    </w:p>
    <w:p>
      <w:pPr>
        <w:spacing w:after="0" w:line="229"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Our compensation committee assists the Board in discharging its responsibilities relating to oversight of the compensation of our chief executive officer and our other executive officers, including reviewing and making recommendations to our Board with respect to the compensation, plans, policies and programs for our chief executive officer and our other executive officers and administering our equity compensation plans for our executive officers and employees.</w:t>
      </w:r>
    </w:p>
    <w:p>
      <w:pPr>
        <w:spacing w:after="0" w:line="180" w:lineRule="exact"/>
        <w:rPr>
          <w:sz w:val="20"/>
          <w:szCs w:val="20"/>
          <w:color w:val="auto"/>
        </w:rPr>
      </w:pPr>
    </w:p>
    <w:p>
      <w:pPr>
        <w:jc w:val="both"/>
        <w:ind w:left="20" w:right="20"/>
        <w:spacing w:after="0" w:line="254" w:lineRule="auto"/>
        <w:rPr>
          <w:sz w:val="20"/>
          <w:szCs w:val="20"/>
          <w:color w:val="auto"/>
        </w:rPr>
      </w:pPr>
      <w:r>
        <w:rPr>
          <w:rFonts w:ascii="Times New Roman" w:cs="Times New Roman" w:eastAsia="Times New Roman" w:hAnsi="Times New Roman"/>
          <w:sz w:val="18"/>
          <w:szCs w:val="18"/>
          <w:color w:val="auto"/>
        </w:rPr>
        <w:t>Our compensation committee annually reviews the compensation, plans, policies and programs for our chief executive officer and our other executive officers. In connection therewith, our compensation committee considers, among other things, each executive officer’s performance in light of established individual and corporate goals and objectives and the recommendations of our chief executive officer. In particular, our compensation committee considers the recommendations of our chief executive officer when reviewing base salary and incentive compensation levels of our executive officers and when setting specific individual and corporate performance guidelines under our annual executive incentive bonus plan. Our chief executive officer has no input and is not present during voting or deliberations about his own compensation. Our compensation committee may delegate its authority to a subcommittee, but it may not delegate any power or authority required by agreement, law, regulation or listing standard to be exercised by the compensation committee as a whole.</w:t>
      </w:r>
    </w:p>
    <w:p>
      <w:pPr>
        <w:spacing w:after="0" w:line="192"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has authority to review and recommend to the Board compensation programs for our outside directors, although this role has been predominantly undertaken by our compensation committee, in consultation with members of our full Board. Management generally does not have a role in the setting of director compensation. Our nominating and corporate governance committee may delegate its authority to a subcommittee, but it may not delegate any power or authority required by agreement, law, regulation or listing standard to be exercised by the nominating and corporate governance committee as a whole.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auto"/>
        </w:rPr>
        <w:t>Our named executive officers (“NEOs”) for the year ended December 31, 2025, which consist of all individuals who served as our principal executive officer and principal financial officer during 2025 and our two other most highly compensated executive officers who were serving as executive officers at the end of the last completed fiscal year, are Joseph E. Payne, our President and Chief Executive Officer; Dr. Padmanabh Chivukula, our Chief Scientific Officer and Chief Operating Officer; Andy Sassine, our former Chief Financial Officer; Lance Kurata, our Chief Legal Officer; and Joe Roberts, our interim principal financial officer and interim principal accounting officer.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56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All</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5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280" w:type="dxa"/>
            <w:vAlign w:val="bottom"/>
          </w:tcPr>
          <w:p>
            <w:pPr>
              <w:spacing w:after="0"/>
              <w:rPr>
                <w:sz w:val="18"/>
                <w:szCs w:val="18"/>
                <w:color w:val="auto"/>
              </w:rPr>
            </w:pPr>
          </w:p>
        </w:tc>
        <w:tc>
          <w:tcPr>
            <w:tcW w:w="13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56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45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w:t>
            </w:r>
          </w:p>
        </w:tc>
        <w:tc>
          <w:tcPr>
            <w:tcW w:w="1240" w:type="dxa"/>
            <w:vAlign w:val="bottom"/>
          </w:tcPr>
          <w:p>
            <w:pPr>
              <w:jc w:val="center"/>
              <w:ind w:right="30"/>
              <w:spacing w:after="0" w:line="270" w:lineRule="exact"/>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29"/>
                <w:szCs w:val="29"/>
                <w:b w:val="1"/>
                <w:bCs w:val="1"/>
                <w:color w:val="auto"/>
                <w:w w:val="91"/>
                <w:vertAlign w:val="superscript"/>
              </w:rPr>
              <w:t>(2)</w:t>
            </w:r>
          </w:p>
        </w:tc>
        <w:tc>
          <w:tcPr>
            <w:tcW w:w="560" w:type="dxa"/>
            <w:vAlign w:val="bottom"/>
          </w:tcPr>
          <w:p>
            <w:pPr>
              <w:spacing w:after="0"/>
              <w:rPr>
                <w:sz w:val="23"/>
                <w:szCs w:val="23"/>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E. Payne</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1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750,000</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941,000</w:t>
            </w:r>
          </w:p>
        </w:tc>
        <w:tc>
          <w:tcPr>
            <w:tcW w:w="5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1,691,000</w:t>
            </w:r>
          </w:p>
        </w:tc>
        <w:tc>
          <w:tcPr>
            <w:tcW w:w="0" w:type="dxa"/>
            <w:vAlign w:val="bottom"/>
          </w:tcPr>
          <w:p>
            <w:pPr>
              <w:spacing w:after="0"/>
              <w:rPr>
                <w:sz w:val="1"/>
                <w:szCs w:val="1"/>
                <w:color w:val="auto"/>
              </w:rPr>
            </w:pPr>
          </w:p>
        </w:tc>
      </w:tr>
      <w:tr>
        <w:trPr>
          <w:trHeight w:val="196"/>
        </w:trPr>
        <w:tc>
          <w:tcPr>
            <w:tcW w:w="290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 Director</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695,000</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367,000</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2,635,000</w:t>
            </w:r>
          </w:p>
        </w:tc>
        <w:tc>
          <w:tcPr>
            <w:tcW w:w="560" w:type="dxa"/>
            <w:vAlign w:val="bottom"/>
          </w:tcPr>
          <w:p>
            <w:pPr>
              <w:spacing w:after="0"/>
              <w:rPr>
                <w:sz w:val="20"/>
                <w:szCs w:val="20"/>
                <w:color w:val="auto"/>
              </w:rPr>
            </w:pP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3,697,000</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698,000</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208,500</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3,986,000</w:t>
            </w:r>
          </w:p>
        </w:tc>
        <w:tc>
          <w:tcPr>
            <w:tcW w:w="5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4,892,500</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Padmanabh Chivukula</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1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572,000</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290,000</w:t>
            </w:r>
          </w:p>
        </w:tc>
        <w:tc>
          <w:tcPr>
            <w:tcW w:w="5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862,000</w:t>
            </w:r>
          </w:p>
        </w:tc>
        <w:tc>
          <w:tcPr>
            <w:tcW w:w="0" w:type="dxa"/>
            <w:vAlign w:val="bottom"/>
          </w:tcPr>
          <w:p>
            <w:pPr>
              <w:spacing w:after="0"/>
              <w:rPr>
                <w:sz w:val="1"/>
                <w:szCs w:val="1"/>
                <w:color w:val="auto"/>
              </w:rPr>
            </w:pPr>
          </w:p>
        </w:tc>
      </w:tr>
      <w:tr>
        <w:trPr>
          <w:trHeight w:val="196"/>
        </w:trPr>
        <w:tc>
          <w:tcPr>
            <w:tcW w:w="290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Chief Scientific Officer, Chief</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Officer</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550,000</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228,000</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807,000</w:t>
            </w:r>
          </w:p>
        </w:tc>
        <w:tc>
          <w:tcPr>
            <w:tcW w:w="560" w:type="dxa"/>
            <w:vAlign w:val="bottom"/>
          </w:tcPr>
          <w:p>
            <w:pPr>
              <w:spacing w:after="0"/>
              <w:rPr>
                <w:sz w:val="20"/>
                <w:szCs w:val="20"/>
                <w:color w:val="auto"/>
              </w:rPr>
            </w:pP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1,585,000</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550,000</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137,500</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2,491,000</w:t>
            </w:r>
          </w:p>
        </w:tc>
        <w:tc>
          <w:tcPr>
            <w:tcW w:w="5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3,178,500</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Andy Sassine</w:t>
            </w:r>
            <w:r>
              <w:rPr>
                <w:rFonts w:ascii="Times New Roman" w:cs="Times New Roman" w:eastAsia="Times New Roman" w:hAnsi="Times New Roman"/>
                <w:sz w:val="29"/>
                <w:szCs w:val="29"/>
                <w:color w:val="auto"/>
                <w:vertAlign w:val="superscript"/>
              </w:rPr>
              <w:t>(3)</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1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572,000</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37,500</w:t>
            </w:r>
          </w:p>
        </w:tc>
        <w:tc>
          <w:tcPr>
            <w:tcW w:w="5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(5)</w:t>
            </w:r>
          </w:p>
        </w:tc>
        <w:tc>
          <w:tcPr>
            <w:tcW w:w="1580" w:type="dxa"/>
            <w:vAlign w:val="bottom"/>
            <w:shd w:val="clear" w:color="auto" w:fill="CCEEFF"/>
          </w:tcPr>
          <w:p>
            <w:pPr>
              <w:jc w:val="right"/>
              <w:ind w:right="250"/>
              <w:spacing w:after="0" w:line="256" w:lineRule="exact"/>
              <w:rPr>
                <w:sz w:val="20"/>
                <w:szCs w:val="20"/>
                <w:color w:val="auto"/>
              </w:rPr>
            </w:pPr>
            <w:r>
              <w:rPr>
                <w:rFonts w:ascii="Times New Roman" w:cs="Times New Roman" w:eastAsia="Times New Roman" w:hAnsi="Times New Roman"/>
                <w:sz w:val="18"/>
                <w:szCs w:val="18"/>
                <w:color w:val="auto"/>
              </w:rPr>
              <w:t xml:space="preserve">572,000 </w:t>
            </w:r>
            <w:r>
              <w:rPr>
                <w:rFonts w:ascii="Times New Roman" w:cs="Times New Roman" w:eastAsia="Times New Roman" w:hAnsi="Times New Roman"/>
                <w:sz w:val="29"/>
                <w:szCs w:val="29"/>
                <w:color w:val="auto"/>
                <w:vertAlign w:val="superscript"/>
              </w:rPr>
              <w:t>(6)</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1,181,500</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550,000</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261,000</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807,000</w:t>
            </w:r>
          </w:p>
        </w:tc>
        <w:tc>
          <w:tcPr>
            <w:tcW w:w="560" w:type="dxa"/>
            <w:vAlign w:val="bottom"/>
          </w:tcPr>
          <w:p>
            <w:pPr>
              <w:spacing w:after="0"/>
              <w:rPr>
                <w:sz w:val="18"/>
                <w:szCs w:val="18"/>
                <w:color w:val="auto"/>
              </w:rPr>
            </w:pP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1,618,000</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550,000</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137,500</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1,495,000</w:t>
            </w:r>
          </w:p>
        </w:tc>
        <w:tc>
          <w:tcPr>
            <w:tcW w:w="5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2,182,500</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Lance Kurata</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1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540,000</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290,000</w:t>
            </w:r>
          </w:p>
        </w:tc>
        <w:tc>
          <w:tcPr>
            <w:tcW w:w="5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830,000</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Legal Officer</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500,000</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180,000</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807,000</w:t>
            </w:r>
          </w:p>
        </w:tc>
        <w:tc>
          <w:tcPr>
            <w:tcW w:w="560" w:type="dxa"/>
            <w:vAlign w:val="bottom"/>
          </w:tcPr>
          <w:p>
            <w:pPr>
              <w:spacing w:after="0"/>
              <w:rPr>
                <w:sz w:val="18"/>
                <w:szCs w:val="18"/>
                <w:color w:val="auto"/>
              </w:rPr>
            </w:pP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1,487,000</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500,000</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1,495,000</w:t>
            </w:r>
          </w:p>
        </w:tc>
        <w:tc>
          <w:tcPr>
            <w:tcW w:w="5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2,095,000</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Joe Roberts</w:t>
            </w:r>
            <w:r>
              <w:rPr>
                <w:rFonts w:ascii="Times New Roman" w:cs="Times New Roman" w:eastAsia="Times New Roman" w:hAnsi="Times New Roman"/>
                <w:sz w:val="29"/>
                <w:szCs w:val="29"/>
                <w:color w:val="auto"/>
                <w:vertAlign w:val="superscript"/>
              </w:rPr>
              <w:t>(4)</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1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219,580</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54,000</w:t>
            </w:r>
          </w:p>
        </w:tc>
        <w:tc>
          <w:tcPr>
            <w:tcW w:w="5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273,580</w:t>
            </w:r>
          </w:p>
        </w:tc>
        <w:tc>
          <w:tcPr>
            <w:tcW w:w="0" w:type="dxa"/>
            <w:vAlign w:val="bottom"/>
          </w:tcPr>
          <w:p>
            <w:pPr>
              <w:spacing w:after="0"/>
              <w:rPr>
                <w:sz w:val="1"/>
                <w:szCs w:val="1"/>
                <w:color w:val="auto"/>
              </w:rPr>
            </w:pPr>
          </w:p>
        </w:tc>
      </w:tr>
      <w:tr>
        <w:trPr>
          <w:trHeight w:val="196"/>
        </w:trPr>
        <w:tc>
          <w:tcPr>
            <w:tcW w:w="290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Interim Principal Financial Officer</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and Accounting Officer; Controller</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211,130</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38,010</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156,589</w:t>
            </w:r>
          </w:p>
        </w:tc>
        <w:tc>
          <w:tcPr>
            <w:tcW w:w="560" w:type="dxa"/>
            <w:vAlign w:val="bottom"/>
          </w:tcPr>
          <w:p>
            <w:pPr>
              <w:spacing w:after="0"/>
              <w:rPr>
                <w:sz w:val="20"/>
                <w:szCs w:val="20"/>
                <w:color w:val="auto"/>
              </w:rPr>
            </w:pP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405,729</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182,000</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16,390</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149,484</w:t>
            </w:r>
          </w:p>
        </w:tc>
        <w:tc>
          <w:tcPr>
            <w:tcW w:w="5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347,874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right="20" w:firstLine="6"/>
        <w:spacing w:after="0" w:line="282" w:lineRule="auto"/>
        <w:tabs>
          <w:tab w:leader="none" w:pos="31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cash bonuses, if any, approved by the Board or the compensation committee after reviewing performance against corporate goals. No cash bonuses were awarded to the NEOs for 2025.</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56" w:lineRule="auto"/>
        <w:tabs>
          <w:tab w:leader="none" w:pos="26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in this column do not reflect take-home or salable value from the options granted, but rather reflects a theoretical present value of the grant opportunity computed in accordance with FASB ASC 718. The actual economic value that may be realized by the applicable NEO could be quite different than the amounts shown and is currently not equal to the amounts shown. Includes the value of stock options determined using the grant date fair value computed in accordance with FASB ASC 718. See Note 2 to the consolidated financial statements of the Company for the fiscal years ended December 31, 2023, December 31, 2024, and December 31, 2025 in the Form 10-K filed by the Company on March 3, 2026, for additional description of the assumptions used in the valuation.</w:t>
      </w:r>
    </w:p>
    <w:p>
      <w:pPr>
        <w:spacing w:after="0" w:line="187" w:lineRule="exact"/>
        <w:rPr>
          <w:rFonts w:ascii="Times New Roman" w:cs="Times New Roman" w:eastAsia="Times New Roman" w:hAnsi="Times New Roman"/>
          <w:sz w:val="18"/>
          <w:szCs w:val="18"/>
          <w:color w:val="auto"/>
        </w:rPr>
      </w:pPr>
    </w:p>
    <w:p>
      <w:pPr>
        <w:ind w:right="20" w:firstLine="8"/>
        <w:spacing w:after="0" w:line="282" w:lineRule="auto"/>
        <w:tabs>
          <w:tab w:leader="none" w:pos="2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2025 the Company and Andy Sassine mutually agreed to end their employment relationship in an amicable manner effective December 31, 2025. Mr. Sassine also stepped down as a member of the Board on December 11, 2025.</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2025, Joe Roberts, the Company’s Controller, was appointed interim principal financial officer and interim principal accounting officer of the Company.</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reflects the incremental fair value of stock option awards modified in connection with Mr. Sassine’s termination on December 31, 2025, determined in accordance with FASB ASC Topic 718 as of the modification date.</w:t>
      </w:r>
    </w:p>
    <w:p>
      <w:pPr>
        <w:spacing w:after="0" w:line="161" w:lineRule="exact"/>
        <w:rPr>
          <w:rFonts w:ascii="Times New Roman" w:cs="Times New Roman" w:eastAsia="Times New Roman" w:hAnsi="Times New Roman"/>
          <w:sz w:val="18"/>
          <w:szCs w:val="18"/>
          <w:color w:val="auto"/>
        </w:rPr>
      </w:pPr>
    </w:p>
    <w:p>
      <w:pPr>
        <w:ind w:right="40" w:firstLine="8"/>
        <w:spacing w:after="0" w:line="282" w:lineRule="auto"/>
        <w:tabs>
          <w:tab w:leader="none" w:pos="2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reflects severance payable to Mr. Sassine in connection with his termination of employment on December 31, 2025. The severance amount was determined and became payable in connection with the termination and was paid in January 2026.</w:t>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2025 GRANTS OF PLAN-BASED AWARDS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certain information regarding the December 2025 options which represent equity awards approved and granted to our named executive officers during the fiscal year ended December 31, 2025. These equity awards were granted under the Amended and Restated 2019 Omnibus Equity Incentive Plan, as amended.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184"/>
        </w:trPr>
        <w:tc>
          <w:tcPr>
            <w:tcW w:w="4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78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Price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144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29"/>
                <w:szCs w:val="29"/>
                <w:b w:val="1"/>
                <w:bCs w:val="1"/>
                <w:color w:val="auto"/>
                <w:w w:val="91"/>
                <w:vertAlign w:val="superscript"/>
              </w:rPr>
              <w:t>(1)</w:t>
            </w:r>
          </w:p>
        </w:tc>
        <w:tc>
          <w:tcPr>
            <w:tcW w:w="0" w:type="dxa"/>
            <w:vAlign w:val="bottom"/>
          </w:tcPr>
          <w:p>
            <w:pPr>
              <w:spacing w:after="0"/>
              <w:rPr>
                <w:sz w:val="1"/>
                <w:szCs w:val="1"/>
                <w:color w:val="auto"/>
              </w:rPr>
            </w:pPr>
          </w:p>
        </w:tc>
      </w:tr>
      <w:tr>
        <w:trPr>
          <w:trHeight w:val="209"/>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Joseph Payne</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12/17/2025</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175,000</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3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941,000</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Dr. Padmanabh Chivukula</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12/17/2025</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54,000</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290,000</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Andy Sassine</w:t>
            </w:r>
            <w:r>
              <w:rPr>
                <w:rFonts w:ascii="Times New Roman" w:cs="Times New Roman" w:eastAsia="Times New Roman" w:hAnsi="Times New Roman"/>
                <w:sz w:val="29"/>
                <w:szCs w:val="29"/>
                <w:b w:val="1"/>
                <w:bCs w:val="1"/>
                <w:color w:val="auto"/>
                <w:vertAlign w:val="superscript"/>
              </w:rPr>
              <w:t>(2)</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Lance Kurata</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12/17/2025</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54,000</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290,000</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Joe Roberts</w:t>
            </w:r>
            <w:r>
              <w:rPr>
                <w:rFonts w:ascii="Times New Roman" w:cs="Times New Roman" w:eastAsia="Times New Roman" w:hAnsi="Times New Roman"/>
                <w:sz w:val="29"/>
                <w:szCs w:val="29"/>
                <w:b w:val="1"/>
                <w:bCs w:val="1"/>
                <w:color w:val="auto"/>
                <w:vertAlign w:val="superscript"/>
              </w:rPr>
              <w:t>(3)</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12/17/2025</w:t>
            </w:r>
          </w:p>
        </w:tc>
        <w:tc>
          <w:tcPr>
            <w:tcW w:w="3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right="600" w:firstLine="6"/>
        <w:spacing w:after="0" w:line="282" w:lineRule="auto"/>
        <w:tabs>
          <w:tab w:leader="none" w:pos="27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and approval date fair values of option awards granted during the fiscal years ended December 31, 2025, calculated in accordance with FASB ASC Topic 718.</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2025 the Company and Andy Sassine mutually agreed to end their employment relationship in an amicable manner effective December 31, 2025. Mr. Sassine also stepped down as a member of the Board on December 11, 2025.</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2025, Joe Roberts, the Company’s Controller, was appointed interim principal financial officer and interim principal accounting officer of the Company.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2025 OPTION EXERCISES AND STOCK VESTED</w:t>
      </w:r>
    </w:p>
    <w:p>
      <w:pPr>
        <w:spacing w:after="0" w:line="229" w:lineRule="exact"/>
        <w:rPr>
          <w:sz w:val="20"/>
          <w:szCs w:val="20"/>
          <w:color w:val="auto"/>
        </w:rPr>
      </w:pPr>
    </w:p>
    <w:p>
      <w:pPr>
        <w:ind w:left="20" w:right="220"/>
        <w:spacing w:after="0" w:line="282" w:lineRule="auto"/>
        <w:rPr>
          <w:sz w:val="20"/>
          <w:szCs w:val="20"/>
          <w:color w:val="auto"/>
        </w:rPr>
      </w:pPr>
      <w:r>
        <w:rPr>
          <w:rFonts w:ascii="Times New Roman" w:cs="Times New Roman" w:eastAsia="Times New Roman" w:hAnsi="Times New Roman"/>
          <w:sz w:val="18"/>
          <w:szCs w:val="18"/>
          <w:color w:val="auto"/>
        </w:rPr>
        <w:t>None of the NEOs exercised any options during the fiscal year ended December 31, 2025. None of the NEOs held any restricted stock awards during the fiscal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Agreements With Our Named Executive Officers</w:t>
      </w:r>
    </w:p>
    <w:p>
      <w:pPr>
        <w:spacing w:after="0" w:line="22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termination and change of control payments provided for under the employment agreements summarized below are without duplication of any severance payments provided for under the Company’s Severance Policy (such that the higher amount would apply). For a summary of the Severance Policy, see “</w:t>
      </w:r>
      <w:r>
        <w:rPr>
          <w:rFonts w:ascii="Times New Roman" w:cs="Times New Roman" w:eastAsia="Times New Roman" w:hAnsi="Times New Roman"/>
          <w:sz w:val="18"/>
          <w:szCs w:val="18"/>
          <w:i w:val="1"/>
          <w:iCs w:val="1"/>
          <w:color w:val="auto"/>
        </w:rPr>
        <w:t>Severance and Change of Control Benefits</w:t>
      </w:r>
      <w:r>
        <w:rPr>
          <w:rFonts w:ascii="Times New Roman" w:cs="Times New Roman" w:eastAsia="Times New Roman" w:hAnsi="Times New Roman"/>
          <w:sz w:val="18"/>
          <w:szCs w:val="18"/>
          <w:color w:val="auto"/>
        </w:rPr>
        <w:t>.” The annual base salary amounts and performance bonus targets provided for under the employment agreements, summarized below, are subject to increase upon approval by the compensation committee of the Board as described elsewhere in this proxy statement. See “Base Salary” and “Short-Term Incentive Compensation.” In addition to the following benefits, each of the named executive officers is a covered executive under the Severance Policy.</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Joseph E. Payne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13, 2019, we entered into an Employment Agreement (the “Payne Agreement”) with Joseph E. Payne, our President and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Payne Agreement provides for the following compensation and benefits to Mr. Payne:</w:t>
      </w:r>
    </w:p>
    <w:p>
      <w:pPr>
        <w:spacing w:after="0" w:line="207" w:lineRule="exact"/>
        <w:rPr>
          <w:sz w:val="20"/>
          <w:szCs w:val="20"/>
          <w:color w:val="auto"/>
        </w:rPr>
      </w:pPr>
    </w:p>
    <w:p>
      <w:pPr>
        <w:ind w:left="560" w:hanging="552"/>
        <w:spacing w:after="0"/>
        <w:tabs>
          <w:tab w:leader="none" w:pos="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$750,000, paid in bi-monthly installments.</w:t>
      </w:r>
    </w:p>
    <w:p>
      <w:pPr>
        <w:spacing w:after="0" w:line="225"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bonus of up to 60% of annual base salary. The bonus will be subject to the achievement of certain criteria, as determined by our Board and compensation committee.</w:t>
      </w:r>
    </w:p>
    <w:p>
      <w:pPr>
        <w:spacing w:after="0" w:line="161"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travel and other expenses incurred by Mr. Payne in connection with his service as President and Chief Executive Officer.</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termination without cause or resignation for good reason unrelated to change in control of the Company, Mr. Payne will be entitled to receive</w:t>
      </w:r>
    </w:p>
    <w:p>
      <w:pPr>
        <w:spacing w:after="0" w:line="27" w:lineRule="exact"/>
        <w:rPr>
          <w:rFonts w:ascii="Times New Roman" w:cs="Times New Roman" w:eastAsia="Times New Roman" w:hAnsi="Times New Roman"/>
          <w:sz w:val="18"/>
          <w:szCs w:val="18"/>
          <w:color w:val="auto"/>
        </w:rPr>
      </w:pPr>
    </w:p>
    <w:p>
      <w:pPr>
        <w:jc w:val="both"/>
        <w:ind w:left="5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severance pay in the form of continuation of payment installments of Mr. Payne’s final base salary for 18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18 months following his termination of employment.</w:t>
      </w:r>
    </w:p>
    <w:p>
      <w:pPr>
        <w:spacing w:after="0" w:line="188" w:lineRule="exact"/>
        <w:rPr>
          <w:rFonts w:ascii="Times New Roman" w:cs="Times New Roman" w:eastAsia="Times New Roman" w:hAnsi="Times New Roman"/>
          <w:sz w:val="18"/>
          <w:szCs w:val="18"/>
          <w:color w:val="auto"/>
        </w:rPr>
      </w:pPr>
    </w:p>
    <w:p>
      <w:pPr>
        <w:jc w:val="both"/>
        <w:ind w:left="560" w:hanging="552"/>
        <w:spacing w:after="0" w:line="255" w:lineRule="auto"/>
        <w:tabs>
          <w:tab w:leader="none" w:pos="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termination without cause or resignation for good reason in connection with a change in control of the Company us, Mr. Payne will be entitled to receive a lump sum severance payment equal to (i) eighteen months’ annual base salary, (ii) an amount equal to his target annual bonus for the year of termination and (iii) an amount equal to a pro rata portion of his target annual bonus for the year of termination. Mr. Payne will also be entitled to payment of certain health insurance coverage premiums (COBRA) for up to 18 months following termination. In addition, Mr. Payne’s unvested option awards and any other unvested time-based vesting equity awards then held by him will accelerate and become immediately vested and exercisable, if applicable, and no longer subject to repurchase, if applicable, upon such termination and will remain exercisable, if applicable, following Mr. Payne’s termination as set forth in the applicable equity award.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 Padmanabh Chivukula</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June 13, 2019, we entered into an Employment Agreement (the “Chivukula Agreement”) with Dr. Padmanabh Chivukula, our Chief Scientific Officer and Chief Operating Officer. The Chivukula Agreement provides for the following compensation and benefits to Dr. Chivukula:</w:t>
      </w:r>
    </w:p>
    <w:p>
      <w:pPr>
        <w:spacing w:after="0" w:line="162" w:lineRule="exact"/>
        <w:rPr>
          <w:sz w:val="20"/>
          <w:szCs w:val="20"/>
          <w:color w:val="auto"/>
        </w:rPr>
      </w:pPr>
    </w:p>
    <w:p>
      <w:pPr>
        <w:ind w:left="560" w:hanging="552"/>
        <w:spacing w:after="0"/>
        <w:tabs>
          <w:tab w:leader="none" w:pos="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$572,000, paid in bi-monthly installments.</w:t>
      </w:r>
    </w:p>
    <w:p>
      <w:pPr>
        <w:spacing w:after="0" w:line="225" w:lineRule="exact"/>
        <w:rPr>
          <w:rFonts w:ascii="Times New Roman" w:cs="Times New Roman" w:eastAsia="Times New Roman" w:hAnsi="Times New Roman"/>
          <w:sz w:val="18"/>
          <w:szCs w:val="18"/>
          <w:color w:val="auto"/>
        </w:rPr>
      </w:pPr>
    </w:p>
    <w:p>
      <w:pPr>
        <w:ind w:left="560" w:right="240" w:hanging="552"/>
        <w:spacing w:after="0" w:line="282" w:lineRule="auto"/>
        <w:tabs>
          <w:tab w:leader="none" w:pos="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bonus of up to 50% of annual base salary. The bonus will be subject to the achievement of certain criteria, as determined by the Board and compensation committee.</w:t>
      </w:r>
    </w:p>
    <w:p>
      <w:pPr>
        <w:spacing w:after="0" w:line="161" w:lineRule="exact"/>
        <w:rPr>
          <w:rFonts w:ascii="Times New Roman" w:cs="Times New Roman" w:eastAsia="Times New Roman" w:hAnsi="Times New Roman"/>
          <w:sz w:val="18"/>
          <w:szCs w:val="18"/>
          <w:color w:val="auto"/>
        </w:rPr>
      </w:pPr>
    </w:p>
    <w:p>
      <w:pPr>
        <w:ind w:left="560" w:right="660" w:hanging="552"/>
        <w:spacing w:after="0" w:line="282" w:lineRule="auto"/>
        <w:tabs>
          <w:tab w:leader="none" w:pos="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travel and other expenses incurred by Dr. Chivukula in connection with his service as Chief Scientific Officer and Chief Operating Officer.</w:t>
      </w:r>
    </w:p>
    <w:p>
      <w:pPr>
        <w:spacing w:after="0" w:line="161" w:lineRule="exact"/>
        <w:rPr>
          <w:rFonts w:ascii="Times New Roman" w:cs="Times New Roman" w:eastAsia="Times New Roman" w:hAnsi="Times New Roman"/>
          <w:sz w:val="18"/>
          <w:szCs w:val="18"/>
          <w:color w:val="auto"/>
        </w:rPr>
      </w:pPr>
    </w:p>
    <w:p>
      <w:pPr>
        <w:ind w:left="560" w:right="80" w:hanging="552"/>
        <w:spacing w:after="0" w:line="258" w:lineRule="auto"/>
        <w:tabs>
          <w:tab w:leader="none" w:pos="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termination without cause or resignation for good reason unrelated to change in control of us, Dr. Chivukula will be entitled to receive (i) severance pay in the form of continuation of payment installments of Dr. Chivukula’s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12 months following his termination of employment.</w:t>
      </w:r>
    </w:p>
    <w:p>
      <w:pPr>
        <w:spacing w:after="0" w:line="183" w:lineRule="exact"/>
        <w:rPr>
          <w:rFonts w:ascii="Times New Roman" w:cs="Times New Roman" w:eastAsia="Times New Roman" w:hAnsi="Times New Roman"/>
          <w:sz w:val="18"/>
          <w:szCs w:val="18"/>
          <w:color w:val="auto"/>
        </w:rPr>
      </w:pPr>
    </w:p>
    <w:p>
      <w:pPr>
        <w:ind w:left="560" w:right="20" w:hanging="552"/>
        <w:spacing w:after="0" w:line="255" w:lineRule="auto"/>
        <w:tabs>
          <w:tab w:leader="none" w:pos="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termination without cause or resignation for good reason in connection with a change in control of us, Dr. Chivukula will be entitled to receive a lump sum severance payment equal to (i) one year’s annual base salary, (ii) an amount equal to his target annual bonus for the year of termination and (iii) an amount equal to a pro rata portion of his target annual bonus for the year of termination. Dr. Chivukula will also be entitled to payment of certain health insurance coverage premiums (COBRA) for up to twelve (12) months following termination. In addition, Dr. Chivukula’s unvested option award and any other unvested time-based vesting equity awards then held by him will accelerate and become immediately vested and exercisable, if applicable, and no longer subject to repurchase, if applicable, upon such termination and will remain exercisable, if applicable, following Dr. Chivukula’s termination as set forth in the applicable equity award.</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Andy Sassine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11, 2025, the Company entered into a Separation Agreement and General Release (“Separation Agreement”) with Mr. Sassine. Upon entry into the Separation Agreement, and upon Mr. Sassine’s compliance with the terms of the Separation Agreement, Mr. Sassine became entitled to (i) a lump sum severance payment equal to 12 months of Mr. Sassine’s base salary, (ii) bonus eligibility if and when paid to the Corporation’s Chief Executive Officer in the manner described in the Separation Agreement, (iii) reimbursement for certain attorney’s fees, (iv) payment of up to 18 months of COBRA healthcare premium for Mr. Sassine and his dependents, and (v) and amendments to his existing stock options whereby (A) all unvested options to purchase shares of the Company’s common stock held by Mr. Sassine shall accelerate and become immediately exercisable and (B) all stock options held by Mr. Sassine may be exercised for a 24-month period beginning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Lance Kurata</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July 10, 2020, we entered into an Employment Agreement (the “Kurata Agreement”) with Lance Kurata, our Chief Legal Officer. The Kurata Agreement provides for the following compensation and benefits to Mr. Kurata:</w:t>
      </w:r>
    </w:p>
    <w:p>
      <w:pPr>
        <w:spacing w:after="0" w:line="162" w:lineRule="exact"/>
        <w:rPr>
          <w:sz w:val="20"/>
          <w:szCs w:val="20"/>
          <w:color w:val="auto"/>
        </w:rPr>
      </w:pPr>
    </w:p>
    <w:p>
      <w:pPr>
        <w:ind w:left="560" w:hanging="552"/>
        <w:spacing w:after="0"/>
        <w:tabs>
          <w:tab w:leader="none" w:pos="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$540,000, paid in bi-monthly installments.</w:t>
      </w:r>
    </w:p>
    <w:p>
      <w:pPr>
        <w:spacing w:after="0" w:line="225"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bonus of up to 40% of annual base salary. The bonus will be subject to the achievement of certain criteria, as determined by the Board and compensation committee.</w:t>
      </w:r>
    </w:p>
    <w:p>
      <w:pPr>
        <w:spacing w:after="0" w:line="161"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travel and other expenses incurred by Mr. Kurata in connection with his service as Chief Legal Officer.</w:t>
      </w:r>
    </w:p>
    <w:p>
      <w:pPr>
        <w:spacing w:after="0" w:line="225" w:lineRule="exact"/>
        <w:rPr>
          <w:rFonts w:ascii="Times New Roman" w:cs="Times New Roman" w:eastAsia="Times New Roman" w:hAnsi="Times New Roman"/>
          <w:sz w:val="18"/>
          <w:szCs w:val="18"/>
          <w:color w:val="auto"/>
        </w:rPr>
      </w:pPr>
    </w:p>
    <w:p>
      <w:pPr>
        <w:jc w:val="both"/>
        <w:ind w:left="560" w:hanging="552"/>
        <w:spacing w:after="0" w:line="258" w:lineRule="auto"/>
        <w:tabs>
          <w:tab w:leader="none" w:pos="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termination without cause or resignation for good reason unrelated to change in control of us, Mr. Kurata will be entitled to receive (i) severance pay in the form of continuation of payment installments of Mr. Kurata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12 months following his termination of employment.</w:t>
      </w:r>
    </w:p>
    <w:p>
      <w:pPr>
        <w:spacing w:after="0" w:line="183" w:lineRule="exact"/>
        <w:rPr>
          <w:rFonts w:ascii="Times New Roman" w:cs="Times New Roman" w:eastAsia="Times New Roman" w:hAnsi="Times New Roman"/>
          <w:sz w:val="18"/>
          <w:szCs w:val="18"/>
          <w:color w:val="auto"/>
        </w:rPr>
      </w:pPr>
    </w:p>
    <w:p>
      <w:pPr>
        <w:jc w:val="both"/>
        <w:ind w:left="560" w:hanging="552"/>
        <w:spacing w:after="0" w:line="255" w:lineRule="auto"/>
        <w:tabs>
          <w:tab w:leader="none" w:pos="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termination without cause or resignation for good reason in connection with a change in control of us, Mr. Kurata will be entitled to receive a lump sum severance payment equal to (i) one year’s annual base salary, (ii) an amount equal to his target annual bonus for the year of termination and (iii) an amount equal to a pro rata portion of his target annual bonus for the year of termination. Mr. Kurata will also be entitled to payment of certain health insurance coverage premiums (COBRA) for up to twelve (12) months following termination. In addition, Mr. Kurata’s unvested option award and any other unvested time-based vesting equity awards then held by him will accelerate and become immediately vested and exercisable, if applicable, and no longer subject to repurchase, if applicable, upon such termination and will remain exercisable, if applicable, following Mr. Kurata’s termination as set forth in the applicable equity award.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Joe Roberts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July 3, 2018, we entered into an offer letter with Joe Roberts (the “Roberts Agreement”). As modified since 2018, the Roberts Agreement provides for a base salary of $219,580, bonus eligibility equal to up to 20% of base salary, and eligibility to participate in our 401K, equity incentive, health care, and other plans. The Roberts Agreement subjects Mr. Roberts to standard restrictive covenants for agreements of its type, including non-competition and non-solicitation.</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7" w:lineRule="exact"/>
        <w:rPr>
          <w:sz w:val="20"/>
          <w:szCs w:val="20"/>
          <w:color w:val="auto"/>
        </w:rPr>
      </w:pPr>
    </w:p>
    <w:p>
      <w:pPr>
        <w:jc w:val="both"/>
        <w:ind w:left="20" w:right="20"/>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Current Agreements With Our Named Executive Officers</w:t>
      </w:r>
      <w:r>
        <w:rPr>
          <w:rFonts w:ascii="Times New Roman" w:cs="Times New Roman" w:eastAsia="Times New Roman" w:hAnsi="Times New Roman"/>
          <w:sz w:val="18"/>
          <w:szCs w:val="18"/>
          <w:color w:val="auto"/>
        </w:rPr>
        <w:t>” for a description of the circumstances that would trigger payments or the provision of other benefits to each of our named executive officers in connection with their termination without cause or resignation for good reason in connection with a change in control. See “</w:t>
      </w:r>
      <w:r>
        <w:rPr>
          <w:rFonts w:ascii="Times New Roman" w:cs="Times New Roman" w:eastAsia="Times New Roman" w:hAnsi="Times New Roman"/>
          <w:sz w:val="18"/>
          <w:szCs w:val="18"/>
          <w:i w:val="1"/>
          <w:iCs w:val="1"/>
          <w:color w:val="auto"/>
        </w:rPr>
        <w:t>Termination and Change of Control Potential Payments and Benefits Table</w:t>
      </w:r>
      <w:r>
        <w:rPr>
          <w:rFonts w:ascii="Times New Roman" w:cs="Times New Roman" w:eastAsia="Times New Roman" w:hAnsi="Times New Roman"/>
          <w:sz w:val="18"/>
          <w:szCs w:val="18"/>
          <w:color w:val="auto"/>
        </w:rPr>
        <w:t>” for details on the amounts of such payments.</w:t>
      </w:r>
    </w:p>
    <w:p>
      <w:pPr>
        <w:spacing w:after="0" w:line="2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18"/>
          <w:szCs w:val="18"/>
          <w:color w:val="auto"/>
        </w:rPr>
        <w:t>Under the employment agreements with our named executive officers, “good reason” constitutes a resignation from employment with the Company in connection with the occurrence of any of the following without the executive’s prior written consent: (i) a material reduction in the executive’s base salary, unless pursuant to a salary reduction program applicable generally to the Company’s senior executives; (ii) a material reduction in the executive’s duties (including responsibilities and/or authorities), provided that (A) a change in job position (including a change in title) shall not be deemed a “material reduction” in and of itself unless the executive’s new duties are materially reduced from the prior duties, and (B) a reduction in duties which results from the hiring of an individual not previously employed by the Company to serve as its President and/or Chief Executive Officer shall not be deemed a “material reduction” (e.g., where an executive undertakes temporary additional responsibilities until a President and/or Chief Executive Officer is appointed); or (iii) relocation of the executive’s principal place of employment to a place that increases the executive’s one-way commute by more than 50 miles as compared to the executive’s then-current principal place of employment immediately prior to such relocation.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for an executive to resign for good reason, each of the following requirements must be met: (i) the executive must provide written notice to the Board within 30 days after the first occurrence of the event giving rise to good reason setting forth the basis for the executive’s resignation, (ii) the executive must allow the Company at least 30 days from receipt of such written notice to cure such event, (iii) such event is not reasonably cured by the Company within such 30 day period (the “Cure Period”), and (iv) the executive must resign from all positions the executive then holds with the Company not later than 30 days after the expiration of the Cure Period.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effective May 1, 2021, the Board adopted a written Severance Policy covering all senior executives of the Company. Termination and change of control payments under the Severance Policy will not duplicate any severance payments provided for in an individual employment agreement (such that the higher amount would apply). For a summary of the Severance Policy, see “Severance and Change of Control Benefits.” Pursuant to the Severance Policy, in order to receive any payments upon a termination or change of control, our named executive officers must execute a general release of all known and unknown claims, as drafted in the Company’s discretion, in a severance agreement acceptable to the Company within the applicable deadline set forth therein, but in no event later than twenty-one days following the executive’s termination date, and permit the release to become effective and irrevocable in accordance with its terms.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Options granted to our officers and certain of our directors may contain acceleration provisions upon certain merger, acquisition, or change of control transactions. If the relationship between us and an executive officer or a director is terminated, except for cause (as defined in the various option plan agreements), options that are vested will generally remain exercisable for ninety days or thirty-six months after such termination depending on whether the options were granted to an executive officer or director. Generally, any benefits conferred on an executive officer as a result of a change of control require such officer to execute a signed and dated general release of known and unknown claims in a termination agreement acceptable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AND CHANGE OF CONTROL POTENTIAL PAYMENTS AND BENEFITS 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disclosed in the table below are based on the payments and benefit costs that would have been incurred by the Company if the named executive officer's employment had terminated as of the last business day of the fiscal year ended December 31, 2025. The amounts included below do not include payments and benefits to the extent they are provided on a non-discriminatory basis to salaried employees generally upon termination of employment. Where applicable, the value of one of our shares of common stock on December 31, 2025 was $6.13, which was the closing market price of our common stock on the Nasdaq on such date.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 of Control</w:t>
            </w:r>
          </w:p>
        </w:tc>
      </w:tr>
      <w:tr>
        <w:trPr>
          <w:trHeight w:val="187"/>
        </w:trPr>
        <w:tc>
          <w:tcPr>
            <w:tcW w:w="5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Accelerated</w:t>
            </w:r>
          </w:p>
        </w:tc>
      </w:tr>
      <w:tr>
        <w:trPr>
          <w:trHeight w:val="216"/>
        </w:trPr>
        <w:tc>
          <w:tcPr>
            <w:tcW w:w="5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Vesting upon</w:t>
            </w:r>
          </w:p>
        </w:tc>
      </w:tr>
      <w:tr>
        <w:trPr>
          <w:trHeight w:val="216"/>
        </w:trPr>
        <w:tc>
          <w:tcPr>
            <w:tcW w:w="5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qualifying</w:t>
            </w:r>
          </w:p>
        </w:tc>
      </w:tr>
      <w:tr>
        <w:trPr>
          <w:trHeight w:val="216"/>
        </w:trPr>
        <w:tc>
          <w:tcPr>
            <w:tcW w:w="5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termination or if</w:t>
            </w:r>
          </w:p>
        </w:tc>
      </w:tr>
      <w:tr>
        <w:trPr>
          <w:trHeight w:val="216"/>
        </w:trPr>
        <w:tc>
          <w:tcPr>
            <w:tcW w:w="5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w:t>
            </w:r>
          </w:p>
        </w:tc>
      </w:tr>
      <w:tr>
        <w:trPr>
          <w:trHeight w:val="225"/>
        </w:trPr>
        <w:tc>
          <w:tcPr>
            <w:tcW w:w="5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 Assumed,</w:t>
            </w:r>
          </w:p>
        </w:tc>
      </w:tr>
      <w:tr>
        <w:trPr>
          <w:trHeight w:val="216"/>
        </w:trPr>
        <w:tc>
          <w:tcPr>
            <w:tcW w:w="5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Substituted or</w:t>
            </w:r>
          </w:p>
        </w:tc>
      </w:tr>
      <w:tr>
        <w:trPr>
          <w:trHeight w:val="216"/>
        </w:trPr>
        <w:tc>
          <w:tcPr>
            <w:tcW w:w="5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without Cause or</w:t>
            </w: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without Cause or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Continued by</w:t>
            </w:r>
          </w:p>
        </w:tc>
      </w:tr>
      <w:tr>
        <w:trPr>
          <w:trHeight w:val="216"/>
        </w:trPr>
        <w:tc>
          <w:tcPr>
            <w:tcW w:w="5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Resignation for</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Resignation for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Acquiring</w:t>
            </w:r>
          </w:p>
        </w:tc>
      </w:tr>
      <w:tr>
        <w:trPr>
          <w:trHeight w:val="248"/>
        </w:trPr>
        <w:tc>
          <w:tcPr>
            <w:tcW w:w="5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Good Reason</w:t>
            </w:r>
          </w:p>
        </w:tc>
        <w:tc>
          <w:tcPr>
            <w:tcW w:w="1780" w:type="dxa"/>
            <w:vAlign w:val="bottom"/>
            <w:gridSpan w:val="2"/>
          </w:tcPr>
          <w:p>
            <w:pPr>
              <w:jc w:val="center"/>
              <w:ind w:right="340"/>
              <w:spacing w:after="0" w:line="247" w:lineRule="exact"/>
              <w:rPr>
                <w:sz w:val="20"/>
                <w:szCs w:val="20"/>
                <w:color w:val="auto"/>
              </w:rPr>
            </w:pP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28"/>
                <w:szCs w:val="28"/>
                <w:b w:val="1"/>
                <w:bCs w:val="1"/>
                <w:color w:val="auto"/>
                <w:vertAlign w:val="superscript"/>
              </w:rPr>
              <w:t>(1)</w:t>
            </w:r>
          </w:p>
        </w:tc>
        <w:tc>
          <w:tcPr>
            <w:tcW w:w="1440" w:type="dxa"/>
            <w:vAlign w:val="bottom"/>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5"/>
              </w:rPr>
              <w:t>Entity</w:t>
            </w:r>
            <w:r>
              <w:rPr>
                <w:rFonts w:ascii="Times New Roman" w:cs="Times New Roman" w:eastAsia="Times New Roman" w:hAnsi="Times New Roman"/>
                <w:sz w:val="28"/>
                <w:szCs w:val="28"/>
                <w:b w:val="1"/>
                <w:bCs w:val="1"/>
                <w:color w:val="auto"/>
                <w:w w:val="95"/>
                <w:vertAlign w:val="superscript"/>
              </w:rPr>
              <w:t>(2)</w:t>
            </w:r>
          </w:p>
        </w:tc>
      </w:tr>
      <w:tr>
        <w:trPr>
          <w:trHeight w:val="238"/>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50"/>
        </w:trPr>
        <w:tc>
          <w:tcPr>
            <w:tcW w:w="5860" w:type="dxa"/>
            <w:vAlign w:val="bottom"/>
            <w:tcBorders>
              <w:top w:val="single" w:sz="8" w:color="auto"/>
            </w:tcBorders>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Joseph Payne</w:t>
            </w:r>
            <w:r>
              <w:rPr>
                <w:rFonts w:ascii="Times New Roman" w:cs="Times New Roman" w:eastAsia="Times New Roman" w:hAnsi="Times New Roman"/>
                <w:sz w:val="28"/>
                <w:szCs w:val="28"/>
                <w:b w:val="1"/>
                <w:bCs w:val="1"/>
                <w:color w:val="auto"/>
                <w:vertAlign w:val="superscript"/>
              </w:rPr>
              <w:t>(4) (5)</w:t>
            </w:r>
          </w:p>
        </w:tc>
        <w:tc>
          <w:tcPr>
            <w:tcW w:w="3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16"/>
        </w:trPr>
        <w:tc>
          <w:tcPr>
            <w:tcW w:w="6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Severance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1,125,000</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1,575,000</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Equity Treatment</w:t>
            </w:r>
          </w:p>
        </w:tc>
        <w:tc>
          <w:tcPr>
            <w:tcW w:w="120" w:type="dxa"/>
            <w:vAlign w:val="bottom"/>
          </w:tcPr>
          <w:p>
            <w:pPr>
              <w:spacing w:after="0"/>
              <w:rPr>
                <w:sz w:val="18"/>
                <w:szCs w:val="18"/>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Health and Welfare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15,390</w:t>
            </w:r>
          </w:p>
        </w:tc>
        <w:tc>
          <w:tcPr>
            <w:tcW w:w="3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15,390</w:t>
            </w:r>
          </w:p>
        </w:tc>
        <w:tc>
          <w:tcPr>
            <w:tcW w:w="3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1,140,390</w:t>
            </w:r>
          </w:p>
        </w:tc>
        <w:tc>
          <w:tcPr>
            <w:tcW w:w="3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1,590,390</w:t>
            </w:r>
          </w:p>
        </w:tc>
        <w:tc>
          <w:tcPr>
            <w:tcW w:w="3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620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Dr. Padmanabh Chivukula</w:t>
            </w:r>
            <w:r>
              <w:rPr>
                <w:rFonts w:ascii="Times New Roman" w:cs="Times New Roman" w:eastAsia="Times New Roman" w:hAnsi="Times New Roman"/>
                <w:sz w:val="28"/>
                <w:szCs w:val="28"/>
                <w:b w:val="1"/>
                <w:bCs w:val="1"/>
                <w:color w:val="auto"/>
                <w:vertAlign w:val="superscript"/>
              </w:rPr>
              <w:t>(3) (5)</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r>
      <w:tr>
        <w:trPr>
          <w:trHeight w:val="209"/>
        </w:trPr>
        <w:tc>
          <w:tcPr>
            <w:tcW w:w="6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Severance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572,000</w:t>
            </w:r>
          </w:p>
        </w:tc>
        <w:tc>
          <w:tcPr>
            <w:tcW w:w="3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858,000</w:t>
            </w:r>
          </w:p>
        </w:tc>
        <w:tc>
          <w:tcPr>
            <w:tcW w:w="320" w:type="dxa"/>
            <w:vAlign w:val="bottom"/>
          </w:tcPr>
          <w:p>
            <w:pPr>
              <w:spacing w:after="0"/>
              <w:rPr>
                <w:sz w:val="18"/>
                <w:szCs w:val="18"/>
                <w:color w:val="auto"/>
              </w:rPr>
            </w:pPr>
          </w:p>
        </w:tc>
        <w:tc>
          <w:tcPr>
            <w:tcW w:w="14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Treatment</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Health and Welfare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10,300</w:t>
            </w:r>
          </w:p>
        </w:tc>
        <w:tc>
          <w:tcPr>
            <w:tcW w:w="3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10,300</w:t>
            </w:r>
          </w:p>
        </w:tc>
        <w:tc>
          <w:tcPr>
            <w:tcW w:w="3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582,300</w:t>
            </w:r>
          </w:p>
        </w:tc>
        <w:tc>
          <w:tcPr>
            <w:tcW w:w="34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868,300</w:t>
            </w:r>
          </w:p>
        </w:tc>
        <w:tc>
          <w:tcPr>
            <w:tcW w:w="3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6200" w:type="dxa"/>
            <w:vAlign w:val="bottom"/>
            <w:tcBorders>
              <w:bottom w:val="single" w:sz="8" w:color="CCEEFF"/>
            </w:tcBorders>
            <w:gridSpan w:val="2"/>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Andy Sassine</w:t>
            </w:r>
            <w:r>
              <w:rPr>
                <w:rFonts w:ascii="Times New Roman" w:cs="Times New Roman" w:eastAsia="Times New Roman" w:hAnsi="Times New Roman"/>
                <w:sz w:val="28"/>
                <w:szCs w:val="28"/>
                <w:b w:val="1"/>
                <w:bCs w:val="1"/>
                <w:color w:val="auto"/>
                <w:vertAlign w:val="superscript"/>
              </w:rPr>
              <w:t>(6)</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r>
      <w:tr>
        <w:trPr>
          <w:trHeight w:val="209"/>
        </w:trPr>
        <w:tc>
          <w:tcPr>
            <w:tcW w:w="6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Severance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Equity Treatment</w:t>
            </w:r>
          </w:p>
        </w:tc>
        <w:tc>
          <w:tcPr>
            <w:tcW w:w="120" w:type="dxa"/>
            <w:vAlign w:val="bottom"/>
          </w:tcPr>
          <w:p>
            <w:pPr>
              <w:spacing w:after="0"/>
              <w:rPr>
                <w:sz w:val="18"/>
                <w:szCs w:val="18"/>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Health and Welfare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620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Lance Kurata</w:t>
            </w:r>
            <w:r>
              <w:rPr>
                <w:rFonts w:ascii="Times New Roman" w:cs="Times New Roman" w:eastAsia="Times New Roman" w:hAnsi="Times New Roman"/>
                <w:sz w:val="28"/>
                <w:szCs w:val="28"/>
                <w:b w:val="1"/>
                <w:bCs w:val="1"/>
                <w:color w:val="auto"/>
                <w:vertAlign w:val="superscript"/>
              </w:rPr>
              <w:t>(3)(5)</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r>
      <w:tr>
        <w:trPr>
          <w:trHeight w:val="210"/>
        </w:trPr>
        <w:tc>
          <w:tcPr>
            <w:tcW w:w="6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Cash Severance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540,000</w:t>
            </w:r>
          </w:p>
        </w:tc>
        <w:tc>
          <w:tcPr>
            <w:tcW w:w="3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756,000</w:t>
            </w:r>
          </w:p>
        </w:tc>
        <w:tc>
          <w:tcPr>
            <w:tcW w:w="3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Treatment</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Health and Welfare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10,300</w:t>
            </w:r>
          </w:p>
        </w:tc>
        <w:tc>
          <w:tcPr>
            <w:tcW w:w="3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10,300</w:t>
            </w:r>
          </w:p>
        </w:tc>
        <w:tc>
          <w:tcPr>
            <w:tcW w:w="3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550,300</w:t>
            </w:r>
          </w:p>
        </w:tc>
        <w:tc>
          <w:tcPr>
            <w:tcW w:w="34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766,300</w:t>
            </w:r>
          </w:p>
        </w:tc>
        <w:tc>
          <w:tcPr>
            <w:tcW w:w="3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200" w:type="dxa"/>
            <w:vAlign w:val="bottom"/>
            <w:tcBorders>
              <w:bottom w:val="single" w:sz="8" w:color="CCEEFF"/>
            </w:tcBorders>
            <w:gridSpan w:val="2"/>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Joseph Roberts</w:t>
            </w:r>
            <w:r>
              <w:rPr>
                <w:rFonts w:ascii="Times New Roman" w:cs="Times New Roman" w:eastAsia="Times New Roman" w:hAnsi="Times New Roman"/>
                <w:sz w:val="28"/>
                <w:szCs w:val="28"/>
                <w:b w:val="1"/>
                <w:bCs w:val="1"/>
                <w:color w:val="auto"/>
                <w:vertAlign w:val="superscript"/>
              </w:rPr>
              <w:t>(7)</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r>
      <w:tr>
        <w:trPr>
          <w:trHeight w:val="210"/>
        </w:trPr>
        <w:tc>
          <w:tcPr>
            <w:tcW w:w="6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Severance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Equity Treatment</w:t>
            </w:r>
          </w:p>
        </w:tc>
        <w:tc>
          <w:tcPr>
            <w:tcW w:w="120" w:type="dxa"/>
            <w:vAlign w:val="bottom"/>
          </w:tcPr>
          <w:p>
            <w:pPr>
              <w:spacing w:after="0"/>
              <w:rPr>
                <w:sz w:val="18"/>
                <w:szCs w:val="18"/>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Health and Welfare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4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r>
    </w:tbl>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43" w:name="page44"/>
    <w:bookmarkEnd w:id="43"/>
    <w:p>
      <w:pPr>
        <w:ind w:firstLine="8"/>
        <w:spacing w:after="0" w:line="284"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above in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xml:space="preserve"> for the definition of "good reason" under the employment agreements with our NEOs.</w:t>
      </w:r>
    </w:p>
    <w:p>
      <w:pPr>
        <w:spacing w:after="0" w:line="160" w:lineRule="exact"/>
        <w:rPr>
          <w:rFonts w:ascii="Times New Roman" w:cs="Times New Roman" w:eastAsia="Times New Roman" w:hAnsi="Times New Roman"/>
          <w:sz w:val="18"/>
          <w:szCs w:val="18"/>
          <w:color w:val="auto"/>
        </w:rPr>
      </w:pPr>
    </w:p>
    <w:p>
      <w:pPr>
        <w:jc w:val="both"/>
        <w:ind w:firstLine="8"/>
        <w:spacing w:after="0" w:line="266" w:lineRule="auto"/>
        <w:tabs>
          <w:tab w:leader="none" w:pos="2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Severance Policy, the NEOs are entitled to accelerated equity award vesting if their employment is terminated or they resign for good reason within 18 months of a change of control. In the case of unvested options, the value represents the excess of fair market value over the exercise price of the unvested options, multiplied by the number of shares of common stock underlying such unvested options.</w:t>
      </w:r>
    </w:p>
    <w:p>
      <w:pPr>
        <w:spacing w:after="0" w:line="175" w:lineRule="exact"/>
        <w:rPr>
          <w:rFonts w:ascii="Times New Roman" w:cs="Times New Roman" w:eastAsia="Times New Roman" w:hAnsi="Times New Roman"/>
          <w:sz w:val="18"/>
          <w:szCs w:val="18"/>
          <w:color w:val="auto"/>
        </w:rPr>
      </w:pPr>
    </w:p>
    <w:p>
      <w:pPr>
        <w:jc w:val="both"/>
        <w:ind w:firstLine="8"/>
        <w:spacing w:after="0" w:line="258" w:lineRule="auto"/>
        <w:tabs>
          <w:tab w:leader="none" w:pos="2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Cash Severance, amount represents the payment of an amount equal to 12 months of the employee’s annual base salary, as well as (i) for involuntary termination without cause or resignation for good reason not in connection with a change of control, a lump sum payment of the pro rata portion of the executive’s annual bonus for the year of termination or resignation based actual performance (a “Performance Bonus”), and (ii) for involuntary termination without cause or resignation with good reason in connection with a change of control, a Performance Bonus and a lump sum payment in an amount equal to the executive’s target annual bonus for the year of termination or resignation (a “Target Bonus”).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Health and Welfare, amount represents the estimated value of providing the employee and their dependents with health benefits for 12 months following the date of termination or resignation for good reason. This amount is calculated based on the current market rate of COBRA premiums in California.</w:t>
      </w:r>
    </w:p>
    <w:p>
      <w:pPr>
        <w:spacing w:after="0" w:line="176" w:lineRule="exact"/>
        <w:rPr>
          <w:sz w:val="20"/>
          <w:szCs w:val="20"/>
          <w:color w:val="auto"/>
        </w:rPr>
      </w:pPr>
    </w:p>
    <w:p>
      <w:pPr>
        <w:jc w:val="both"/>
        <w:ind w:firstLine="8"/>
        <w:spacing w:after="0" w:line="266" w:lineRule="auto"/>
        <w:tabs>
          <w:tab w:leader="none" w:pos="28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Cash Severance, amount represents the payment of an amount equal to 18 months of the employee’s annual base salary, as well as (i) for involuntary termination without cause or resignation for good reason not in connection with a change of control, a Performance Bonus, and (ii) for involuntary termination without cause or resignation with good reason in connection with a change of control, a Performance Bonus and a Target Bonus.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Health and Welfare, amount represents the estimated value of providing the employee and their dependents with health benefits for 18 months following the date of termination or resignation for good reason. This amount is calculated based on the current market rate of COBRA premiums in California.</w:t>
      </w:r>
    </w:p>
    <w:p>
      <w:pPr>
        <w:spacing w:after="0" w:line="176" w:lineRule="exact"/>
        <w:rPr>
          <w:sz w:val="20"/>
          <w:szCs w:val="20"/>
          <w:color w:val="auto"/>
        </w:rPr>
      </w:pPr>
    </w:p>
    <w:p>
      <w:pPr>
        <w:ind w:firstLine="8"/>
        <w:spacing w:after="0" w:line="282" w:lineRule="auto"/>
        <w:tabs>
          <w:tab w:leader="none" w:pos="2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Equity Treatment, amount represents the estimated value of accelerated vesting of stock options subject to outstanding stock options upon a termination or resignation for good reason prior to December 31, 2025.</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Sassine’s employment with the Company terminated effective December 31, 2025. His severance benefits were determined as of that date and paid in January 2026.</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Roberts was not entitled to severance or change-in-control benefits under the Company’s arrangements; accordingly, no amounts are shown.</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2025, Mr. Payne’s total annual compensation as disclosed in the Summary Compensation Table was $1,691,000, and the total annual compensation for our median employee was $208,500, resulting in a pay ratio of 8.1 (the “Pay Ratio”).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identify the median employee and calculate the annual total compensation of the median-paid employee, we determined (i) the total number of part-time and full-time individuals employed at any point during fiscal year 2025, and (ii) the sum of the salary, bonus, and share-based compensation incurred for each employee.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pay ratio reported above is a reasonable estimate calculated in a manner consistent with SEC rules based on our internal records and the methodology described above. Because the SEC rules for identifying the median compensated employee and calculating pay ratio allow companies to adopt a variety of methodologies, apply certain exclusions, and make reasonable estimates and assumptions that reflect their employee populations and compensation practices, our pay ratio may not be comparable to the pay ratios reported by other companies.</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Results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shows the information used for the calculation of the ratio of the estimated annual total compensation of the median employee identified using the methodology described above to the annual total compensation of Mr. Payne as calculated for the Summary Compensation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1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940" w:type="dxa"/>
            <w:vAlign w:val="bottom"/>
          </w:tcPr>
          <w:p>
            <w:pPr>
              <w:spacing w:after="0"/>
              <w:rPr>
                <w:sz w:val="20"/>
                <w:szCs w:val="20"/>
                <w:color w:val="auto"/>
              </w:rPr>
            </w:pP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E. Payne</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941,000</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1,691,000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Median Employee</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176,400</w:t>
            </w:r>
          </w:p>
        </w:tc>
        <w:tc>
          <w:tcPr>
            <w:tcW w:w="1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32,100</w:t>
            </w:r>
          </w:p>
        </w:tc>
        <w:tc>
          <w:tcPr>
            <w:tcW w:w="1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208,500</w:t>
            </w:r>
          </w:p>
        </w:tc>
      </w:tr>
      <w:tr>
        <w:trPr>
          <w:trHeight w:val="216"/>
        </w:trPr>
        <w:tc>
          <w:tcPr>
            <w:tcW w:w="3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Ratio of Median Employee’s to Mr. Payne’s Annual Total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For the most recently completed fiscal year, we did not use any financial performance measure to link Compensation Actually Paid to our NEOs to the Company’s performance; accordingly, this disclosure does not present a company-selected measure in the table below nor a tabular list of our most important performance measures, as permitted under the rules promulgated by the Securities and Exchange Commission. The Compensation Committee did not consider the pay versus performance disclosure below in making its pay decisions for any of the years shown.</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400" w:type="dxa"/>
            <w:vAlign w:val="bottom"/>
            <w:tcBorders>
              <w:top w:val="single" w:sz="8" w:color="auto"/>
              <w:left w:val="single" w:sz="8" w:color="auto"/>
              <w:right w:val="single" w:sz="8" w:color="auto"/>
            </w:tcBorders>
          </w:tcPr>
          <w:p>
            <w:pPr>
              <w:spacing w:after="0"/>
              <w:rPr>
                <w:sz w:val="18"/>
                <w:szCs w:val="18"/>
                <w:color w:val="auto"/>
              </w:rPr>
            </w:pPr>
          </w:p>
        </w:tc>
        <w:tc>
          <w:tcPr>
            <w:tcW w:w="150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40" w:type="dxa"/>
            <w:vAlign w:val="bottom"/>
            <w:tcBorders>
              <w:top w:val="single" w:sz="8" w:color="auto"/>
              <w:right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2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Actually Paid to</w:t>
            </w:r>
          </w:p>
        </w:tc>
        <w:tc>
          <w:tcPr>
            <w:tcW w:w="1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Table Total for</w:t>
            </w:r>
          </w:p>
        </w:tc>
        <w:tc>
          <w:tcPr>
            <w:tcW w:w="1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Actually Paid to</w:t>
            </w:r>
          </w:p>
        </w:tc>
        <w:tc>
          <w:tcPr>
            <w:tcW w:w="132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Borders>
              <w:left w:val="single" w:sz="8" w:color="auto"/>
              <w:right w:val="single" w:sz="8" w:color="auto"/>
            </w:tcBorders>
          </w:tcPr>
          <w:p>
            <w:pPr>
              <w:spacing w:after="0"/>
              <w:rPr>
                <w:sz w:val="19"/>
                <w:szCs w:val="19"/>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Table Total for</w:t>
            </w:r>
          </w:p>
        </w:tc>
        <w:tc>
          <w:tcPr>
            <w:tcW w:w="1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Joseph E.</w:t>
            </w:r>
          </w:p>
        </w:tc>
        <w:tc>
          <w:tcPr>
            <w:tcW w:w="1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Non-PEO</w:t>
            </w:r>
          </w:p>
        </w:tc>
        <w:tc>
          <w:tcPr>
            <w:tcW w:w="1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Non-PEO</w:t>
            </w:r>
          </w:p>
        </w:tc>
        <w:tc>
          <w:tcPr>
            <w:tcW w:w="26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Value of Initial Fixed $100</w:t>
            </w:r>
          </w:p>
        </w:tc>
        <w:tc>
          <w:tcPr>
            <w:tcW w:w="1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400" w:type="dxa"/>
            <w:vAlign w:val="bottom"/>
            <w:tcBorders>
              <w:left w:val="single" w:sz="8" w:color="auto"/>
              <w:right w:val="single" w:sz="8" w:color="auto"/>
            </w:tcBorders>
          </w:tcPr>
          <w:p>
            <w:pPr>
              <w:spacing w:after="0"/>
              <w:rPr>
                <w:sz w:val="19"/>
                <w:szCs w:val="19"/>
                <w:color w:val="auto"/>
              </w:rPr>
            </w:pPr>
          </w:p>
        </w:tc>
        <w:tc>
          <w:tcPr>
            <w:tcW w:w="1500" w:type="dxa"/>
            <w:vAlign w:val="bottom"/>
            <w:tcBorders>
              <w:right w:val="single" w:sz="8" w:color="auto"/>
            </w:tcBorders>
          </w:tcPr>
          <w:p>
            <w:pPr>
              <w:ind w:left="100"/>
              <w:spacing w:after="0" w:line="221" w:lineRule="exact"/>
              <w:rPr>
                <w:sz w:val="20"/>
                <w:szCs w:val="20"/>
                <w:color w:val="auto"/>
              </w:rPr>
            </w:pPr>
            <w:r>
              <w:rPr>
                <w:rFonts w:ascii="Times New Roman" w:cs="Times New Roman" w:eastAsia="Times New Roman" w:hAnsi="Times New Roman"/>
                <w:sz w:val="16"/>
                <w:szCs w:val="16"/>
                <w:b w:val="1"/>
                <w:bCs w:val="1"/>
                <w:color w:val="auto"/>
              </w:rPr>
              <w:t>Joseph E. Payne</w:t>
            </w:r>
            <w:r>
              <w:rPr>
                <w:rFonts w:ascii="Times New Roman" w:cs="Times New Roman" w:eastAsia="Times New Roman" w:hAnsi="Times New Roman"/>
                <w:sz w:val="25"/>
                <w:szCs w:val="25"/>
                <w:b w:val="1"/>
                <w:bCs w:val="1"/>
                <w:color w:val="auto"/>
                <w:vertAlign w:val="superscript"/>
              </w:rPr>
              <w:t>1</w:t>
            </w:r>
          </w:p>
        </w:tc>
        <w:tc>
          <w:tcPr>
            <w:tcW w:w="1480" w:type="dxa"/>
            <w:vAlign w:val="bottom"/>
            <w:tcBorders>
              <w:right w:val="single" w:sz="8" w:color="auto"/>
            </w:tcBorders>
          </w:tcPr>
          <w:p>
            <w:pPr>
              <w:ind w:left="100"/>
              <w:spacing w:after="0" w:line="221" w:lineRule="exact"/>
              <w:rPr>
                <w:sz w:val="20"/>
                <w:szCs w:val="20"/>
                <w:color w:val="auto"/>
              </w:rPr>
            </w:pPr>
            <w:r>
              <w:rPr>
                <w:rFonts w:ascii="Times New Roman" w:cs="Times New Roman" w:eastAsia="Times New Roman" w:hAnsi="Times New Roman"/>
                <w:sz w:val="25"/>
                <w:szCs w:val="25"/>
                <w:b w:val="1"/>
                <w:bCs w:val="1"/>
                <w:color w:val="auto"/>
                <w:vertAlign w:val="subscript"/>
              </w:rPr>
              <w:t>Payne</w:t>
            </w:r>
            <w:r>
              <w:rPr>
                <w:rFonts w:ascii="Times New Roman" w:cs="Times New Roman" w:eastAsia="Times New Roman" w:hAnsi="Times New Roman"/>
                <w:sz w:val="12"/>
                <w:szCs w:val="12"/>
                <w:b w:val="1"/>
                <w:bCs w:val="1"/>
                <w:color w:val="auto"/>
              </w:rPr>
              <w:t>1,2,3</w:t>
            </w:r>
          </w:p>
        </w:tc>
        <w:tc>
          <w:tcPr>
            <w:tcW w:w="1460" w:type="dxa"/>
            <w:vAlign w:val="bottom"/>
            <w:tcBorders>
              <w:right w:val="single" w:sz="8" w:color="auto"/>
            </w:tcBorders>
          </w:tcPr>
          <w:p>
            <w:pPr>
              <w:ind w:left="100"/>
              <w:spacing w:after="0" w:line="221" w:lineRule="exact"/>
              <w:rPr>
                <w:sz w:val="20"/>
                <w:szCs w:val="20"/>
                <w:color w:val="auto"/>
              </w:rPr>
            </w:pPr>
            <w:r>
              <w:rPr>
                <w:rFonts w:ascii="Times New Roman" w:cs="Times New Roman" w:eastAsia="Times New Roman" w:hAnsi="Times New Roman"/>
                <w:sz w:val="25"/>
                <w:szCs w:val="25"/>
                <w:b w:val="1"/>
                <w:bCs w:val="1"/>
                <w:color w:val="auto"/>
                <w:vertAlign w:val="subscript"/>
              </w:rPr>
              <w:t>NEOs</w:t>
            </w:r>
            <w:r>
              <w:rPr>
                <w:rFonts w:ascii="Times New Roman" w:cs="Times New Roman" w:eastAsia="Times New Roman" w:hAnsi="Times New Roman"/>
                <w:sz w:val="12"/>
                <w:szCs w:val="12"/>
                <w:b w:val="1"/>
                <w:bCs w:val="1"/>
                <w:color w:val="auto"/>
              </w:rPr>
              <w:t>1,2,3</w:t>
            </w:r>
          </w:p>
        </w:tc>
        <w:tc>
          <w:tcPr>
            <w:tcW w:w="1440" w:type="dxa"/>
            <w:vAlign w:val="bottom"/>
            <w:tcBorders>
              <w:right w:val="single" w:sz="8" w:color="auto"/>
            </w:tcBorders>
          </w:tcPr>
          <w:p>
            <w:pPr>
              <w:ind w:left="80"/>
              <w:spacing w:after="0" w:line="221" w:lineRule="exact"/>
              <w:rPr>
                <w:sz w:val="20"/>
                <w:szCs w:val="20"/>
                <w:color w:val="auto"/>
              </w:rPr>
            </w:pPr>
            <w:r>
              <w:rPr>
                <w:rFonts w:ascii="Times New Roman" w:cs="Times New Roman" w:eastAsia="Times New Roman" w:hAnsi="Times New Roman"/>
                <w:sz w:val="25"/>
                <w:szCs w:val="25"/>
                <w:b w:val="1"/>
                <w:bCs w:val="1"/>
                <w:color w:val="auto"/>
                <w:vertAlign w:val="subscript"/>
              </w:rPr>
              <w:t>NEOs</w:t>
            </w:r>
            <w:r>
              <w:rPr>
                <w:rFonts w:ascii="Times New Roman" w:cs="Times New Roman" w:eastAsia="Times New Roman" w:hAnsi="Times New Roman"/>
                <w:sz w:val="12"/>
                <w:szCs w:val="12"/>
                <w:b w:val="1"/>
                <w:bCs w:val="1"/>
                <w:color w:val="auto"/>
              </w:rPr>
              <w:t>1,2,3</w:t>
            </w:r>
          </w:p>
        </w:tc>
        <w:tc>
          <w:tcPr>
            <w:tcW w:w="2640" w:type="dxa"/>
            <w:vAlign w:val="bottom"/>
            <w:tcBorders>
              <w:right w:val="single" w:sz="8" w:color="auto"/>
            </w:tcBorders>
            <w:gridSpan w:val="2"/>
            <w:vMerge w:val="continue"/>
          </w:tcPr>
          <w:p>
            <w:pPr>
              <w:spacing w:after="0"/>
              <w:rPr>
                <w:sz w:val="19"/>
                <w:szCs w:val="19"/>
                <w:color w:val="auto"/>
              </w:rPr>
            </w:pPr>
          </w:p>
        </w:tc>
        <w:tc>
          <w:tcPr>
            <w:tcW w:w="13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40" w:type="dxa"/>
            <w:vAlign w:val="bottom"/>
            <w:tcBorders>
              <w:bottom w:val="single" w:sz="8" w:color="auto"/>
              <w:right w:val="single" w:sz="8" w:color="auto"/>
            </w:tcBorders>
            <w:gridSpan w:val="2"/>
          </w:tcPr>
          <w:p>
            <w:pPr>
              <w:ind w:left="80"/>
              <w:spacing w:after="0" w:line="270" w:lineRule="exact"/>
              <w:rPr>
                <w:sz w:val="20"/>
                <w:szCs w:val="20"/>
                <w:color w:val="auto"/>
              </w:rPr>
            </w:pPr>
            <w:r>
              <w:rPr>
                <w:rFonts w:ascii="Times New Roman" w:cs="Times New Roman" w:eastAsia="Times New Roman" w:hAnsi="Times New Roman"/>
                <w:sz w:val="18"/>
                <w:szCs w:val="18"/>
                <w:b w:val="1"/>
                <w:bCs w:val="1"/>
                <w:color w:val="auto"/>
              </w:rPr>
              <w:t>Investment based on:</w:t>
            </w:r>
            <w:r>
              <w:rPr>
                <w:rFonts w:ascii="Times New Roman" w:cs="Times New Roman" w:eastAsia="Times New Roman" w:hAnsi="Times New Roman"/>
                <w:sz w:val="29"/>
                <w:szCs w:val="29"/>
                <w:b w:val="1"/>
                <w:bCs w:val="1"/>
                <w:color w:val="auto"/>
                <w:vertAlign w:val="superscript"/>
              </w:rPr>
              <w:t>4</w:t>
            </w:r>
          </w:p>
        </w:tc>
        <w:tc>
          <w:tcPr>
            <w:tcW w:w="132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Millions)</w:t>
            </w:r>
          </w:p>
        </w:tc>
        <w:tc>
          <w:tcPr>
            <w:tcW w:w="0" w:type="dxa"/>
            <w:vAlign w:val="bottom"/>
          </w:tcPr>
          <w:p>
            <w:pPr>
              <w:spacing w:after="0"/>
              <w:rPr>
                <w:sz w:val="1"/>
                <w:szCs w:val="1"/>
                <w:color w:val="auto"/>
              </w:rPr>
            </w:pPr>
          </w:p>
        </w:tc>
      </w:tr>
      <w:tr>
        <w:trPr>
          <w:trHeight w:val="187"/>
        </w:trPr>
        <w:tc>
          <w:tcPr>
            <w:tcW w:w="140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Peer Group</w:t>
            </w: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TSR ($)</w:t>
            </w:r>
          </w:p>
        </w:tc>
        <w:tc>
          <w:tcPr>
            <w:tcW w:w="13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TSR ($)</w:t>
            </w:r>
          </w:p>
        </w:tc>
        <w:tc>
          <w:tcPr>
            <w:tcW w:w="1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0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1,691,000</w:t>
            </w:r>
          </w:p>
        </w:tc>
        <w:tc>
          <w:tcPr>
            <w:tcW w:w="1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(2,172,603)</w:t>
            </w:r>
          </w:p>
        </w:tc>
        <w:tc>
          <w:tcPr>
            <w:tcW w:w="146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786,770</w:t>
            </w:r>
          </w:p>
        </w:tc>
        <w:tc>
          <w:tcPr>
            <w:tcW w:w="14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(403,290)</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14.13</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119.92</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0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3,696,808</w:t>
            </w:r>
          </w:p>
        </w:tc>
        <w:tc>
          <w:tcPr>
            <w:tcW w:w="1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(2,140,684)</w:t>
            </w:r>
          </w:p>
        </w:tc>
        <w:tc>
          <w:tcPr>
            <w:tcW w:w="14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1,562,907</w:t>
            </w:r>
          </w:p>
        </w:tc>
        <w:tc>
          <w:tcPr>
            <w:tcW w:w="1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(1,198,861)</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39.12</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90.58</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0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4,892,500</w:t>
            </w:r>
          </w:p>
        </w:tc>
        <w:tc>
          <w:tcPr>
            <w:tcW w:w="14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9,794,227</w:t>
            </w:r>
          </w:p>
        </w:tc>
        <w:tc>
          <w:tcPr>
            <w:tcW w:w="146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2,485,333</w:t>
            </w:r>
          </w:p>
        </w:tc>
        <w:tc>
          <w:tcPr>
            <w:tcW w:w="144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4,673,949</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72.68</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91.84</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0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5,594,000</w:t>
            </w:r>
          </w:p>
        </w:tc>
        <w:tc>
          <w:tcPr>
            <w:tcW w:w="148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2,673,712</w:t>
            </w:r>
          </w:p>
        </w:tc>
        <w:tc>
          <w:tcPr>
            <w:tcW w:w="14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3,125,688</w:t>
            </w:r>
          </w:p>
        </w:tc>
        <w:tc>
          <w:tcPr>
            <w:tcW w:w="14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1,256,688</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39.10</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88.53</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w:t>
            </w:r>
          </w:p>
        </w:tc>
        <w:tc>
          <w:tcPr>
            <w:tcW w:w="0" w:type="dxa"/>
            <w:vAlign w:val="bottom"/>
          </w:tcPr>
          <w:p>
            <w:pPr>
              <w:spacing w:after="0"/>
              <w:rPr>
                <w:sz w:val="1"/>
                <w:szCs w:val="1"/>
                <w:color w:val="auto"/>
              </w:rPr>
            </w:pPr>
          </w:p>
        </w:tc>
      </w:tr>
      <w:tr>
        <w:trPr>
          <w:trHeight w:val="210"/>
        </w:trPr>
        <w:tc>
          <w:tcPr>
            <w:tcW w:w="14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50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960,000</w:t>
            </w:r>
          </w:p>
        </w:tc>
        <w:tc>
          <w:tcPr>
            <w:tcW w:w="14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62,056</w:t>
            </w:r>
          </w:p>
        </w:tc>
        <w:tc>
          <w:tcPr>
            <w:tcW w:w="146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676,000</w:t>
            </w:r>
          </w:p>
        </w:tc>
        <w:tc>
          <w:tcPr>
            <w:tcW w:w="144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232,220</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85.32</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99.37</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1.Joseph E. Payne was our PEO for each year presented. The individuals comprising the Non-PEO NEOs for each year presented are listed below.</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6"/>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Andy Sassine</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Andy Sassine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Andy Sassine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Andy Sassine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Andy Sassine</w:t>
            </w:r>
          </w:p>
        </w:tc>
      </w:tr>
      <w:tr>
        <w:trPr>
          <w:trHeight w:val="198"/>
        </w:trPr>
        <w:tc>
          <w:tcPr>
            <w:tcW w:w="23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Dr. Padmanabh</w:t>
            </w:r>
          </w:p>
        </w:tc>
        <w:tc>
          <w:tcPr>
            <w:tcW w:w="22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Dr. Padmanabh</w:t>
            </w: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Dr. Padmanabh</w:t>
            </w: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Dr. Padmanabh</w:t>
            </w: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Dr. Padmanabh</w:t>
            </w:r>
          </w:p>
        </w:tc>
      </w:tr>
      <w:tr>
        <w:trPr>
          <w:trHeight w:val="234"/>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Chivukula</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Chivukula</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Chivukula</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Chivukula</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Chivukula</w:t>
            </w:r>
          </w:p>
        </w:tc>
      </w:tr>
      <w:tr>
        <w:trPr>
          <w:trHeight w:val="216"/>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Lance Kurata</w:t>
            </w:r>
          </w:p>
        </w:tc>
        <w:tc>
          <w:tcPr>
            <w:tcW w:w="220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Lance Kurata</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Lance Kurata</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Lance Kurata</w:t>
            </w:r>
          </w:p>
        </w:tc>
      </w:tr>
      <w:tr>
        <w:trPr>
          <w:trHeight w:val="234"/>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Dr. Steven Hughes</w:t>
            </w:r>
          </w:p>
        </w:tc>
        <w:tc>
          <w:tcPr>
            <w:tcW w:w="2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Joe Roberts</w:t>
            </w:r>
          </w:p>
        </w:tc>
      </w:tr>
    </w:tbl>
    <w:p>
      <w:pPr>
        <w:spacing w:after="0" w:line="179" w:lineRule="exact"/>
        <w:rPr>
          <w:sz w:val="20"/>
          <w:szCs w:val="20"/>
          <w:color w:val="auto"/>
        </w:rPr>
      </w:pPr>
    </w:p>
    <w:p>
      <w:pPr>
        <w:ind w:left="140" w:right="40" w:hanging="134"/>
        <w:spacing w:after="0" w:line="266" w:lineRule="auto"/>
        <w:rPr>
          <w:sz w:val="20"/>
          <w:szCs w:val="20"/>
          <w:color w:val="auto"/>
        </w:rPr>
      </w:pPr>
      <w:r>
        <w:rPr>
          <w:rFonts w:ascii="Times New Roman" w:cs="Times New Roman" w:eastAsia="Times New Roman" w:hAnsi="Times New Roman"/>
          <w:sz w:val="18"/>
          <w:szCs w:val="18"/>
          <w:color w:val="auto"/>
        </w:rPr>
        <w:t>2.The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176" w:lineRule="exact"/>
        <w:rPr>
          <w:sz w:val="20"/>
          <w:szCs w:val="20"/>
          <w:color w:val="auto"/>
        </w:rPr>
      </w:pPr>
    </w:p>
    <w:p>
      <w:pPr>
        <w:ind w:left="140" w:right="320" w:hanging="134"/>
        <w:spacing w:after="0" w:line="266" w:lineRule="auto"/>
        <w:rPr>
          <w:sz w:val="20"/>
          <w:szCs w:val="20"/>
          <w:color w:val="auto"/>
        </w:rPr>
      </w:pPr>
      <w:r>
        <w:rPr>
          <w:rFonts w:ascii="Times New Roman" w:cs="Times New Roman" w:eastAsia="Times New Roman" w:hAnsi="Times New Roman"/>
          <w:sz w:val="18"/>
          <w:szCs w:val="18"/>
          <w:color w:val="auto"/>
        </w:rPr>
        <w:t>3.Compensation Actually Paid reflects the exclusions and inclusions of certain amounts for the PEO and the Non-PEO NEOs as set forth below. Equity values are calculated in accordance with FASB ASC Topic 718. Amounts in the Exclusion of Option Awards column are the totals from the Option Awards column set forth in the Summary Compensation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6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Summary Compensation</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Exclusion of Option</w:t>
            </w:r>
          </w:p>
        </w:tc>
        <w:tc>
          <w:tcPr>
            <w:tcW w:w="25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6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Table Total for Joseph 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for Joseph E.</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Inclusion of Equity Values</w:t>
            </w:r>
          </w:p>
        </w:tc>
        <w:tc>
          <w:tcPr>
            <w:tcW w:w="23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Compensation Actually</w:t>
            </w:r>
          </w:p>
        </w:tc>
      </w:tr>
      <w:tr>
        <w:trPr>
          <w:trHeight w:val="216"/>
        </w:trPr>
        <w:tc>
          <w:tcPr>
            <w:tcW w:w="1260" w:type="dxa"/>
            <w:vAlign w:val="bottom"/>
          </w:tcPr>
          <w:p>
            <w:pPr>
              <w:spacing w:after="0"/>
              <w:rPr>
                <w:sz w:val="18"/>
                <w:szCs w:val="18"/>
                <w:color w:val="auto"/>
              </w:rPr>
            </w:pPr>
          </w:p>
        </w:tc>
        <w:tc>
          <w:tcPr>
            <w:tcW w:w="26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Payne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Payne</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Joseph E. Payne</w:t>
            </w:r>
          </w:p>
        </w:tc>
        <w:tc>
          <w:tcPr>
            <w:tcW w:w="23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Paid to Joseph E. Payne</w:t>
            </w:r>
          </w:p>
        </w:tc>
      </w:tr>
      <w:tr>
        <w:trPr>
          <w:trHeight w:val="238"/>
        </w:trPr>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6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3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2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1,691,000</w:t>
            </w:r>
          </w:p>
        </w:tc>
        <w:tc>
          <w:tcPr>
            <w:tcW w:w="2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(941,000)</w:t>
            </w:r>
          </w:p>
        </w:tc>
        <w:tc>
          <w:tcPr>
            <w:tcW w:w="2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(2,922,603)</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(2,172,603)</w:t>
            </w:r>
          </w:p>
        </w:tc>
      </w:tr>
      <w:tr>
        <w:trPr>
          <w:trHeight w:val="216"/>
        </w:trPr>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3,696,808</w:t>
            </w:r>
          </w:p>
        </w:tc>
        <w:tc>
          <w:tcPr>
            <w:tcW w:w="2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(2,634,808)</w:t>
            </w:r>
          </w:p>
        </w:tc>
        <w:tc>
          <w:tcPr>
            <w:tcW w:w="2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(3,202,684)</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(2,140,684)</w:t>
            </w:r>
          </w:p>
        </w:tc>
      </w:tr>
      <w:tr>
        <w:trPr>
          <w:trHeight w:val="216"/>
        </w:trPr>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2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4,892,500</w:t>
            </w:r>
          </w:p>
        </w:tc>
        <w:tc>
          <w:tcPr>
            <w:tcW w:w="2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(3,986,000)</w:t>
            </w:r>
          </w:p>
        </w:tc>
        <w:tc>
          <w:tcPr>
            <w:tcW w:w="2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8,797,727</w:t>
            </w:r>
          </w:p>
        </w:tc>
        <w:tc>
          <w:tcPr>
            <w:tcW w:w="2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9,794,227</w:t>
            </w:r>
          </w:p>
        </w:tc>
      </w:tr>
      <w:tr>
        <w:trPr>
          <w:trHeight w:val="216"/>
        </w:trPr>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2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5,594,000</w:t>
            </w:r>
          </w:p>
        </w:tc>
        <w:tc>
          <w:tcPr>
            <w:tcW w:w="2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(4,460,000)</w:t>
            </w:r>
          </w:p>
        </w:tc>
        <w:tc>
          <w:tcPr>
            <w:tcW w:w="2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1,539,712</w:t>
            </w:r>
          </w:p>
        </w:tc>
        <w:tc>
          <w:tcPr>
            <w:tcW w:w="2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2,673,712</w:t>
            </w:r>
          </w:p>
        </w:tc>
      </w:tr>
      <w:tr>
        <w:trPr>
          <w:trHeight w:val="216"/>
        </w:trPr>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2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960,000</w:t>
            </w:r>
          </w:p>
        </w:tc>
        <w:tc>
          <w:tcPr>
            <w:tcW w:w="2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(897,944)</w:t>
            </w:r>
          </w:p>
        </w:tc>
        <w:tc>
          <w:tcPr>
            <w:tcW w:w="2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62,056</w:t>
            </w:r>
          </w:p>
        </w:tc>
      </w:tr>
      <w:tr>
        <w:trPr>
          <w:trHeight w:val="410"/>
        </w:trPr>
        <w:tc>
          <w:tcPr>
            <w:tcW w:w="1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Exclusion of Stock</w:t>
            </w:r>
          </w:p>
        </w:tc>
        <w:tc>
          <w:tcPr>
            <w:tcW w:w="25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26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Average Summary</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and Option</w:t>
            </w:r>
          </w:p>
        </w:tc>
        <w:tc>
          <w:tcPr>
            <w:tcW w:w="2520" w:type="dxa"/>
            <w:vAlign w:val="bottom"/>
          </w:tcPr>
          <w:p>
            <w:pPr>
              <w:spacing w:after="0"/>
              <w:rPr>
                <w:sz w:val="18"/>
                <w:szCs w:val="18"/>
                <w:color w:val="auto"/>
              </w:rPr>
            </w:pPr>
          </w:p>
        </w:tc>
        <w:tc>
          <w:tcPr>
            <w:tcW w:w="23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Average Compensation</w:t>
            </w:r>
          </w:p>
        </w:tc>
      </w:tr>
      <w:tr>
        <w:trPr>
          <w:trHeight w:val="216"/>
        </w:trPr>
        <w:tc>
          <w:tcPr>
            <w:tcW w:w="1260" w:type="dxa"/>
            <w:vAlign w:val="bottom"/>
          </w:tcPr>
          <w:p>
            <w:pPr>
              <w:spacing w:after="0"/>
              <w:rPr>
                <w:sz w:val="18"/>
                <w:szCs w:val="18"/>
                <w:color w:val="auto"/>
              </w:rPr>
            </w:pPr>
          </w:p>
        </w:tc>
        <w:tc>
          <w:tcPr>
            <w:tcW w:w="26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Compensation Table Total</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for Non-PEO</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Inclusion of Equity</w:t>
            </w:r>
          </w:p>
        </w:tc>
        <w:tc>
          <w:tcPr>
            <w:tcW w:w="23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Actually Paid to Non-PEO</w:t>
            </w:r>
          </w:p>
        </w:tc>
      </w:tr>
      <w:tr>
        <w:trPr>
          <w:trHeight w:val="216"/>
        </w:trPr>
        <w:tc>
          <w:tcPr>
            <w:tcW w:w="1260" w:type="dxa"/>
            <w:vAlign w:val="bottom"/>
          </w:tcPr>
          <w:p>
            <w:pPr>
              <w:spacing w:after="0"/>
              <w:rPr>
                <w:sz w:val="18"/>
                <w:szCs w:val="18"/>
                <w:color w:val="auto"/>
              </w:rPr>
            </w:pPr>
          </w:p>
        </w:tc>
        <w:tc>
          <w:tcPr>
            <w:tcW w:w="26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for Non-PEO NEOs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Values for Non-PEO NEOs</w:t>
            </w:r>
          </w:p>
        </w:tc>
        <w:tc>
          <w:tcPr>
            <w:tcW w:w="23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NEOs</w:t>
            </w:r>
          </w:p>
        </w:tc>
      </w:tr>
      <w:tr>
        <w:trPr>
          <w:trHeight w:val="238"/>
        </w:trPr>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6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3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2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786,770</w:t>
            </w:r>
          </w:p>
        </w:tc>
        <w:tc>
          <w:tcPr>
            <w:tcW w:w="2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(165,875)</w:t>
            </w:r>
          </w:p>
        </w:tc>
        <w:tc>
          <w:tcPr>
            <w:tcW w:w="2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(1,022,185)</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(403,290)</w:t>
            </w:r>
          </w:p>
        </w:tc>
      </w:tr>
      <w:tr>
        <w:trPr>
          <w:trHeight w:val="216"/>
        </w:trPr>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1,562,907</w:t>
            </w:r>
          </w:p>
        </w:tc>
        <w:tc>
          <w:tcPr>
            <w:tcW w:w="2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(806,574)</w:t>
            </w:r>
          </w:p>
        </w:tc>
        <w:tc>
          <w:tcPr>
            <w:tcW w:w="2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(1,955,194)</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(1,198,861)</w:t>
            </w:r>
          </w:p>
        </w:tc>
      </w:tr>
      <w:tr>
        <w:trPr>
          <w:trHeight w:val="216"/>
        </w:trPr>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2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2,485,333</w:t>
            </w:r>
          </w:p>
        </w:tc>
        <w:tc>
          <w:tcPr>
            <w:tcW w:w="2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(1,827,000)</w:t>
            </w:r>
          </w:p>
        </w:tc>
        <w:tc>
          <w:tcPr>
            <w:tcW w:w="2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4,215,616</w:t>
            </w:r>
          </w:p>
        </w:tc>
        <w:tc>
          <w:tcPr>
            <w:tcW w:w="2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4,673,949</w:t>
            </w:r>
          </w:p>
        </w:tc>
      </w:tr>
      <w:tr>
        <w:trPr>
          <w:trHeight w:val="216"/>
        </w:trPr>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2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3,125,688</w:t>
            </w:r>
          </w:p>
        </w:tc>
        <w:tc>
          <w:tcPr>
            <w:tcW w:w="2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(2,318,500)</w:t>
            </w:r>
          </w:p>
        </w:tc>
        <w:tc>
          <w:tcPr>
            <w:tcW w:w="2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449,500</w:t>
            </w:r>
          </w:p>
        </w:tc>
        <w:tc>
          <w:tcPr>
            <w:tcW w:w="2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1,256,688</w:t>
            </w:r>
          </w:p>
        </w:tc>
      </w:tr>
      <w:tr>
        <w:trPr>
          <w:trHeight w:val="216"/>
        </w:trPr>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2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676,000</w:t>
            </w:r>
          </w:p>
        </w:tc>
        <w:tc>
          <w:tcPr>
            <w:tcW w:w="2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(443,780)</w:t>
            </w:r>
          </w:p>
        </w:tc>
        <w:tc>
          <w:tcPr>
            <w:tcW w:w="2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232,220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 Fair</w:t>
            </w: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 Fair</w:t>
            </w:r>
          </w:p>
        </w:tc>
        <w:tc>
          <w:tcPr>
            <w:tcW w:w="15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from Last</w:t>
            </w: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from Last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Vesting-Date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Day of Prior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144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23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Year-End Fair Value of</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Day of Prior Year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 to Vesting</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Last Day of</w:t>
            </w:r>
          </w:p>
        </w:tc>
        <w:tc>
          <w:tcPr>
            <w:tcW w:w="144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23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Equity Awards Granted</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Last Day of</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Awards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Unvested</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Prior Year of</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Total - Inclusion</w:t>
            </w:r>
          </w:p>
        </w:tc>
      </w:tr>
      <w:tr>
        <w:trPr>
          <w:trHeight w:val="216"/>
        </w:trPr>
        <w:tc>
          <w:tcPr>
            <w:tcW w:w="1180" w:type="dxa"/>
            <w:vAlign w:val="bottom"/>
          </w:tcPr>
          <w:p>
            <w:pPr>
              <w:spacing w:after="0"/>
              <w:rPr>
                <w:sz w:val="18"/>
                <w:szCs w:val="18"/>
                <w:color w:val="auto"/>
              </w:rPr>
            </w:pPr>
          </w:p>
        </w:tc>
        <w:tc>
          <w:tcPr>
            <w:tcW w:w="23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During Year That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of Unvested</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Granted During</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Equity Awards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Awards</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16"/>
        </w:trPr>
        <w:tc>
          <w:tcPr>
            <w:tcW w:w="1180" w:type="dxa"/>
            <w:vAlign w:val="bottom"/>
          </w:tcPr>
          <w:p>
            <w:pPr>
              <w:spacing w:after="0"/>
              <w:rPr>
                <w:sz w:val="18"/>
                <w:szCs w:val="18"/>
                <w:color w:val="auto"/>
              </w:rPr>
            </w:pPr>
          </w:p>
        </w:tc>
        <w:tc>
          <w:tcPr>
            <w:tcW w:w="23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Remained Unvested as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Awards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 that Vested</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Vested</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Forfeited During</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Equity Values</w:t>
            </w:r>
          </w:p>
        </w:tc>
      </w:tr>
      <w:tr>
        <w:trPr>
          <w:trHeight w:val="216"/>
        </w:trPr>
        <w:tc>
          <w:tcPr>
            <w:tcW w:w="1180" w:type="dxa"/>
            <w:vAlign w:val="bottom"/>
          </w:tcPr>
          <w:p>
            <w:pPr>
              <w:spacing w:after="0"/>
              <w:rPr>
                <w:sz w:val="18"/>
                <w:szCs w:val="18"/>
                <w:color w:val="auto"/>
              </w:rPr>
            </w:pPr>
          </w:p>
        </w:tc>
        <w:tc>
          <w:tcPr>
            <w:tcW w:w="23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of Last Day of Year for</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Joseph 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During Year for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During Year for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for Joseph</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for Joseph E.</w:t>
            </w:r>
          </w:p>
        </w:tc>
      </w:tr>
      <w:tr>
        <w:trPr>
          <w:trHeight w:val="216"/>
        </w:trPr>
        <w:tc>
          <w:tcPr>
            <w:tcW w:w="1180" w:type="dxa"/>
            <w:vAlign w:val="bottom"/>
          </w:tcPr>
          <w:p>
            <w:pPr>
              <w:spacing w:after="0"/>
              <w:rPr>
                <w:sz w:val="18"/>
                <w:szCs w:val="18"/>
                <w:color w:val="auto"/>
              </w:rPr>
            </w:pPr>
          </w:p>
        </w:tc>
        <w:tc>
          <w:tcPr>
            <w:tcW w:w="23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Joseph E. Payne</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Payne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Joseph E. Payne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Joseph E. Payne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 Payne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Payne</w:t>
            </w:r>
          </w:p>
        </w:tc>
      </w:tr>
      <w:tr>
        <w:trPr>
          <w:trHeight w:val="238"/>
        </w:trPr>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3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11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2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940,160</w:t>
            </w:r>
          </w:p>
        </w:tc>
        <w:tc>
          <w:tcPr>
            <w:tcW w:w="1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(2,868,151)</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(994,612)</w:t>
            </w: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(2,922,603)</w:t>
            </w:r>
          </w:p>
        </w:tc>
      </w:tr>
      <w:tr>
        <w:trPr>
          <w:trHeight w:val="216"/>
        </w:trPr>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2,402,707</w:t>
            </w: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(4,085,364)</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(1,520,027)</w:t>
            </w:r>
          </w:p>
        </w:tc>
        <w:tc>
          <w:tcPr>
            <w:tcW w:w="15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(3,202,684)</w:t>
            </w:r>
          </w:p>
        </w:tc>
      </w:tr>
      <w:tr>
        <w:trPr>
          <w:trHeight w:val="216"/>
        </w:trPr>
        <w:tc>
          <w:tcPr>
            <w:tcW w:w="11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2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4,736,522</w:t>
            </w:r>
          </w:p>
        </w:tc>
        <w:tc>
          <w:tcPr>
            <w:tcW w:w="1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3,347,013</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714,192</w:t>
            </w: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8,797,727</w:t>
            </w:r>
          </w:p>
        </w:tc>
      </w:tr>
      <w:tr>
        <w:trPr>
          <w:trHeight w:val="216"/>
        </w:trPr>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2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4,561,826</w:t>
            </w: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(1,919,615)</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456,861</w:t>
            </w: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(1,559,360)</w:t>
            </w:r>
          </w:p>
        </w:tc>
        <w:tc>
          <w:tcPr>
            <w:tcW w:w="15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1,539,712</w:t>
            </w:r>
          </w:p>
        </w:tc>
      </w:tr>
      <w:tr>
        <w:trPr>
          <w:trHeight w:val="216"/>
        </w:trPr>
        <w:tc>
          <w:tcPr>
            <w:tcW w:w="11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2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(1,395,948)</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498,004</w:t>
            </w: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(897,944)</w:t>
            </w:r>
          </w:p>
        </w:tc>
      </w:tr>
    </w:tbl>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9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6"/>
              </w:rPr>
              <w:t>Average Year-End</w:t>
            </w:r>
          </w:p>
        </w:tc>
        <w:tc>
          <w:tcPr>
            <w:tcW w:w="1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Change in</w:t>
            </w:r>
          </w:p>
        </w:tc>
        <w:tc>
          <w:tcPr>
            <w:tcW w:w="16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19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Fair Value of Equity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Change in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Vesting-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Fair Value from</w:t>
            </w:r>
          </w:p>
        </w:tc>
        <w:tc>
          <w:tcPr>
            <w:tcW w:w="16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19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Awards Granted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from</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 of</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Last Day of Prior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Fair Value</w:t>
            </w:r>
          </w:p>
        </w:tc>
        <w:tc>
          <w:tcPr>
            <w:tcW w:w="14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19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During Year That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Last Day of Prior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Equity Awards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to Vesting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Last Day of Prior</w:t>
            </w:r>
          </w:p>
        </w:tc>
        <w:tc>
          <w:tcPr>
            <w:tcW w:w="14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19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Remained Unvested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to Last Day of</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Granted During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Unvested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of Equity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 Average</w:t>
            </w:r>
          </w:p>
        </w:tc>
      </w:tr>
      <w:tr>
        <w:trPr>
          <w:trHeight w:val="216"/>
        </w:trPr>
        <w:tc>
          <w:tcPr>
            <w:tcW w:w="1100" w:type="dxa"/>
            <w:vAlign w:val="bottom"/>
          </w:tcPr>
          <w:p>
            <w:pPr>
              <w:spacing w:after="0"/>
              <w:rPr>
                <w:sz w:val="18"/>
                <w:szCs w:val="18"/>
                <w:color w:val="auto"/>
              </w:rPr>
            </w:pPr>
          </w:p>
        </w:tc>
        <w:tc>
          <w:tcPr>
            <w:tcW w:w="19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as of Last Day of</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of Unvested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 that Vested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Equity Awards that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Forfeited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Inclusion of</w:t>
            </w:r>
          </w:p>
        </w:tc>
      </w:tr>
      <w:tr>
        <w:trPr>
          <w:trHeight w:val="216"/>
        </w:trPr>
        <w:tc>
          <w:tcPr>
            <w:tcW w:w="1100" w:type="dxa"/>
            <w:vAlign w:val="bottom"/>
          </w:tcPr>
          <w:p>
            <w:pPr>
              <w:spacing w:after="0"/>
              <w:rPr>
                <w:sz w:val="18"/>
                <w:szCs w:val="18"/>
                <w:color w:val="auto"/>
              </w:rPr>
            </w:pPr>
          </w:p>
        </w:tc>
        <w:tc>
          <w:tcPr>
            <w:tcW w:w="19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Year for Non-PEO</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Equity Awards for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During Year for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Vested During Year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During Year for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Equity Values for</w:t>
            </w:r>
          </w:p>
        </w:tc>
      </w:tr>
      <w:tr>
        <w:trPr>
          <w:trHeight w:val="216"/>
        </w:trPr>
        <w:tc>
          <w:tcPr>
            <w:tcW w:w="1100" w:type="dxa"/>
            <w:vAlign w:val="bottom"/>
          </w:tcPr>
          <w:p>
            <w:pPr>
              <w:spacing w:after="0"/>
              <w:rPr>
                <w:sz w:val="18"/>
                <w:szCs w:val="18"/>
                <w:color w:val="auto"/>
              </w:rPr>
            </w:pPr>
          </w:p>
        </w:tc>
        <w:tc>
          <w:tcPr>
            <w:tcW w:w="19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Non-PEO NEOs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Non-PEO NEOs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 Non-PEO NEOs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Non-PEO NEOs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Non-PEO NEOs</w:t>
            </w:r>
          </w:p>
        </w:tc>
      </w:tr>
      <w:tr>
        <w:trPr>
          <w:trHeight w:val="238"/>
        </w:trPr>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9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16"/>
        </w:trPr>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157,520</w:t>
            </w:r>
          </w:p>
        </w:tc>
        <w:tc>
          <w:tcPr>
            <w:tcW w:w="1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(620,245)</w:t>
            </w:r>
          </w:p>
        </w:tc>
        <w:tc>
          <w:tcPr>
            <w:tcW w:w="1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(559,460)</w:t>
            </w:r>
          </w:p>
        </w:tc>
        <w:tc>
          <w:tcPr>
            <w:tcW w:w="16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(1,022,185)</w:t>
            </w:r>
          </w:p>
        </w:tc>
      </w:tr>
      <w:tr>
        <w:trPr>
          <w:trHeight w:val="216"/>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735,523</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(1,960,718)</w:t>
            </w: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(729,999)</w:t>
            </w:r>
          </w:p>
        </w:tc>
        <w:tc>
          <w:tcPr>
            <w:tcW w:w="16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(1,955,194)</w:t>
            </w:r>
          </w:p>
        </w:tc>
      </w:tr>
      <w:tr>
        <w:trPr>
          <w:trHeight w:val="216"/>
        </w:trPr>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2,170,906</w:t>
            </w:r>
          </w:p>
        </w:tc>
        <w:tc>
          <w:tcPr>
            <w:tcW w:w="1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1,680,605</w:t>
            </w:r>
          </w:p>
        </w:tc>
        <w:tc>
          <w:tcPr>
            <w:tcW w:w="1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364,105</w:t>
            </w:r>
          </w:p>
        </w:tc>
        <w:tc>
          <w:tcPr>
            <w:tcW w:w="16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4,215,616</w:t>
            </w:r>
          </w:p>
        </w:tc>
      </w:tr>
      <w:tr>
        <w:trPr>
          <w:trHeight w:val="216"/>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2,374,286</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(1,174,650)</w:t>
            </w: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258,888</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(1,009,024)</w:t>
            </w:r>
          </w:p>
        </w:tc>
        <w:tc>
          <w:tcPr>
            <w:tcW w:w="16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449,500</w:t>
            </w:r>
          </w:p>
        </w:tc>
      </w:tr>
      <w:tr>
        <w:trPr>
          <w:trHeight w:val="216"/>
        </w:trPr>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1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(710,024)</w:t>
            </w:r>
          </w:p>
        </w:tc>
        <w:tc>
          <w:tcPr>
            <w:tcW w:w="1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266,244</w:t>
            </w:r>
          </w:p>
        </w:tc>
        <w:tc>
          <w:tcPr>
            <w:tcW w:w="16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(443,780)</w:t>
            </w:r>
          </w:p>
        </w:tc>
      </w:tr>
    </w:tbl>
    <w:p>
      <w:pPr>
        <w:spacing w:after="0" w:line="198" w:lineRule="exact"/>
        <w:rPr>
          <w:sz w:val="20"/>
          <w:szCs w:val="20"/>
          <w:color w:val="auto"/>
        </w:rPr>
      </w:pPr>
    </w:p>
    <w:p>
      <w:pPr>
        <w:ind w:left="200" w:right="340" w:hanging="134"/>
        <w:spacing w:after="0" w:line="282" w:lineRule="auto"/>
        <w:rPr>
          <w:sz w:val="20"/>
          <w:szCs w:val="20"/>
          <w:color w:val="auto"/>
        </w:rPr>
      </w:pPr>
      <w:r>
        <w:rPr>
          <w:rFonts w:ascii="Times New Roman" w:cs="Times New Roman" w:eastAsia="Times New Roman" w:hAnsi="Times New Roman"/>
          <w:sz w:val="18"/>
          <w:szCs w:val="18"/>
          <w:color w:val="auto"/>
        </w:rPr>
        <w:t>1.The Company TSR (as defined below) assumes $100 was invested in the Company for the period starting December 31, 2020 through the end of the listed year. Historical stock performance is not necessarily indicative of future stock performance.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PEO and Non-PEO NEO Compensation Actually Paid and Company Total Shareholder Return (“TSR”)</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Company’s cumulative TSR over the three most recently completed fiscal years.</w:t>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1330960</wp:posOffset>
            </wp:positionH>
            <wp:positionV relativeFrom="page">
              <wp:posOffset>517525</wp:posOffset>
            </wp:positionV>
            <wp:extent cx="4860290" cy="3549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486029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 xml:space="preserve">Description of Relationship </w:t>
      </w:r>
      <w:r>
        <w:rPr>
          <w:rFonts w:ascii="Times New Roman" w:cs="Times New Roman" w:eastAsia="Times New Roman" w:hAnsi="Times New Roman"/>
          <w:sz w:val="18"/>
          <w:szCs w:val="18"/>
          <w:i w:val="1"/>
          <w:iCs w:val="1"/>
          <w:color w:val="auto"/>
        </w:rPr>
        <w:t>Between PEO</w:t>
      </w:r>
      <w:r>
        <w:rPr>
          <w:rFonts w:ascii="Times New Roman" w:cs="Times New Roman" w:eastAsia="Times New Roman" w:hAnsi="Times New Roman"/>
          <w:sz w:val="18"/>
          <w:szCs w:val="18"/>
          <w:color w:val="auto"/>
        </w:rPr>
        <w:t xml:space="preserve"> and Non-PEO NEO Compensation Actually Paid and Net Income</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114300</wp:posOffset>
            </wp:positionV>
            <wp:extent cx="4860290" cy="3549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6029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for Fiscal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all outstanding equity awards held by our named executive officers as of December 31, 2025. None of the outstanding equity awards shown in the table below have been exercised or forfeited as of December 31, 2025. None of our named executive officers held any other equity awards from the Company as of December 31, 2025.</w:t>
      </w: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794" w:right="5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2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Unexercisable (1)</w:t>
            </w: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9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Payne</w:t>
            </w:r>
          </w:p>
        </w:tc>
        <w:tc>
          <w:tcPr>
            <w:tcW w:w="3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120,000</w:t>
            </w:r>
          </w:p>
        </w:tc>
        <w:tc>
          <w:tcPr>
            <w:tcW w:w="3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60,000</w:t>
            </w:r>
          </w:p>
        </w:tc>
        <w:tc>
          <w:tcPr>
            <w:tcW w:w="340" w:type="dxa"/>
            <w:vAlign w:val="bottom"/>
          </w:tcPr>
          <w:p>
            <w:pPr>
              <w:spacing w:after="0"/>
              <w:rPr>
                <w:sz w:val="18"/>
                <w:szCs w:val="18"/>
                <w:color w:val="auto"/>
              </w:rPr>
            </w:pPr>
          </w:p>
        </w:tc>
        <w:tc>
          <w:tcPr>
            <w:tcW w:w="2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14.12</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175,000</w:t>
            </w:r>
          </w:p>
        </w:tc>
        <w:tc>
          <w:tcPr>
            <w:tcW w:w="340" w:type="dxa"/>
            <w:vAlign w:val="bottom"/>
          </w:tcPr>
          <w:p>
            <w:pPr>
              <w:spacing w:after="0"/>
              <w:rPr>
                <w:sz w:val="18"/>
                <w:szCs w:val="18"/>
                <w:color w:val="auto"/>
              </w:rPr>
            </w:pPr>
          </w:p>
        </w:tc>
        <w:tc>
          <w:tcPr>
            <w:tcW w:w="2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99.29</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150,000</w:t>
            </w:r>
          </w:p>
        </w:tc>
        <w:tc>
          <w:tcPr>
            <w:tcW w:w="3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34.57</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187,500</w:t>
            </w:r>
          </w:p>
        </w:tc>
        <w:tc>
          <w:tcPr>
            <w:tcW w:w="340" w:type="dxa"/>
            <w:vAlign w:val="bottom"/>
          </w:tcPr>
          <w:p>
            <w:pPr>
              <w:spacing w:after="0"/>
              <w:rPr>
                <w:sz w:val="18"/>
                <w:szCs w:val="18"/>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62,500</w:t>
            </w:r>
          </w:p>
        </w:tc>
        <w:tc>
          <w:tcPr>
            <w:tcW w:w="32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16.92</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28.88</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49,000</w:t>
            </w:r>
          </w:p>
        </w:tc>
        <w:tc>
          <w:tcPr>
            <w:tcW w:w="340" w:type="dxa"/>
            <w:vAlign w:val="bottom"/>
          </w:tcPr>
          <w:p>
            <w:pPr>
              <w:spacing w:after="0"/>
              <w:rPr>
                <w:sz w:val="18"/>
                <w:szCs w:val="18"/>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147,000</w:t>
            </w:r>
          </w:p>
        </w:tc>
        <w:tc>
          <w:tcPr>
            <w:tcW w:w="32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16.24</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175,000</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Padmanabh Chivukula</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80,000</w:t>
            </w:r>
          </w:p>
        </w:tc>
        <w:tc>
          <w:tcPr>
            <w:tcW w:w="3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40,000</w:t>
            </w:r>
          </w:p>
        </w:tc>
        <w:tc>
          <w:tcPr>
            <w:tcW w:w="340" w:type="dxa"/>
            <w:vAlign w:val="bottom"/>
          </w:tcPr>
          <w:p>
            <w:pPr>
              <w:spacing w:after="0"/>
              <w:rPr>
                <w:sz w:val="18"/>
                <w:szCs w:val="18"/>
                <w:color w:val="auto"/>
              </w:rPr>
            </w:pPr>
          </w:p>
        </w:tc>
        <w:tc>
          <w:tcPr>
            <w:tcW w:w="2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60,000</w:t>
            </w:r>
          </w:p>
        </w:tc>
        <w:tc>
          <w:tcPr>
            <w:tcW w:w="3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14.12</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tcPr>
          <w:p>
            <w:pPr>
              <w:spacing w:after="0"/>
              <w:rPr>
                <w:sz w:val="18"/>
                <w:szCs w:val="18"/>
                <w:color w:val="auto"/>
              </w:rPr>
            </w:pPr>
          </w:p>
        </w:tc>
        <w:tc>
          <w:tcPr>
            <w:tcW w:w="2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99.29</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85,000</w:t>
            </w:r>
          </w:p>
        </w:tc>
        <w:tc>
          <w:tcPr>
            <w:tcW w:w="3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34.57</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93,750</w:t>
            </w:r>
          </w:p>
        </w:tc>
        <w:tc>
          <w:tcPr>
            <w:tcW w:w="340" w:type="dxa"/>
            <w:vAlign w:val="bottom"/>
          </w:tcPr>
          <w:p>
            <w:pPr>
              <w:spacing w:after="0"/>
              <w:rPr>
                <w:sz w:val="18"/>
                <w:szCs w:val="18"/>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31,250</w:t>
            </w:r>
          </w:p>
        </w:tc>
        <w:tc>
          <w:tcPr>
            <w:tcW w:w="32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16.92</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62,500</w:t>
            </w: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62,500</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28.88</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c>
          <w:tcPr>
            <w:tcW w:w="340" w:type="dxa"/>
            <w:vAlign w:val="bottom"/>
          </w:tcPr>
          <w:p>
            <w:pPr>
              <w:spacing w:after="0"/>
              <w:rPr>
                <w:sz w:val="18"/>
                <w:szCs w:val="18"/>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45,000</w:t>
            </w:r>
          </w:p>
        </w:tc>
        <w:tc>
          <w:tcPr>
            <w:tcW w:w="32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16.24</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54,000</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Andy Sassine</w:t>
            </w:r>
            <w:r>
              <w:rPr>
                <w:rFonts w:ascii="Times New Roman" w:cs="Times New Roman" w:eastAsia="Times New Roman" w:hAnsi="Times New Roman"/>
                <w:sz w:val="29"/>
                <w:szCs w:val="29"/>
                <w:color w:val="auto"/>
                <w:vertAlign w:val="superscript"/>
              </w:rPr>
              <w:t>(2)</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32,550</w:t>
            </w:r>
          </w:p>
        </w:tc>
        <w:tc>
          <w:tcPr>
            <w:tcW w:w="340" w:type="dxa"/>
            <w:vAlign w:val="bottom"/>
            <w:shd w:val="clear" w:color="auto" w:fill="CCEEFF"/>
          </w:tcPr>
          <w:p>
            <w:pPr>
              <w:spacing w:after="0"/>
              <w:rPr>
                <w:sz w:val="22"/>
                <w:szCs w:val="22"/>
                <w:color w:val="auto"/>
              </w:rPr>
            </w:pPr>
          </w:p>
        </w:tc>
        <w:tc>
          <w:tcPr>
            <w:tcW w:w="2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w:t>
            </w:r>
          </w:p>
        </w:tc>
        <w:tc>
          <w:tcPr>
            <w:tcW w:w="32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8/24/2028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tcPr>
          <w:p>
            <w:pPr>
              <w:spacing w:after="0"/>
              <w:rPr>
                <w:sz w:val="18"/>
                <w:szCs w:val="18"/>
                <w:color w:val="auto"/>
              </w:rPr>
            </w:pPr>
          </w:p>
        </w:tc>
        <w:tc>
          <w:tcPr>
            <w:tcW w:w="2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c>
          <w:tcPr>
            <w:tcW w:w="3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80,000</w:t>
            </w:r>
          </w:p>
        </w:tc>
        <w:tc>
          <w:tcPr>
            <w:tcW w:w="340" w:type="dxa"/>
            <w:vAlign w:val="bottom"/>
          </w:tcPr>
          <w:p>
            <w:pPr>
              <w:spacing w:after="0"/>
              <w:rPr>
                <w:sz w:val="18"/>
                <w:szCs w:val="18"/>
                <w:color w:val="auto"/>
              </w:rPr>
            </w:pPr>
          </w:p>
        </w:tc>
        <w:tc>
          <w:tcPr>
            <w:tcW w:w="2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14.12</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99.29</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85,000</w:t>
            </w:r>
          </w:p>
        </w:tc>
        <w:tc>
          <w:tcPr>
            <w:tcW w:w="340" w:type="dxa"/>
            <w:vAlign w:val="bottom"/>
          </w:tcPr>
          <w:p>
            <w:pPr>
              <w:spacing w:after="0"/>
              <w:rPr>
                <w:sz w:val="18"/>
                <w:szCs w:val="18"/>
                <w:color w:val="auto"/>
              </w:rPr>
            </w:pPr>
          </w:p>
        </w:tc>
        <w:tc>
          <w:tcPr>
            <w:tcW w:w="2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34.57</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12/10/2031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125,000</w:t>
            </w:r>
          </w:p>
        </w:tc>
        <w:tc>
          <w:tcPr>
            <w:tcW w:w="3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16.92</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tcPr>
          <w:p>
            <w:pPr>
              <w:spacing w:after="0"/>
              <w:rPr>
                <w:sz w:val="18"/>
                <w:szCs w:val="18"/>
                <w:color w:val="auto"/>
              </w:rPr>
            </w:pPr>
          </w:p>
        </w:tc>
        <w:tc>
          <w:tcPr>
            <w:tcW w:w="2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28.88</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60,000</w:t>
            </w:r>
          </w:p>
        </w:tc>
        <w:tc>
          <w:tcPr>
            <w:tcW w:w="3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16.24</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Lance Kurata</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90,000</w:t>
            </w:r>
          </w:p>
        </w:tc>
        <w:tc>
          <w:tcPr>
            <w:tcW w:w="3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58.91</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8/10/2030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340" w:type="dxa"/>
            <w:vAlign w:val="bottom"/>
          </w:tcPr>
          <w:p>
            <w:pPr>
              <w:spacing w:after="0"/>
              <w:rPr>
                <w:sz w:val="18"/>
                <w:szCs w:val="18"/>
                <w:color w:val="auto"/>
              </w:rPr>
            </w:pPr>
          </w:p>
        </w:tc>
        <w:tc>
          <w:tcPr>
            <w:tcW w:w="2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99.29</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34.57</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93,750</w:t>
            </w:r>
          </w:p>
        </w:tc>
        <w:tc>
          <w:tcPr>
            <w:tcW w:w="340" w:type="dxa"/>
            <w:vAlign w:val="bottom"/>
          </w:tcPr>
          <w:p>
            <w:pPr>
              <w:spacing w:after="0"/>
              <w:rPr>
                <w:sz w:val="18"/>
                <w:szCs w:val="18"/>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31,250</w:t>
            </w:r>
          </w:p>
        </w:tc>
        <w:tc>
          <w:tcPr>
            <w:tcW w:w="32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16.92</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37,500</w:t>
            </w: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37,500</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28.88</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c>
          <w:tcPr>
            <w:tcW w:w="340" w:type="dxa"/>
            <w:vAlign w:val="bottom"/>
          </w:tcPr>
          <w:p>
            <w:pPr>
              <w:spacing w:after="0"/>
              <w:rPr>
                <w:sz w:val="18"/>
                <w:szCs w:val="18"/>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45,000</w:t>
            </w:r>
          </w:p>
        </w:tc>
        <w:tc>
          <w:tcPr>
            <w:tcW w:w="32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16.24</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54,000</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Joe Roberts</w:t>
            </w:r>
            <w:r>
              <w:rPr>
                <w:rFonts w:ascii="Times New Roman" w:cs="Times New Roman" w:eastAsia="Times New Roman" w:hAnsi="Times New Roman"/>
                <w:sz w:val="29"/>
                <w:szCs w:val="29"/>
                <w:color w:val="auto"/>
                <w:vertAlign w:val="superscript"/>
              </w:rPr>
              <w:t>(3)</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tcPr>
          <w:p>
            <w:pPr>
              <w:spacing w:after="0"/>
              <w:rPr>
                <w:sz w:val="22"/>
                <w:szCs w:val="22"/>
                <w:color w:val="auto"/>
              </w:rPr>
            </w:pPr>
          </w:p>
        </w:tc>
        <w:tc>
          <w:tcPr>
            <w:tcW w:w="2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w:t>
            </w:r>
          </w:p>
        </w:tc>
        <w:tc>
          <w:tcPr>
            <w:tcW w:w="320" w:type="dxa"/>
            <w:vAlign w:val="bottom"/>
          </w:tcPr>
          <w:p>
            <w:pPr>
              <w:spacing w:after="0"/>
              <w:rPr>
                <w:sz w:val="22"/>
                <w:szCs w:val="22"/>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8/24/2028</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14.12</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9,300</w:t>
            </w:r>
          </w:p>
        </w:tc>
        <w:tc>
          <w:tcPr>
            <w:tcW w:w="340" w:type="dxa"/>
            <w:vAlign w:val="bottom"/>
          </w:tcPr>
          <w:p>
            <w:pPr>
              <w:spacing w:after="0"/>
              <w:rPr>
                <w:sz w:val="18"/>
                <w:szCs w:val="18"/>
                <w:color w:val="auto"/>
              </w:rPr>
            </w:pPr>
          </w:p>
        </w:tc>
        <w:tc>
          <w:tcPr>
            <w:tcW w:w="2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99.29</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7,000</w:t>
            </w:r>
          </w:p>
        </w:tc>
        <w:tc>
          <w:tcPr>
            <w:tcW w:w="3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34.57</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5,250</w:t>
            </w:r>
          </w:p>
        </w:tc>
        <w:tc>
          <w:tcPr>
            <w:tcW w:w="340" w:type="dxa"/>
            <w:vAlign w:val="bottom"/>
          </w:tcPr>
          <w:p>
            <w:pPr>
              <w:spacing w:after="0"/>
              <w:rPr>
                <w:sz w:val="18"/>
                <w:szCs w:val="18"/>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1,750</w:t>
            </w:r>
          </w:p>
        </w:tc>
        <w:tc>
          <w:tcPr>
            <w:tcW w:w="32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16.92</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3,750</w:t>
            </w: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3,750</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28.88</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458</w:t>
            </w:r>
          </w:p>
        </w:tc>
        <w:tc>
          <w:tcPr>
            <w:tcW w:w="340" w:type="dxa"/>
            <w:vAlign w:val="bottom"/>
          </w:tcPr>
          <w:p>
            <w:pPr>
              <w:spacing w:after="0"/>
              <w:rPr>
                <w:sz w:val="18"/>
                <w:szCs w:val="18"/>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w:t>
            </w:r>
          </w:p>
        </w:tc>
        <w:tc>
          <w:tcPr>
            <w:tcW w:w="32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37.44</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2,250</w:t>
            </w:r>
          </w:p>
        </w:tc>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6,750</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16.24</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Pr>
          <w:p>
            <w:pPr>
              <w:spacing w:after="0"/>
              <w:rPr>
                <w:sz w:val="20"/>
                <w:szCs w:val="20"/>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3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12/17/2035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20" w:firstLine="8"/>
        <w:spacing w:after="0" w:line="282"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award vests 25% on the one-year anniversary of the date of grant, with the remainder vesting in 36 successive equal monthly increments thereafter.</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8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2025 the Company and Andy Sassine mutually agreed to end their employment relationship in an amicable manner effective December 31, 2025. Mr. Sassine also stepped down as a member of the Board on December 11, 2025.</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2025, Joe Roberts, the Company’s Controller, was appointed interim principal financial officer and interim principal accounting officer of the Company.</w:t>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None of our named executive officers participate in or have account balances in qualified or non-qualified defined benefit plans sponsored by us.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None of our named executive officers participate in or have account balances in qualified or non-qualified defined contribution plans or other non-qualified compensation plans sponsored by us.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Perquisites, Health, Welfare and Retirement Benefits</w:t>
      </w:r>
    </w:p>
    <w:p>
      <w:pPr>
        <w:spacing w:after="0" w:line="22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including our medical, dental, vision, group life, disability and accidental death and dismemberment insurance plans, in each case on the same basis as all of our other employees. We provide a 401(k) savings plan to our employees, including our current named executive officers, as discussed in the section below entitled “</w:t>
      </w:r>
      <w:r>
        <w:rPr>
          <w:rFonts w:ascii="Times New Roman" w:cs="Times New Roman" w:eastAsia="Times New Roman" w:hAnsi="Times New Roman"/>
          <w:sz w:val="18"/>
          <w:szCs w:val="18"/>
          <w:i w:val="1"/>
          <w:iCs w:val="1"/>
          <w:color w:val="auto"/>
        </w:rPr>
        <w:t>401(k) Plan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We generally do not provide perquisites or personal benefits to our named executive officers, except in limited circumstances and as noted in the Summary Compensation Table above. Our Board may elect to adopt qualified or non-qualified benefit plans in the future if it determines that doing so is in our best interests.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ind w:left="20" w:right="20"/>
        <w:spacing w:after="0" w:line="255"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employees, including named executive officers, with an opportunity to save for retirement on a tax advantaged basis. All participants’ interests in their deferrals are 100% vested when contributed. Pre-tax and after-tax contributions are allocated to each participant’s individual account and are then invested in selected investment alternatives according to the participant’s directions. Currently, we match $0.50 for every $1.00 on the first $5,000.00 of contributions made by the employee with an annual maximum match of $2,500. The 401(k) plan is intended to qualify under Sections 401(a) and 501(a) of the Internal Revenue Code. As a tax-qualified retirement plan, contributions to the 401(k) plan and earnings on those contributions are not taxable to the employees until distributed from the 401(k) plan, and all matching contributions, if any, are deductible by us when made.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2021 Inducement Equity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2021, the Company adopted the 2021 Inducement Equity Incentive Plan which covered the award of up to 1,000,000 shares of common stock (the “2021 Inducement Plan”) effective as of October 15, 2021. Only newly-hired employees are eligible to receive awards under the 2021 Inducement Plan. Approval of the Company’s stockholders is not required as a condition to the effectiveness of the 2021 Plan for so long as the plan is in compliance with Nasdaq inducement plan rules. On October 20, 2021, the Company filed a registration statement on Form S-8 with the United States Securities and Exchange Commission to register 1,000,000 awards. In April 2022, the number of shares available for grant under the 2021 Inducement Plan was reduced to 130,000. As of December 31, 2025, a total of 162,164 shares remained available for future issuance under the 2021 Inducement Plan, subject to the terms of the 2021 Inducement Plan.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212529"/>
        </w:rPr>
        <w:t>On June 14, 2024, the stockholders of the Company approved the “2019 Plan Amendment”, amending the 2019 Plan. The 2019 Plan Amendment (i) increases the maximum number of shares of common stock available to 2019 Plan participants by 2,000,000 shares to an aggregate of 10,750,000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provided as of December 31, 2025 with respect to our equity compensation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16"/>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Securities to be</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16"/>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216"/>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6"/>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Reflected</w:t>
            </w:r>
          </w:p>
        </w:tc>
      </w:tr>
      <w:tr>
        <w:trPr>
          <w:trHeight w:val="216"/>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Column a)</w:t>
            </w:r>
          </w:p>
        </w:tc>
      </w:tr>
      <w:tr>
        <w:trPr>
          <w:trHeight w:val="238"/>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w:t>
            </w: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09"/>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8,458,710</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27.43</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1,073,747</w:t>
            </w:r>
          </w:p>
        </w:tc>
      </w:tr>
      <w:tr>
        <w:trPr>
          <w:trHeight w:val="198"/>
        </w:trPr>
        <w:tc>
          <w:tcPr>
            <w:tcW w:w="5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holders</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245,780</w:t>
            </w:r>
          </w:p>
        </w:tc>
        <w:tc>
          <w:tcPr>
            <w:tcW w:w="32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31.16</w:t>
            </w:r>
          </w:p>
        </w:tc>
        <w:tc>
          <w:tcPr>
            <w:tcW w:w="32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165,926</w:t>
            </w:r>
          </w:p>
        </w:tc>
      </w:tr>
      <w:tr>
        <w:trPr>
          <w:trHeight w:val="216"/>
        </w:trPr>
        <w:tc>
          <w:tcPr>
            <w:tcW w:w="5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4"/>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8,704,490</w:t>
            </w:r>
          </w:p>
        </w:tc>
        <w:tc>
          <w:tcPr>
            <w:tcW w:w="32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27.54</w:t>
            </w:r>
          </w:p>
        </w:tc>
        <w:tc>
          <w:tcPr>
            <w:tcW w:w="32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1,239,673</w:t>
            </w:r>
          </w:p>
        </w:tc>
      </w:tr>
      <w:tr>
        <w:trPr>
          <w:trHeight w:val="414"/>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196" w:lineRule="exact"/>
        <w:rPr>
          <w:sz w:val="20"/>
          <w:szCs w:val="20"/>
          <w:color w:val="auto"/>
        </w:rPr>
      </w:pPr>
    </w:p>
    <w:p>
      <w:pPr>
        <w:jc w:val="both"/>
        <w:ind w:left="20" w:right="20"/>
        <w:spacing w:after="0" w:line="267" w:lineRule="auto"/>
        <w:rPr>
          <w:sz w:val="20"/>
          <w:szCs w:val="20"/>
          <w:color w:val="auto"/>
        </w:rPr>
      </w:pPr>
      <w:r>
        <w:rPr>
          <w:rFonts w:ascii="Times New Roman" w:cs="Times New Roman" w:eastAsia="Times New Roman" w:hAnsi="Times New Roman"/>
          <w:sz w:val="18"/>
          <w:szCs w:val="18"/>
          <w:color w:val="auto"/>
        </w:rPr>
        <w:t>The compensation committee has reviewed and discussed the foregoing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of this proxy statement, including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with management. Based on this review and discussion, the compensation committee recommended to our Board that such information be included in this proxy statement.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 Magda Marquet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Barlow</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 Jing L. Marantz</w:t>
      </w:r>
    </w:p>
    <w:p>
      <w:pPr>
        <w:spacing w:after="0" w:line="205" w:lineRule="exact"/>
        <w:rPr>
          <w:sz w:val="20"/>
          <w:szCs w:val="20"/>
          <w:color w:val="auto"/>
        </w:rPr>
      </w:pPr>
    </w:p>
    <w:p>
      <w:pPr>
        <w:jc w:val="both"/>
        <w:ind w:left="20" w:right="2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Compensation Committee Report shall not be deemed to be soliciting material or to be filed with the SEC, nor shall such information be incorporated by reference into any future filing under the Securities Act or the Exchange Act, except to the extent that Arcturus specifically incorporates it by reference in such filing.</w:t>
      </w: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 Policy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policy with respect to the review, approval, and ratification of related party transactions. Under the policy, the Audit Committee is responsible for the identification, review, consideration and approval or ratification of related person transactions. A related person includes directors, executive officers, beneficial owners of 5% or more of any class of our voting securities, immediate family members of any of the foregoing persons, and any entities in which any of the foregoing is an executive officer or is an owner of 5% or more ownership interest.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transaction has been identified as a related person transaction, including any transaction that was not a related person transaction when originally consummated or any transaction that was not initially identified as a related person transaction prior to consummation, information regarding the related person transaction must be reviewed and approved by the audit committee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considering related person transactions, our audit committee takes into account the relevant available facts and circumstances including, but not limited to:</w:t>
      </w:r>
    </w:p>
    <w:p>
      <w:pPr>
        <w:spacing w:after="0" w:line="162" w:lineRule="exact"/>
        <w:rPr>
          <w:sz w:val="20"/>
          <w:szCs w:val="20"/>
          <w:color w:val="auto"/>
        </w:rPr>
      </w:pPr>
    </w:p>
    <w:p>
      <w:pPr>
        <w:ind w:left="560" w:hanging="552"/>
        <w:spacing w:after="0"/>
        <w:tabs>
          <w:tab w:leader="none" w:pos="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related person transaction;</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related person transaction;</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business;</w:t>
      </w:r>
    </w:p>
    <w:p>
      <w:pPr>
        <w:spacing w:after="0" w:line="225" w:lineRule="exact"/>
        <w:rPr>
          <w:rFonts w:ascii="Times New Roman" w:cs="Times New Roman" w:eastAsia="Times New Roman" w:hAnsi="Times New Roman"/>
          <w:sz w:val="18"/>
          <w:szCs w:val="18"/>
          <w:color w:val="auto"/>
        </w:rPr>
      </w:pPr>
    </w:p>
    <w:p>
      <w:pPr>
        <w:ind w:left="560" w:right="260" w:hanging="552"/>
        <w:spacing w:after="0" w:line="282" w:lineRule="auto"/>
        <w:tabs>
          <w:tab w:leader="none" w:pos="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with the related person is proposed to be, or was, entered into on terms no less favorable to us than terms that could have been reached with an unrelated third party;</w:t>
      </w:r>
    </w:p>
    <w:p>
      <w:pPr>
        <w:spacing w:after="0" w:line="161"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us of, the transaction; and</w:t>
      </w:r>
    </w:p>
    <w:p>
      <w:pPr>
        <w:spacing w:after="0" w:line="225" w:lineRule="exact"/>
        <w:rPr>
          <w:rFonts w:ascii="Times New Roman" w:cs="Times New Roman" w:eastAsia="Times New Roman" w:hAnsi="Times New Roman"/>
          <w:sz w:val="18"/>
          <w:szCs w:val="18"/>
          <w:color w:val="auto"/>
        </w:rPr>
      </w:pPr>
    </w:p>
    <w:p>
      <w:pPr>
        <w:ind w:left="560" w:right="20" w:hanging="552"/>
        <w:spacing w:after="0" w:line="282" w:lineRule="auto"/>
        <w:tabs>
          <w:tab w:leader="none" w:pos="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determining whether to approve, ratify or reject a related person transaction, the audit committee reviews all relevant information available to it about such transaction, and it may approve or ratify the related person transaction only if it determines that, under all of the circumstances, the transaction is in, or is not inconsistent with, the best interests of the Company.</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There have been no transactions during the year ended December 31, 2025 involving an amount in excess of $120,000 to which the Company has been a participant and in which any of its directors, executive officers or holders of more than 5% of its share capital, or any members of their immediate family, had or will have a direct or indirect material interest, other than compensation arrangements which are described under “Executive Compensation” and “Director Compensation.”</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April 16, 2026 by:</w:t>
      </w:r>
    </w:p>
    <w:p>
      <w:pPr>
        <w:spacing w:after="0" w:line="225" w:lineRule="exact"/>
        <w:rPr>
          <w:sz w:val="20"/>
          <w:szCs w:val="20"/>
          <w:color w:val="auto"/>
        </w:rPr>
      </w:pPr>
    </w:p>
    <w:p>
      <w:pPr>
        <w:ind w:left="560" w:hanging="552"/>
        <w:spacing w:after="0"/>
        <w:tabs>
          <w:tab w:leader="none" w:pos="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own beneficially 5% or more of our outstanding shares;</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individually; and</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beneficial ownership of shares of common stock is determined in accordance with the rules of the SEC and generally includes any shares of common stock over which a person exercises sole or shared voting or investment power, or the right to receive the economic benefit of ownership. For purposes of the table below, we deem shares subject to options or warrants that are currently exercisable or exercisable within 60 days of April 14, 2026,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28,423,069 shares of common stock outstanding as of April 14, 2026.</w:t>
      </w:r>
    </w:p>
    <w:p>
      <w:pPr>
        <w:spacing w:after="0" w:line="187"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by each person or entity known to beneficially own more than 5% of our common stock as of April 14, 2026. Except as indicated in footnotes to this table, we believe that the stockholders named in this table have sole voting and investment power with respect to all shares shown to be beneficially owned by them, based on information provided to us by such stockholders. Unless otherwise noted below, each beneficial owner’s address is: c/o Arcturus Therapeutics Holdings Inc., 10285 Science Center Drive, San Diego, California, 92121.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 of Common Stock Beneficially Owned</w:t>
            </w: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10"/>
        </w:trPr>
        <w:tc>
          <w:tcPr>
            <w:tcW w:w="7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38"/>
        </w:trPr>
        <w:tc>
          <w:tcPr>
            <w:tcW w:w="7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223"/>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17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50"/>
        </w:trPr>
        <w:tc>
          <w:tcPr>
            <w:tcW w:w="764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Federated Hermes</w:t>
            </w:r>
            <w:r>
              <w:rPr>
                <w:rFonts w:ascii="Times New Roman" w:cs="Times New Roman" w:eastAsia="Times New Roman" w:hAnsi="Times New Roman"/>
                <w:sz w:val="28"/>
                <w:szCs w:val="28"/>
                <w:color w:val="auto"/>
                <w:vertAlign w:val="superscript"/>
              </w:rPr>
              <w:t>(1)</w:t>
            </w:r>
          </w:p>
        </w:tc>
        <w:tc>
          <w:tcPr>
            <w:tcW w:w="34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3,303,640</w:t>
            </w:r>
          </w:p>
        </w:tc>
        <w:tc>
          <w:tcPr>
            <w:tcW w:w="32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56"/>
        </w:trPr>
        <w:tc>
          <w:tcPr>
            <w:tcW w:w="7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ARK Investment Management LLC</w:t>
            </w:r>
            <w:r>
              <w:rPr>
                <w:rFonts w:ascii="Times New Roman" w:cs="Times New Roman" w:eastAsia="Times New Roman" w:hAnsi="Times New Roman"/>
                <w:sz w:val="29"/>
                <w:szCs w:val="29"/>
                <w:color w:val="auto"/>
                <w:vertAlign w:val="superscript"/>
              </w:rPr>
              <w:t>(2)</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2,611,099</w:t>
            </w:r>
          </w:p>
        </w:tc>
        <w:tc>
          <w:tcPr>
            <w:tcW w:w="3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57"/>
        </w:trPr>
        <w:tc>
          <w:tcPr>
            <w:tcW w:w="7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Blackrock</w:t>
            </w:r>
            <w:r>
              <w:rPr>
                <w:rFonts w:ascii="Times New Roman" w:cs="Times New Roman" w:eastAsia="Times New Roman" w:hAnsi="Times New Roman"/>
                <w:sz w:val="29"/>
                <w:szCs w:val="29"/>
                <w:color w:val="auto"/>
                <w:vertAlign w:val="superscript"/>
              </w:rPr>
              <w:t>(3)</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2,104,537</w:t>
            </w: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57"/>
        </w:trPr>
        <w:tc>
          <w:tcPr>
            <w:tcW w:w="7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Amova Asset Management Americas, Inc.</w:t>
            </w:r>
            <w:r>
              <w:rPr>
                <w:rFonts w:ascii="Times New Roman" w:cs="Times New Roman" w:eastAsia="Times New Roman" w:hAnsi="Times New Roman"/>
                <w:sz w:val="29"/>
                <w:szCs w:val="29"/>
                <w:color w:val="auto"/>
                <w:vertAlign w:val="superscript"/>
              </w:rPr>
              <w:t>(4)</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1,947,835</w:t>
            </w:r>
          </w:p>
        </w:tc>
        <w:tc>
          <w:tcPr>
            <w:tcW w:w="3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56"/>
        </w:trPr>
        <w:tc>
          <w:tcPr>
            <w:tcW w:w="7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Sumitomo Mitsui Trust Group, Inc. </w:t>
            </w:r>
            <w:r>
              <w:rPr>
                <w:rFonts w:ascii="Times New Roman" w:cs="Times New Roman" w:eastAsia="Times New Roman" w:hAnsi="Times New Roman"/>
                <w:sz w:val="29"/>
                <w:szCs w:val="29"/>
                <w:color w:val="auto"/>
                <w:vertAlign w:val="superscript"/>
              </w:rPr>
              <w:t>(4)</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1,947,835</w:t>
            </w: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56"/>
        </w:trPr>
        <w:tc>
          <w:tcPr>
            <w:tcW w:w="7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Joseph E. Payne</w:t>
            </w:r>
            <w:r>
              <w:rPr>
                <w:rFonts w:ascii="Times New Roman" w:cs="Times New Roman" w:eastAsia="Times New Roman" w:hAnsi="Times New Roman"/>
                <w:sz w:val="29"/>
                <w:szCs w:val="29"/>
                <w:color w:val="auto"/>
                <w:vertAlign w:val="superscript"/>
              </w:rPr>
              <w:t>(5)</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2,502,347</w:t>
            </w:r>
          </w:p>
        </w:tc>
        <w:tc>
          <w:tcPr>
            <w:tcW w:w="3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57"/>
        </w:trPr>
        <w:tc>
          <w:tcPr>
            <w:tcW w:w="7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Andrew Sassine</w:t>
            </w:r>
            <w:r>
              <w:rPr>
                <w:rFonts w:ascii="Times New Roman" w:cs="Times New Roman" w:eastAsia="Times New Roman" w:hAnsi="Times New Roman"/>
                <w:sz w:val="29"/>
                <w:szCs w:val="29"/>
                <w:color w:val="auto"/>
                <w:vertAlign w:val="superscript"/>
              </w:rPr>
              <w:t>(6)</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898,014</w:t>
            </w: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7"/>
        </w:trPr>
        <w:tc>
          <w:tcPr>
            <w:tcW w:w="7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Pad Chivukula </w:t>
            </w:r>
            <w:r>
              <w:rPr>
                <w:rFonts w:ascii="Times New Roman" w:cs="Times New Roman" w:eastAsia="Times New Roman" w:hAnsi="Times New Roman"/>
                <w:sz w:val="29"/>
                <w:szCs w:val="29"/>
                <w:color w:val="auto"/>
                <w:vertAlign w:val="superscript"/>
              </w:rPr>
              <w:t>(7)</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1,010,334</w:t>
            </w:r>
          </w:p>
        </w:tc>
        <w:tc>
          <w:tcPr>
            <w:tcW w:w="3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6"/>
        </w:trPr>
        <w:tc>
          <w:tcPr>
            <w:tcW w:w="7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Lance Kurata</w:t>
            </w:r>
            <w:r>
              <w:rPr>
                <w:rFonts w:ascii="Times New Roman" w:cs="Times New Roman" w:eastAsia="Times New Roman" w:hAnsi="Times New Roman"/>
                <w:sz w:val="29"/>
                <w:szCs w:val="29"/>
                <w:color w:val="auto"/>
                <w:vertAlign w:val="superscript"/>
              </w:rPr>
              <w:t>(8)</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343,750</w:t>
            </w: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7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Joseph Roberts</w:t>
            </w:r>
            <w:r>
              <w:rPr>
                <w:rFonts w:ascii="Times New Roman" w:cs="Times New Roman" w:eastAsia="Times New Roman" w:hAnsi="Times New Roman"/>
                <w:sz w:val="29"/>
                <w:szCs w:val="29"/>
                <w:color w:val="auto"/>
                <w:vertAlign w:val="superscript"/>
              </w:rPr>
              <w:t>(9)</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43,271</w:t>
            </w:r>
          </w:p>
        </w:tc>
        <w:tc>
          <w:tcPr>
            <w:tcW w:w="320" w:type="dxa"/>
            <w:vAlign w:val="bottom"/>
          </w:tcPr>
          <w:p>
            <w:pPr>
              <w:spacing w:after="0"/>
              <w:rPr>
                <w:sz w:val="22"/>
                <w:szCs w:val="22"/>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Moncef Slaoui</w:t>
            </w:r>
            <w:r>
              <w:rPr>
                <w:rFonts w:ascii="Times New Roman" w:cs="Times New Roman" w:eastAsia="Times New Roman" w:hAnsi="Times New Roman"/>
                <w:sz w:val="29"/>
                <w:szCs w:val="29"/>
                <w:color w:val="auto"/>
                <w:vertAlign w:val="superscript"/>
              </w:rPr>
              <w:t>(10)</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44,794</w:t>
            </w: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Peter C Farrell</w:t>
            </w:r>
            <w:r>
              <w:rPr>
                <w:rFonts w:ascii="Times New Roman" w:cs="Times New Roman" w:eastAsia="Times New Roman" w:hAnsi="Times New Roman"/>
                <w:sz w:val="29"/>
                <w:szCs w:val="29"/>
                <w:color w:val="auto"/>
                <w:vertAlign w:val="superscript"/>
              </w:rPr>
              <w:t>(11)</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229,934</w:t>
            </w:r>
          </w:p>
        </w:tc>
        <w:tc>
          <w:tcPr>
            <w:tcW w:w="320" w:type="dxa"/>
            <w:vAlign w:val="bottom"/>
          </w:tcPr>
          <w:p>
            <w:pPr>
              <w:spacing w:after="0"/>
              <w:rPr>
                <w:sz w:val="22"/>
                <w:szCs w:val="22"/>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Magda Marquet</w:t>
            </w:r>
            <w:r>
              <w:rPr>
                <w:rFonts w:ascii="Times New Roman" w:cs="Times New Roman" w:eastAsia="Times New Roman" w:hAnsi="Times New Roman"/>
                <w:sz w:val="29"/>
                <w:szCs w:val="29"/>
                <w:color w:val="auto"/>
                <w:vertAlign w:val="superscript"/>
              </w:rPr>
              <w:t>(12)</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159,311</w:t>
            </w: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James Barlow</w:t>
            </w:r>
            <w:r>
              <w:rPr>
                <w:rFonts w:ascii="Times New Roman" w:cs="Times New Roman" w:eastAsia="Times New Roman" w:hAnsi="Times New Roman"/>
                <w:sz w:val="29"/>
                <w:szCs w:val="29"/>
                <w:color w:val="auto"/>
                <w:vertAlign w:val="superscript"/>
              </w:rPr>
              <w:t>(13)</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144,369</w:t>
            </w:r>
          </w:p>
        </w:tc>
        <w:tc>
          <w:tcPr>
            <w:tcW w:w="320" w:type="dxa"/>
            <w:vAlign w:val="bottom"/>
          </w:tcPr>
          <w:p>
            <w:pPr>
              <w:spacing w:after="0"/>
              <w:rPr>
                <w:sz w:val="22"/>
                <w:szCs w:val="22"/>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Edward Holmes</w:t>
            </w:r>
            <w:r>
              <w:rPr>
                <w:rFonts w:ascii="Times New Roman" w:cs="Times New Roman" w:eastAsia="Times New Roman" w:hAnsi="Times New Roman"/>
                <w:sz w:val="29"/>
                <w:szCs w:val="29"/>
                <w:color w:val="auto"/>
                <w:vertAlign w:val="superscript"/>
              </w:rPr>
              <w:t>(14)</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121,869</w:t>
            </w: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Jing Marantz</w:t>
            </w:r>
            <w:r>
              <w:rPr>
                <w:rFonts w:ascii="Times New Roman" w:cs="Times New Roman" w:eastAsia="Times New Roman" w:hAnsi="Times New Roman"/>
                <w:sz w:val="29"/>
                <w:szCs w:val="29"/>
                <w:color w:val="auto"/>
                <w:vertAlign w:val="superscript"/>
              </w:rPr>
              <w:t>(15)</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83,568</w:t>
            </w:r>
          </w:p>
        </w:tc>
        <w:tc>
          <w:tcPr>
            <w:tcW w:w="320" w:type="dxa"/>
            <w:vAlign w:val="bottom"/>
          </w:tcPr>
          <w:p>
            <w:pPr>
              <w:spacing w:after="0"/>
              <w:rPr>
                <w:sz w:val="22"/>
                <w:szCs w:val="22"/>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John Markels</w:t>
            </w:r>
            <w:r>
              <w:rPr>
                <w:rFonts w:ascii="Times New Roman" w:cs="Times New Roman" w:eastAsia="Times New Roman" w:hAnsi="Times New Roman"/>
                <w:sz w:val="29"/>
                <w:szCs w:val="29"/>
                <w:color w:val="auto"/>
                <w:vertAlign w:val="superscript"/>
              </w:rPr>
              <w:t>(16)</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68,855</w:t>
            </w: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(12 persons)</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5,650,416</w:t>
            </w:r>
          </w:p>
        </w:tc>
        <w:tc>
          <w:tcPr>
            <w:tcW w:w="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4" w:name="page55"/>
    <w:bookmarkEnd w:id="54"/>
    <w:p>
      <w:pPr>
        <w:ind w:left="560" w:right="620" w:hanging="552"/>
        <w:spacing w:after="0" w:line="282" w:lineRule="auto"/>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an Schedule 13G/A filed with the SEC on January 8, 2026. The address of Federated Hermes, Inc. is 1001 Liberty Avenue, Pittsburgh, PA 15222-3779.</w:t>
      </w:r>
    </w:p>
    <w:p>
      <w:pPr>
        <w:spacing w:after="0" w:line="161" w:lineRule="exact"/>
        <w:rPr>
          <w:rFonts w:ascii="Times New Roman" w:cs="Times New Roman" w:eastAsia="Times New Roman" w:hAnsi="Times New Roman"/>
          <w:sz w:val="18"/>
          <w:szCs w:val="18"/>
          <w:color w:val="auto"/>
        </w:rPr>
      </w:pPr>
    </w:p>
    <w:p>
      <w:pPr>
        <w:ind w:left="560" w:right="520" w:hanging="552"/>
        <w:spacing w:after="0" w:line="282" w:lineRule="auto"/>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an Schedule 13G filed with the SEC on February 3, 2026. The address of ARK Investment Management LLC is 200 Central Avenue, St. Petersburg, FL 33701.</w:t>
      </w:r>
    </w:p>
    <w:p>
      <w:pPr>
        <w:spacing w:after="0" w:line="161"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Form 13G/A filed with the SEC on April 23, 2025. The address of BlackRock, Inc. is 55 East 52nd Street New York, NY 10055.</w:t>
      </w:r>
    </w:p>
    <w:p>
      <w:pPr>
        <w:spacing w:after="0" w:line="225" w:lineRule="exact"/>
        <w:rPr>
          <w:rFonts w:ascii="Times New Roman" w:cs="Times New Roman" w:eastAsia="Times New Roman" w:hAnsi="Times New Roman"/>
          <w:sz w:val="18"/>
          <w:szCs w:val="18"/>
          <w:color w:val="auto"/>
        </w:rPr>
      </w:pPr>
    </w:p>
    <w:p>
      <w:pPr>
        <w:ind w:left="580" w:hanging="572"/>
        <w:spacing w:after="0" w:line="258" w:lineRule="auto"/>
        <w:tabs>
          <w:tab w:leader="none" w:pos="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Form 13G/A filed with the SEC on October 27, 2025 jointly by Sumitomo Mitsui Trust Group, Inc. and Amova Asset Management Co., Ltd., and a Form 13G/A filed with the SEC on November 11, 2025 by Amova Asset Management Americas, Inc. The address of Sumitomo Mitsui Trust Group, Inc. is 1-4-1 Marunouchi, Chiyoda-ku, Tokyo 100-8233, Japan. The address of Amova Asset Management Co., Ltd. is Midtown Tower, 9-7-1 Akasaka, Minato-ku, Tokyo 107-6242, Japan. The address of Amova Asset Management Americas, Inc. is 605 Third Avenue, 38th Floor, New York, NY 10158.</w:t>
      </w:r>
    </w:p>
    <w:p>
      <w:pPr>
        <w:spacing w:after="0" w:line="183" w:lineRule="exact"/>
        <w:rPr>
          <w:rFonts w:ascii="Times New Roman" w:cs="Times New Roman" w:eastAsia="Times New Roman" w:hAnsi="Times New Roman"/>
          <w:sz w:val="18"/>
          <w:szCs w:val="18"/>
          <w:color w:val="auto"/>
        </w:rPr>
      </w:pPr>
    </w:p>
    <w:p>
      <w:pPr>
        <w:ind w:left="560" w:right="400" w:hanging="552"/>
        <w:spacing w:after="0" w:line="282" w:lineRule="auto"/>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1,022,250 shares issuable upon the exercise of options exercisable within 60 days of April 14, 2026.; does not include 403,750 shares issuable upon the exercise of options subject to vesting.</w:t>
      </w:r>
    </w:p>
    <w:p>
      <w:pPr>
        <w:spacing w:after="0" w:line="161"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676,250 shares issuable upon the exercise of options exercisable within 60 days of April 14, 2026.</w:t>
      </w:r>
    </w:p>
    <w:p>
      <w:pPr>
        <w:spacing w:after="0" w:line="225" w:lineRule="exact"/>
        <w:rPr>
          <w:rFonts w:ascii="Times New Roman" w:cs="Times New Roman" w:eastAsia="Times New Roman" w:hAnsi="Times New Roman"/>
          <w:sz w:val="18"/>
          <w:szCs w:val="18"/>
          <w:color w:val="auto"/>
        </w:rPr>
      </w:pPr>
    </w:p>
    <w:p>
      <w:pPr>
        <w:ind w:left="560" w:right="580" w:hanging="552"/>
        <w:spacing w:after="0" w:line="282" w:lineRule="auto"/>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575,000 shares issuable upon the exercise of options exercisable within 60 days of April 14, 2026; does not include 154,000 shares issuable upon the exercise of options subject to vesting.</w:t>
      </w:r>
    </w:p>
    <w:p>
      <w:pPr>
        <w:spacing w:after="0" w:line="161" w:lineRule="exact"/>
        <w:rPr>
          <w:rFonts w:ascii="Times New Roman" w:cs="Times New Roman" w:eastAsia="Times New Roman" w:hAnsi="Times New Roman"/>
          <w:sz w:val="18"/>
          <w:szCs w:val="18"/>
          <w:color w:val="auto"/>
        </w:rPr>
      </w:pPr>
    </w:p>
    <w:p>
      <w:pPr>
        <w:ind w:left="560" w:right="580" w:hanging="552"/>
        <w:spacing w:after="0" w:line="282" w:lineRule="auto"/>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343,750 shares issuable upon the exercise of options exercisable within 60 days of April 14, 2026; does not include 135,250 shares issuable upon the exercise of options subject to vesting.</w:t>
      </w:r>
    </w:p>
    <w:p>
      <w:pPr>
        <w:spacing w:after="0" w:line="161" w:lineRule="exact"/>
        <w:rPr>
          <w:rFonts w:ascii="Times New Roman" w:cs="Times New Roman" w:eastAsia="Times New Roman" w:hAnsi="Times New Roman"/>
          <w:sz w:val="18"/>
          <w:szCs w:val="18"/>
          <w:color w:val="auto"/>
        </w:rPr>
      </w:pPr>
    </w:p>
    <w:p>
      <w:pPr>
        <w:ind w:left="560" w:right="120" w:hanging="552"/>
        <w:spacing w:after="0" w:line="282" w:lineRule="auto"/>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41,070 shares issuable upon the exercise of options exercisable within 60 days of April 14, 2026; does not include 19,730 shares issuable upon the exercise of options subject to vesting.</w:t>
      </w:r>
    </w:p>
    <w:p>
      <w:pPr>
        <w:spacing w:after="0" w:line="161"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44,794 shares issuable upon the exercise of options exercisable within 60 days of April 14, 2026.</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134,369 shares issuable upon the exercise of options exercisable within 60 days of April 14, 2026.</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134,369 shares issuable upon the exercise of options exercisable within 60 days of April 14, 2026.</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134,369 shares issuable upon the exercise of options exercisable within 60 days of April 14, 2026.</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121,869 shares issuable upon the exercise of options exercisable within 60 days of April 14, 2026.</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83,568 shares issuable upon the exercise of options exercisable within 60 days of April 14, 2026.</w:t>
      </w:r>
    </w:p>
    <w:p>
      <w:pPr>
        <w:spacing w:after="0" w:line="225"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68,855 shares issuable upon the exercise of options exercisable within 60 days of April 14, 2026.</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and persons who own more than 10% of a registered class of our equity securities, to file reports of ownership and changes of ownership on Forms 3, 4 and 5 with the SEC. Such directors, executive officers and 10% stockholders are required by SEC regulations to furnish us with copies of all Section 16(a) forms they file.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solely on our review of the copies of such forms we have received and written representations from certain reporting persons that they filed all required reports, we believe that all of our officers, directors and 10% stockholders complied with all Section 16(a) filing requirements applicable to them with respect to transactions during 2025, except that one inadvertent late Form 4 was filed on behalf of Andy Sassine on August 19, 2025 with respect to one transaction.</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Year 2025 Annual Report</w:t>
      </w:r>
    </w:p>
    <w:p>
      <w:pPr>
        <w:spacing w:after="0" w:line="229"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auto"/>
        </w:rPr>
        <w:t xml:space="preserve">Our financial statements for our fiscal year ended December 31, 2025 are included in our 2025 annual report, which we will make available to stockholders at the same time as this proxy statement. This proxy statement and our 2025 annual report are posted on our website at http://www.arcturusrx.com at the website of the SEC at www.sec.gov. </w:t>
      </w:r>
      <w:r>
        <w:rPr>
          <w:rFonts w:ascii="Times New Roman" w:cs="Times New Roman" w:eastAsia="Times New Roman" w:hAnsi="Times New Roman"/>
          <w:sz w:val="18"/>
          <w:szCs w:val="18"/>
          <w:b w:val="1"/>
          <w:bCs w:val="1"/>
          <w:color w:val="auto"/>
        </w:rPr>
        <w:t>You may also obtain a copy of our 2025 annual report without charge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sending a written request to us at Arcturus Therapeutics Holdings Inc., 10285 Science Center Drive, San Diego, California 92121, Attention: Investor Relations.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Company Website</w:t>
      </w:r>
    </w:p>
    <w:p>
      <w:pPr>
        <w:spacing w:after="0" w:line="229"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We maintain a website at http://www.arcturusrx.com. Information contained on, or that can be accessed through, our website is not intended to be incorporated by reference into this proxy statement.</w:t>
      </w:r>
    </w:p>
    <w:p>
      <w:pPr>
        <w:spacing w:after="0" w:line="15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PROPOSALS OF STOCKHOLDERS FOR 2027 ANNUAL MEETING</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 Proposals for Inclusion in Proxy Statement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our corporate secretary must receive the written proposal at our principal executive offices not later than the close of business on December 28, 2026. In addition, stockholder proposals must comply with the requirements of Rule 14a-8 under the Exchange Act regarding the inclusion of stockholder proposals in company- sponsored proxy materials. Proposals should be addressed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10285 Science Center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 Not for Inclusion in Proxy Statement</w:t>
      </w:r>
    </w:p>
    <w:p>
      <w:pPr>
        <w:spacing w:after="0" w:line="22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Our bylaws also establish an advance notice procedure for stockholders who wish to (i) present a proposal before an annual meeting of stockholders, but do not intend for the proposal to be included in our proxy statement or (ii) nominate directors for election at an annual meeting of stockholders. In addition to satisfying all the requirements under the Company’s bylaws, to comply with the SEC’s new universal proxy rules for the Company’s 2027 annual meeting, stockholders who intend to solicit proxies in support of director nominees other than the Company’s nominees must provide notice that sets forth all of the information required by Rule 14a-19 under the Exchange Act, the stockholder must have given timely notice of such proposal or nomination, in proper written form. If the stockholder does not also comply with the requirements of Rule 14a-4(c)(2) under the Exchange Act, we may exercise discretionary voting authority under proxies that we solicit to vote in accordance with our best judgment on any such stockholder proposal or nomination. To make a submission or to request a copy of our amended and restated bylaws, stockholders should contact our Corporate Secretary. To be timely for our 2027 annual meeting of stockholders, a stockholder’s notice of a matter that the stockholder wishes to present, or the person or persons the stockholder wishes to nominate as a director, must be delivered to the corporate secretary at Arcturus’ principal executive offices not less than 45 days and not more than 75 days prior to the first anniversary of the date of the mailing of the materials for the preceding year’s annual meeting of stockholders. As a result, any written notice given by a stockholder pursuant to these provisions of our bylaws must be received by our corporate secretary at our principal executive offices:</w:t>
      </w:r>
    </w:p>
    <w:p>
      <w:pPr>
        <w:spacing w:after="0" w:line="190" w:lineRule="exact"/>
        <w:rPr>
          <w:sz w:val="20"/>
          <w:szCs w:val="20"/>
          <w:color w:val="auto"/>
        </w:rPr>
      </w:pPr>
    </w:p>
    <w:p>
      <w:pPr>
        <w:ind w:left="560" w:hanging="552"/>
        <w:spacing w:after="0"/>
        <w:tabs>
          <w:tab w:leader="none" w:pos="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February 10, 2027, and</w:t>
      </w: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6" w:name="page57"/>
    <w:bookmarkEnd w:id="56"/>
    <w:p>
      <w:pPr>
        <w:ind w:left="560" w:hanging="552"/>
        <w:spacing w:after="0"/>
        <w:tabs>
          <w:tab w:leader="none" w:pos="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March 12, 2027</w:t>
      </w:r>
    </w:p>
    <w:p>
      <w:pPr>
        <w:spacing w:after="0" w:line="225"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In the event that we hold our 2027 annual meeting of stockholders more than 30 days before or more than 30 days after the one-year anniversary date of the 2026 annual meeting, then such written notice must be received no later than the close of business on the later of the following two dates:</w:t>
      </w:r>
    </w:p>
    <w:p>
      <w:pPr>
        <w:spacing w:after="0" w:line="162" w:lineRule="exact"/>
        <w:rPr>
          <w:sz w:val="20"/>
          <w:szCs w:val="20"/>
          <w:color w:val="auto"/>
        </w:rPr>
      </w:pPr>
    </w:p>
    <w:p>
      <w:pPr>
        <w:ind w:left="560" w:hanging="552"/>
        <w:spacing w:after="0"/>
        <w:tabs>
          <w:tab w:leader="none" w:pos="5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prior to such annual meeting, or</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10th day following the day on which public announcement of the date of such meeting is first made.</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18"/>
          <w:szCs w:val="18"/>
          <w:color w:val="auto"/>
        </w:rPr>
        <w:t>To be in proper written form, a stockholder’s notice must include the specified information concerning the proposal or nominee as described in our bylaws.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Notices should be addressed to: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10285 Science Center Drive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stockholder recommendations for director candidates, please see the section entitled “Requirements for Stockholder Recommendations of a Candidate to our Board.”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We know of no other matters to be submitted at the 2026 annual meeting. If any other matters properly come before the 2026 annual meeting, it is the intention of the persons named in the proxy to vote the shares they represent as the Board may recommend. Discretionary authority with respect to such other matters is granted by a properly submitted proxy.</w:t>
      </w:r>
    </w:p>
    <w:p>
      <w:pPr>
        <w:spacing w:after="0" w:line="176"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It is important that your shares be represented at the 2026 annual meeting, regardless of the number of shares that you hold. You are, therefore, urged to vote as promptly as possible to ensure your vote is recorded.</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205565 Arcturus Therapeutics Proxy Card Front</w:t>
            </w:r>
          </w:p>
        </w:tc>
        <w:tc>
          <w:tcPr>
            <w:tcW w:w="204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2"/>
        </w:trPr>
        <w:tc>
          <w:tcPr>
            <w:tcW w:w="2820" w:type="dxa"/>
            <w:vAlign w:val="bottom"/>
          </w:tcPr>
          <w:p>
            <w:pPr>
              <w:spacing w:after="0"/>
              <w:rPr>
                <w:sz w:val="24"/>
                <w:szCs w:val="24"/>
                <w:color w:val="auto"/>
              </w:rPr>
            </w:pPr>
          </w:p>
        </w:tc>
        <w:tc>
          <w:tcPr>
            <w:tcW w:w="562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YOUR VOTE IS IMPORTANT. PLEASE VOTE TODAY.</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14"/>
        </w:trPr>
        <w:tc>
          <w:tcPr>
            <w:tcW w:w="2820" w:type="dxa"/>
            <w:vAlign w:val="bottom"/>
          </w:tcPr>
          <w:p>
            <w:pPr>
              <w:spacing w:after="0"/>
              <w:rPr>
                <w:sz w:val="18"/>
                <w:szCs w:val="18"/>
                <w:color w:val="auto"/>
              </w:rPr>
            </w:pPr>
          </w:p>
        </w:tc>
        <w:tc>
          <w:tcPr>
            <w:tcW w:w="358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Vote by Internet - QUICK</w:t>
            </w:r>
          </w:p>
        </w:tc>
        <w:tc>
          <w:tcPr>
            <w:tcW w:w="20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EASY</w:t>
            </w:r>
          </w:p>
        </w:tc>
        <w:tc>
          <w:tcPr>
            <w:tcW w:w="2800" w:type="dxa"/>
            <w:vAlign w:val="bottom"/>
          </w:tcPr>
          <w:p>
            <w:pPr>
              <w:spacing w:after="0"/>
              <w:rPr>
                <w:sz w:val="18"/>
                <w:szCs w:val="18"/>
                <w:color w:val="auto"/>
              </w:rPr>
            </w:pPr>
          </w:p>
        </w:tc>
      </w:tr>
      <w:tr>
        <w:trPr>
          <w:trHeight w:val="238"/>
        </w:trPr>
        <w:tc>
          <w:tcPr>
            <w:tcW w:w="2820" w:type="dxa"/>
            <w:vAlign w:val="bottom"/>
          </w:tcPr>
          <w:p>
            <w:pPr>
              <w:spacing w:after="0"/>
              <w:rPr>
                <w:sz w:val="20"/>
                <w:szCs w:val="20"/>
                <w:color w:val="auto"/>
              </w:rPr>
            </w:pPr>
          </w:p>
        </w:tc>
        <w:tc>
          <w:tcPr>
            <w:tcW w:w="56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IMMEDIATE - 24 Hours a Day, 7 Days a Week or by Mail</w:t>
            </w:r>
          </w:p>
        </w:tc>
        <w:tc>
          <w:tcPr>
            <w:tcW w:w="2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-290830</wp:posOffset>
            </wp:positionV>
            <wp:extent cx="514350"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 cy="12001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p>
      <w:pPr>
        <w:spacing w:after="0" w:line="394"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8"/>
          <w:szCs w:val="28"/>
          <w:b w:val="1"/>
          <w:bCs w:val="1"/>
          <w:color w:val="auto"/>
        </w:rPr>
        <w:t>ARCTURUS THERAPEUTICS</w:t>
      </w:r>
    </w:p>
    <w:p>
      <w:pPr>
        <w:spacing w:after="0" w:line="54"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9"/>
          <w:szCs w:val="29"/>
          <w:b w:val="1"/>
          <w:bCs w:val="1"/>
          <w:color w:val="auto"/>
        </w:rPr>
        <w:t>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1408430</wp:posOffset>
            </wp:positionV>
            <wp:extent cx="3583305" cy="3600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83305"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Your Internet vote authorizes the named proxies to vote your shares in the same manner as if you marked, signed and returned your proxy card. Votes submitted electronically over the Internet must be received by 11:59 p.m., Eastern Time, on June 4, 2026.</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INTERNET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-116840</wp:posOffset>
            </wp:positionV>
            <wp:extent cx="316865"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6865" cy="265430"/>
                    </a:xfrm>
                    <a:prstGeom prst="rect">
                      <a:avLst/>
                    </a:prstGeom>
                    <a:noFill/>
                  </pic:spPr>
                </pic:pic>
              </a:graphicData>
            </a:graphic>
          </wp:anchor>
        </w:drawing>
      </w:r>
    </w:p>
    <w:p>
      <w:pPr>
        <w:spacing w:after="0" w:line="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www.cstproxyvote.com</w:t>
      </w:r>
    </w:p>
    <w:p>
      <w:pPr>
        <w:spacing w:after="0" w:line="9" w:lineRule="exact"/>
        <w:rPr>
          <w:sz w:val="20"/>
          <w:szCs w:val="20"/>
          <w:color w:val="auto"/>
        </w:rPr>
      </w:pPr>
    </w:p>
    <w:p>
      <w:pPr>
        <w:jc w:val="both"/>
        <w:ind w:left="560" w:right="100"/>
        <w:spacing w:after="0" w:line="255" w:lineRule="auto"/>
        <w:rPr>
          <w:sz w:val="20"/>
          <w:szCs w:val="20"/>
          <w:color w:val="auto"/>
        </w:rPr>
      </w:pPr>
      <w:r>
        <w:rPr>
          <w:rFonts w:ascii="Times New Roman" w:cs="Times New Roman" w:eastAsia="Times New Roman" w:hAnsi="Times New Roman"/>
          <w:sz w:val="18"/>
          <w:szCs w:val="18"/>
          <w:color w:val="auto"/>
        </w:rPr>
        <w:t>Use the Internet to vote your proxy. Have your proxy card available when you access the above website. Follow the prompts to vote your shares.</w:t>
      </w:r>
    </w:p>
    <w:p>
      <w:pPr>
        <w:spacing w:after="0" w:line="182" w:lineRule="exact"/>
        <w:rPr>
          <w:sz w:val="20"/>
          <w:szCs w:val="20"/>
          <w:color w:val="auto"/>
        </w:rPr>
      </w:pPr>
    </w:p>
    <w:p>
      <w:pPr>
        <w:ind w:left="560"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MAIL – </w:t>
      </w:r>
      <w:r>
        <w:rPr>
          <w:rFonts w:ascii="Times New Roman" w:cs="Times New Roman" w:eastAsia="Times New Roman" w:hAnsi="Times New Roman"/>
          <w:sz w:val="18"/>
          <w:szCs w:val="18"/>
          <w:color w:val="auto"/>
        </w:rPr>
        <w:t>Mark, sign and date your proxy card and return it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-298450</wp:posOffset>
            </wp:positionV>
            <wp:extent cx="308610" cy="291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861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720"/>
            <w:col w:w="5600"/>
          </w:cols>
          <w:pgMar w:left="320" w:top="796" w:right="339" w:bottom="1440" w:gutter="0" w:footer="0" w:header="0"/>
          <w:type w:val="continuous"/>
        </w:sectPr>
      </w:pPr>
    </w:p>
    <w:p>
      <w:pPr>
        <w:spacing w:after="0" w:line="58"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9"/>
          <w:szCs w:val="19"/>
          <w:b w:val="1"/>
          <w:bCs w:val="1"/>
          <w:color w:val="auto"/>
        </w:rPr>
        <w:t>PLEASE DO NOT RETURN THE PROXY CARD IF YOU ARE</w:t>
      </w:r>
    </w:p>
    <w:p>
      <w:pPr>
        <w:spacing w:after="0" w:line="37"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20"/>
          <w:szCs w:val="20"/>
          <w:b w:val="1"/>
          <w:bCs w:val="1"/>
          <w:color w:val="auto"/>
        </w:rPr>
        <w:t>VOTING ELECTRONICALLY.</w:t>
      </w:r>
    </w:p>
    <w:p>
      <w:pPr>
        <w:sectPr>
          <w:pgSz w:w="11900" w:h="16838" w:orient="portrait"/>
          <w:cols w:equalWidth="0" w:num="1">
            <w:col w:w="11240"/>
          </w:cols>
          <w:pgMar w:left="320" w:top="796" w:right="3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17"/>
          <w:szCs w:val="17"/>
          <w:b w:val="1"/>
          <w:bCs w:val="1"/>
          <w:color w:val="auto"/>
        </w:rPr>
        <w:t>PROXY</w:t>
      </w:r>
      <w:r>
        <w:rPr>
          <w:sz w:val="20"/>
          <w:szCs w:val="20"/>
          <w:color w:val="auto"/>
        </w:rPr>
        <w:tab/>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FOLD HERE • DO NOT SEPARATE • INSERT IN ENVELOPE PROVIDED</w:t>
      </w: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Please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-67945</wp:posOffset>
            </wp:positionV>
            <wp:extent cx="506095" cy="265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6095" cy="265430"/>
                    </a:xfrm>
                    <a:prstGeom prst="rect">
                      <a:avLst/>
                    </a:prstGeom>
                    <a:noFill/>
                  </pic:spPr>
                </pic:pic>
              </a:graphicData>
            </a:graphic>
          </wp:anchor>
        </w:drawing>
      </w:r>
    </w:p>
    <w:p>
      <w:pPr>
        <w:ind w:left="100" w:right="280" w:hanging="62"/>
        <w:spacing w:after="0" w:line="200" w:lineRule="auto"/>
        <w:rPr>
          <w:sz w:val="20"/>
          <w:szCs w:val="20"/>
          <w:color w:val="auto"/>
        </w:rPr>
      </w:pPr>
      <w:r>
        <w:rPr>
          <w:rFonts w:ascii="Times New Roman" w:cs="Times New Roman" w:eastAsia="Times New Roman" w:hAnsi="Times New Roman"/>
          <w:sz w:val="13"/>
          <w:szCs w:val="13"/>
          <w:color w:val="auto"/>
        </w:rPr>
        <w:t>your votes</w:t>
      </w:r>
      <w:r>
        <w:rPr>
          <w:sz w:val="20"/>
          <w:szCs w:val="20"/>
          <w:color w:val="auto"/>
        </w:rPr>
        <w:t xml:space="preserve"> </w:t>
      </w:r>
      <w:r>
        <w:rPr>
          <w:rFonts w:ascii="Times New Roman" w:cs="Times New Roman" w:eastAsia="Times New Roman" w:hAnsi="Times New Roman"/>
          <w:sz w:val="32"/>
          <w:szCs w:val="32"/>
          <w:b w:val="1"/>
          <w:bCs w:val="1"/>
          <w:color w:val="auto"/>
        </w:rPr>
        <w:t xml:space="preserve">X </w:t>
      </w:r>
      <w:r>
        <w:rPr>
          <w:rFonts w:ascii="Times New Roman" w:cs="Times New Roman" w:eastAsia="Times New Roman" w:hAnsi="Times New Roman"/>
          <w:sz w:val="12"/>
          <w:szCs w:val="12"/>
          <w:color w:val="auto"/>
        </w:rPr>
        <w:t>like this</w:t>
      </w:r>
    </w:p>
    <w:p>
      <w:pPr>
        <w:spacing w:after="0" w:line="184" w:lineRule="exact"/>
        <w:rPr>
          <w:sz w:val="20"/>
          <w:szCs w:val="20"/>
          <w:color w:val="auto"/>
        </w:rPr>
      </w:pPr>
    </w:p>
    <w:p>
      <w:pPr>
        <w:sectPr>
          <w:pgSz w:w="11900" w:h="16838" w:orient="portrait"/>
          <w:cols w:equalWidth="0" w:num="2">
            <w:col w:w="8980" w:space="720"/>
            <w:col w:w="1540"/>
          </w:cols>
          <w:pgMar w:left="320" w:top="796" w:right="339" w:bottom="1440" w:gutter="0" w:footer="0" w:header="0"/>
          <w:type w:val="continuous"/>
        </w:sectPr>
      </w:pPr>
    </w:p>
    <w:p>
      <w:pPr>
        <w:jc w:val="both"/>
        <w:ind w:right="800"/>
        <w:spacing w:after="0" w:line="259"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BY THE UNDERSIGNED STOCKHOLDER. IF NO INSTRUCTIONS ARE GIVEN, THIS PROXY WILL BE VOTED FOR THOSE NOMINEES AND THE PROPOSALS LISTED BELOW. DISCRETIONARY VOTING IS HEREBY CONFERRED AS TO CERTAIN MATTERS DESCRIBED IN THE ACCOMPANYING PROXY STATEMENT. THE BOARD OF DIRECTORS RECOMMENDS A VOTE “FOR” EACH NOMINEE AND “FOR” PROPOSALS 2 AND 3.</w:t>
      </w:r>
    </w:p>
    <w:p>
      <w:pPr>
        <w:spacing w:after="0" w:line="183" w:lineRule="exact"/>
        <w:rPr>
          <w:sz w:val="20"/>
          <w:szCs w:val="20"/>
          <w:color w:val="auto"/>
        </w:rPr>
      </w:pPr>
    </w:p>
    <w:p>
      <w:pPr>
        <w:spacing w:after="0"/>
        <w:tabs>
          <w:tab w:leader="none" w:pos="5680" w:val="left"/>
          <w:tab w:leader="none" w:pos="9520" w:val="left"/>
          <w:tab w:leader="none" w:pos="9980" w:val="left"/>
          <w:tab w:leader="none" w:pos="10680" w:val="left"/>
        </w:tabs>
        <w:rPr>
          <w:sz w:val="20"/>
          <w:szCs w:val="20"/>
          <w:color w:val="auto"/>
        </w:rPr>
      </w:pPr>
      <w:r>
        <w:rPr>
          <w:rFonts w:ascii="Times New Roman" w:cs="Times New Roman" w:eastAsia="Times New Roman" w:hAnsi="Times New Roman"/>
          <w:sz w:val="13"/>
          <w:szCs w:val="13"/>
          <w:color w:val="auto"/>
        </w:rPr>
        <w:t>1.Approval of the election of the following</w:t>
      </w:r>
      <w:r>
        <w:rPr>
          <w:sz w:val="20"/>
          <w:szCs w:val="20"/>
          <w:color w:val="auto"/>
        </w:rPr>
        <w:tab/>
      </w:r>
      <w:r>
        <w:rPr>
          <w:rFonts w:ascii="Times New Roman" w:cs="Times New Roman" w:eastAsia="Times New Roman" w:hAnsi="Times New Roman"/>
          <w:sz w:val="13"/>
          <w:szCs w:val="13"/>
          <w:color w:val="auto"/>
        </w:rPr>
        <w:t>2. Approval, by non-binding advisory vote, of the resolution approving</w:t>
      </w:r>
      <w:r>
        <w:rPr>
          <w:sz w:val="20"/>
          <w:szCs w:val="20"/>
          <w:color w:val="auto"/>
        </w:rPr>
        <w:tab/>
      </w:r>
      <w:r>
        <w:rPr>
          <w:rFonts w:ascii="Times New Roman" w:cs="Times New Roman" w:eastAsia="Times New Roman" w:hAnsi="Times New Roman"/>
          <w:sz w:val="13"/>
          <w:szCs w:val="13"/>
          <w:color w:val="auto"/>
        </w:rPr>
        <w:t>FOR</w:t>
      </w:r>
      <w:r>
        <w:rPr>
          <w:sz w:val="20"/>
          <w:szCs w:val="20"/>
          <w:color w:val="auto"/>
        </w:rPr>
        <w:tab/>
      </w:r>
      <w:r>
        <w:rPr>
          <w:rFonts w:ascii="Times New Roman" w:cs="Times New Roman" w:eastAsia="Times New Roman" w:hAnsi="Times New Roman"/>
          <w:sz w:val="13"/>
          <w:szCs w:val="13"/>
          <w:color w:val="auto"/>
        </w:rPr>
        <w:t>AGAINST</w:t>
      </w:r>
      <w:r>
        <w:rPr>
          <w:sz w:val="20"/>
          <w:szCs w:val="20"/>
          <w:color w:val="auto"/>
        </w:rPr>
        <w:tab/>
      </w:r>
      <w:r>
        <w:rPr>
          <w:rFonts w:ascii="Times New Roman" w:cs="Times New Roman" w:eastAsia="Times New Roman" w:hAnsi="Times New Roman"/>
          <w:sz w:val="12"/>
          <w:szCs w:val="12"/>
          <w:color w:val="auto"/>
        </w:rPr>
        <w:t>ABSTAIN</w:t>
      </w:r>
    </w:p>
    <w:p>
      <w:pPr>
        <w:ind w:left="100"/>
        <w:spacing w:after="0" w:line="135" w:lineRule="exact"/>
        <w:tabs>
          <w:tab w:leader="none" w:pos="5780" w:val="left"/>
          <w:tab w:leader="none" w:pos="9580" w:val="left"/>
          <w:tab w:leader="none" w:pos="10200" w:val="left"/>
          <w:tab w:leader="none" w:pos="10880" w:val="left"/>
        </w:tabs>
        <w:rPr>
          <w:sz w:val="20"/>
          <w:szCs w:val="20"/>
          <w:color w:val="auto"/>
        </w:rPr>
      </w:pPr>
      <w:r>
        <w:rPr>
          <w:rFonts w:ascii="Times New Roman" w:cs="Times New Roman" w:eastAsia="Times New Roman" w:hAnsi="Times New Roman"/>
          <w:sz w:val="13"/>
          <w:szCs w:val="13"/>
          <w:color w:val="auto"/>
        </w:rPr>
        <w:t>individuals as directors of the Company, to</w:t>
      </w:r>
      <w:r>
        <w:rPr>
          <w:sz w:val="20"/>
          <w:szCs w:val="20"/>
          <w:color w:val="auto"/>
        </w:rPr>
        <w:tab/>
      </w:r>
      <w:r>
        <w:rPr>
          <w:rFonts w:ascii="Times New Roman" w:cs="Times New Roman" w:eastAsia="Times New Roman" w:hAnsi="Times New Roman"/>
          <w:sz w:val="13"/>
          <w:szCs w:val="13"/>
          <w:color w:val="auto"/>
        </w:rPr>
        <w:t>the Company’s Named Executive Officer compensation, as provided</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ind w:left="100"/>
        <w:spacing w:after="0" w:line="235" w:lineRule="auto"/>
        <w:tabs>
          <w:tab w:leader="none" w:pos="5780" w:val="left"/>
        </w:tabs>
        <w:rPr>
          <w:sz w:val="20"/>
          <w:szCs w:val="20"/>
          <w:color w:val="auto"/>
        </w:rPr>
      </w:pPr>
      <w:r>
        <w:rPr>
          <w:rFonts w:ascii="Times New Roman" w:cs="Times New Roman" w:eastAsia="Times New Roman" w:hAnsi="Times New Roman"/>
          <w:sz w:val="13"/>
          <w:szCs w:val="13"/>
          <w:color w:val="auto"/>
        </w:rPr>
        <w:t>serve  until  the  next  annual  meeting  of</w:t>
      </w:r>
      <w:r>
        <w:rPr>
          <w:sz w:val="20"/>
          <w:szCs w:val="20"/>
          <w:color w:val="auto"/>
        </w:rPr>
        <w:tab/>
      </w:r>
      <w:r>
        <w:rPr>
          <w:rFonts w:ascii="Times New Roman" w:cs="Times New Roman" w:eastAsia="Times New Roman" w:hAnsi="Times New Roman"/>
          <w:sz w:val="12"/>
          <w:szCs w:val="12"/>
          <w:color w:val="auto"/>
        </w:rPr>
        <w:t>in Proposal Number 2 of the Proxy Statement.</w:t>
      </w:r>
    </w:p>
    <w:tbl>
      <w:tblPr>
        <w:tblLayout w:type="fixed"/>
        <w:tblInd w:w="100" w:type="dxa"/>
        <w:tblCellMar>
          <w:top w:w="0" w:type="dxa"/>
          <w:left w:w="0" w:type="dxa"/>
          <w:bottom w:w="0" w:type="dxa"/>
          <w:right w:w="0" w:type="dxa"/>
        </w:tblCellMar>
      </w:tblPr>
      <w:tr>
        <w:trPr>
          <w:trHeight w:val="164"/>
        </w:trPr>
        <w:tc>
          <w:tcPr>
            <w:tcW w:w="1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stockholders.</w:t>
            </w:r>
          </w:p>
        </w:tc>
        <w:tc>
          <w:tcPr>
            <w:tcW w:w="15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18"/>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92"/>
              </w:rPr>
              <w:t>(1)</w:t>
            </w:r>
          </w:p>
        </w:tc>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Dr. Peter Farrell</w:t>
            </w:r>
          </w:p>
        </w:tc>
        <w:tc>
          <w:tcPr>
            <w:tcW w:w="1580" w:type="dxa"/>
            <w:vAlign w:val="bottom"/>
          </w:tcPr>
          <w:p>
            <w:pPr>
              <w:jc w:val="center"/>
              <w:ind w:left="397"/>
              <w:spacing w:after="0"/>
              <w:rPr>
                <w:sz w:val="20"/>
                <w:szCs w:val="20"/>
                <w:color w:val="auto"/>
              </w:rPr>
            </w:pPr>
            <w:r>
              <w:rPr>
                <w:rFonts w:ascii="Times New Roman" w:cs="Times New Roman" w:eastAsia="Times New Roman" w:hAnsi="Times New Roman"/>
                <w:sz w:val="13"/>
                <w:szCs w:val="13"/>
                <w:b w:val="1"/>
                <w:bCs w:val="1"/>
                <w:color w:val="auto"/>
                <w:w w:val="95"/>
              </w:rPr>
              <w:t xml:space="preserve">FOR all </w:t>
            </w:r>
            <w:r>
              <w:rPr>
                <w:rFonts w:ascii="Times New Roman" w:cs="Times New Roman" w:eastAsia="Times New Roman" w:hAnsi="Times New Roman"/>
                <w:sz w:val="13"/>
                <w:szCs w:val="13"/>
                <w:color w:val="auto"/>
                <w:w w:val="95"/>
              </w:rPr>
              <w:t>Nominees</w:t>
            </w:r>
          </w:p>
        </w:tc>
        <w:tc>
          <w:tcPr>
            <w:tcW w:w="19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7"/>
              </w:rPr>
              <w:t>WITHHOLD AUTHORITY</w:t>
            </w:r>
          </w:p>
        </w:tc>
        <w:tc>
          <w:tcPr>
            <w:tcW w:w="3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 Ratification of the appointment of Deloitte &amp; Touche LLP as the</w:t>
            </w:r>
          </w:p>
        </w:tc>
        <w:tc>
          <w:tcPr>
            <w:tcW w:w="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FOR</w:t>
            </w:r>
          </w:p>
        </w:tc>
        <w:tc>
          <w:tcPr>
            <w:tcW w:w="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AGAINST</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2"/>
              </w:rPr>
              <w:t>ABSTAIN</w:t>
            </w:r>
          </w:p>
        </w:tc>
      </w:tr>
      <w:tr>
        <w:trPr>
          <w:trHeight w:val="149"/>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92"/>
              </w:rPr>
              <w:t>(2)</w:t>
            </w:r>
          </w:p>
        </w:tc>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Joseph E. Payne</w:t>
            </w:r>
          </w:p>
        </w:tc>
        <w:tc>
          <w:tcPr>
            <w:tcW w:w="1580" w:type="dxa"/>
            <w:vAlign w:val="bottom"/>
          </w:tcPr>
          <w:p>
            <w:pPr>
              <w:jc w:val="center"/>
              <w:ind w:left="397"/>
              <w:spacing w:after="0"/>
              <w:rPr>
                <w:sz w:val="20"/>
                <w:szCs w:val="20"/>
                <w:color w:val="auto"/>
              </w:rPr>
            </w:pPr>
            <w:r>
              <w:rPr>
                <w:rFonts w:ascii="Times New Roman" w:cs="Times New Roman" w:eastAsia="Times New Roman" w:hAnsi="Times New Roman"/>
                <w:sz w:val="13"/>
                <w:szCs w:val="13"/>
                <w:color w:val="auto"/>
                <w:w w:val="98"/>
              </w:rPr>
              <w:t>listed to the</w:t>
            </w:r>
          </w:p>
        </w:tc>
        <w:tc>
          <w:tcPr>
            <w:tcW w:w="190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auto"/>
                <w:w w:val="96"/>
              </w:rPr>
              <w:t>to vote (except as marked to the</w:t>
            </w:r>
          </w:p>
        </w:tc>
        <w:tc>
          <w:tcPr>
            <w:tcW w:w="3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Company’s independent registered public accounting firm for the</w:t>
            </w:r>
          </w:p>
        </w:tc>
        <w:tc>
          <w:tcPr>
            <w:tcW w:w="4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74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60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r>
      <w:tr>
        <w:trPr>
          <w:trHeight w:val="121"/>
        </w:trPr>
        <w:tc>
          <w:tcPr>
            <w:tcW w:w="1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w w:val="92"/>
              </w:rPr>
              <w:t>(3)</w:t>
            </w:r>
          </w:p>
        </w:tc>
        <w:tc>
          <w:tcPr>
            <w:tcW w:w="17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James Barlow</w:t>
            </w:r>
          </w:p>
        </w:tc>
        <w:tc>
          <w:tcPr>
            <w:tcW w:w="1580" w:type="dxa"/>
            <w:vAlign w:val="bottom"/>
          </w:tcPr>
          <w:p>
            <w:pPr>
              <w:jc w:val="center"/>
              <w:ind w:left="397"/>
              <w:spacing w:after="0" w:line="122" w:lineRule="exact"/>
              <w:rPr>
                <w:sz w:val="20"/>
                <w:szCs w:val="20"/>
                <w:color w:val="auto"/>
              </w:rPr>
            </w:pPr>
            <w:r>
              <w:rPr>
                <w:rFonts w:ascii="Times New Roman" w:cs="Times New Roman" w:eastAsia="Times New Roman" w:hAnsi="Times New Roman"/>
                <w:sz w:val="13"/>
                <w:szCs w:val="13"/>
                <w:color w:val="auto"/>
                <w:w w:val="92"/>
              </w:rPr>
              <w:t>left</w:t>
            </w:r>
          </w:p>
        </w:tc>
        <w:tc>
          <w:tcPr>
            <w:tcW w:w="1900" w:type="dxa"/>
            <w:vAlign w:val="bottom"/>
          </w:tcPr>
          <w:p>
            <w:pPr>
              <w:jc w:val="center"/>
              <w:ind w:right="117"/>
              <w:spacing w:after="0" w:line="122" w:lineRule="exact"/>
              <w:rPr>
                <w:sz w:val="20"/>
                <w:szCs w:val="20"/>
                <w:color w:val="auto"/>
              </w:rPr>
            </w:pPr>
            <w:r>
              <w:rPr>
                <w:rFonts w:ascii="Times New Roman" w:cs="Times New Roman" w:eastAsia="Times New Roman" w:hAnsi="Times New Roman"/>
                <w:sz w:val="13"/>
                <w:szCs w:val="13"/>
                <w:color w:val="auto"/>
                <w:w w:val="95"/>
              </w:rPr>
              <w:t>contrary for all nominees listed</w:t>
            </w:r>
          </w:p>
        </w:tc>
        <w:tc>
          <w:tcPr>
            <w:tcW w:w="3980" w:type="dxa"/>
            <w:vAlign w:val="bottom"/>
          </w:tcPr>
          <w:p>
            <w:pPr>
              <w:jc w:val="right"/>
              <w:ind w:right="1637"/>
              <w:spacing w:after="0" w:line="122" w:lineRule="exact"/>
              <w:rPr>
                <w:sz w:val="20"/>
                <w:szCs w:val="20"/>
                <w:color w:val="auto"/>
              </w:rPr>
            </w:pPr>
            <w:r>
              <w:rPr>
                <w:rFonts w:ascii="Times New Roman" w:cs="Times New Roman" w:eastAsia="Times New Roman" w:hAnsi="Times New Roman"/>
                <w:sz w:val="13"/>
                <w:szCs w:val="13"/>
                <w:color w:val="auto"/>
              </w:rPr>
              <w:t>fiscal year ending December 31, 2026.</w:t>
            </w: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48"/>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92"/>
              </w:rPr>
              <w:t>(4)</w:t>
            </w:r>
          </w:p>
        </w:tc>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Dr. Edward W. Holmes</w:t>
            </w:r>
          </w:p>
        </w:tc>
        <w:tc>
          <w:tcPr>
            <w:tcW w:w="1580" w:type="dxa"/>
            <w:vAlign w:val="bottom"/>
          </w:tcPr>
          <w:p>
            <w:pPr>
              <w:jc w:val="center"/>
              <w:ind w:left="397"/>
              <w:spacing w:after="0" w:line="131" w:lineRule="exact"/>
              <w:rPr>
                <w:sz w:val="20"/>
                <w:szCs w:val="20"/>
                <w:color w:val="auto"/>
              </w:rPr>
            </w:pPr>
            <w:r>
              <w:rPr>
                <w:rFonts w:ascii="MS PGothic" w:cs="MS PGothic" w:eastAsia="MS PGothic" w:hAnsi="MS PGothic"/>
                <w:sz w:val="13"/>
                <w:szCs w:val="13"/>
                <w:color w:val="auto"/>
                <w:w w:val="91"/>
              </w:rPr>
              <w:t>☐</w:t>
            </w:r>
          </w:p>
        </w:tc>
        <w:tc>
          <w:tcPr>
            <w:tcW w:w="190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auto"/>
                <w:w w:val="95"/>
              </w:rPr>
              <w:t>to the left)</w:t>
            </w:r>
          </w:p>
        </w:tc>
        <w:tc>
          <w:tcPr>
            <w:tcW w:w="3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4"/>
        </w:trPr>
        <w:tc>
          <w:tcPr>
            <w:tcW w:w="1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w w:val="92"/>
              </w:rPr>
              <w:t>(5)</w:t>
            </w:r>
          </w:p>
        </w:tc>
        <w:tc>
          <w:tcPr>
            <w:tcW w:w="17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Dr. Magda Marquet</w:t>
            </w:r>
          </w:p>
        </w:tc>
        <w:tc>
          <w:tcPr>
            <w:tcW w:w="1580" w:type="dxa"/>
            <w:vAlign w:val="bottom"/>
          </w:tcPr>
          <w:p>
            <w:pPr>
              <w:spacing w:after="0"/>
              <w:rPr>
                <w:sz w:val="12"/>
                <w:szCs w:val="12"/>
                <w:color w:val="auto"/>
              </w:rPr>
            </w:pPr>
          </w:p>
        </w:tc>
        <w:tc>
          <w:tcPr>
            <w:tcW w:w="1900" w:type="dxa"/>
            <w:vAlign w:val="bottom"/>
          </w:tcPr>
          <w:p>
            <w:pPr>
              <w:jc w:val="center"/>
              <w:ind w:right="137"/>
              <w:spacing w:after="0" w:line="131" w:lineRule="exact"/>
              <w:rPr>
                <w:sz w:val="20"/>
                <w:szCs w:val="20"/>
                <w:color w:val="auto"/>
              </w:rPr>
            </w:pPr>
            <w:r>
              <w:rPr>
                <w:rFonts w:ascii="MS PGothic" w:cs="MS PGothic" w:eastAsia="MS PGothic" w:hAnsi="MS PGothic"/>
                <w:sz w:val="13"/>
                <w:szCs w:val="13"/>
                <w:color w:val="auto"/>
                <w:w w:val="76"/>
              </w:rPr>
              <w:t>☐</w:t>
            </w:r>
          </w:p>
        </w:tc>
        <w:tc>
          <w:tcPr>
            <w:tcW w:w="3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r>
    </w:tbl>
    <w:p>
      <w:pPr>
        <w:ind w:left="280" w:hanging="178"/>
        <w:spacing w:after="0" w:line="216" w:lineRule="auto"/>
        <w:tabs>
          <w:tab w:leader="none" w:pos="2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Jing L. Marantz</w:t>
      </w:r>
    </w:p>
    <w:p>
      <w:pPr>
        <w:ind w:left="280" w:hanging="178"/>
        <w:spacing w:after="0" w:line="216" w:lineRule="auto"/>
        <w:tabs>
          <w:tab w:leader="none" w:pos="2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John Markels</w:t>
      </w:r>
    </w:p>
    <w:p>
      <w:pPr>
        <w:ind w:left="280" w:hanging="178"/>
        <w:spacing w:after="0"/>
        <w:tabs>
          <w:tab w:leader="none" w:pos="2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Moncef Slaoui</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(Instruction: To withhold authority to vote for any individual nominee, strike a line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through that nominee’s name in the list above)</w:t>
      </w:r>
    </w:p>
    <w:p>
      <w:pPr>
        <w:spacing w:after="0" w:line="188"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19685</wp:posOffset>
            </wp:positionV>
            <wp:extent cx="3463290" cy="291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6329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3300" w:val="left"/>
          <w:tab w:leader="none" w:pos="7620" w:val="left"/>
          <w:tab w:leader="none" w:pos="9360" w:val="left"/>
        </w:tabs>
        <w:rPr>
          <w:sz w:val="20"/>
          <w:szCs w:val="20"/>
          <w:color w:val="auto"/>
        </w:rPr>
      </w:pPr>
      <w:r>
        <w:rPr>
          <w:rFonts w:ascii="Times New Roman" w:cs="Times New Roman" w:eastAsia="Times New Roman" w:hAnsi="Times New Roman"/>
          <w:sz w:val="16"/>
          <w:szCs w:val="16"/>
          <w:b w:val="1"/>
          <w:bCs w:val="1"/>
          <w:color w:val="auto"/>
        </w:rPr>
        <w:t>Signature</w:t>
      </w:r>
      <w:r>
        <w:rPr>
          <w:sz w:val="20"/>
          <w:szCs w:val="20"/>
          <w:color w:val="auto"/>
        </w:rPr>
        <w:tab/>
      </w:r>
      <w:r>
        <w:rPr>
          <w:rFonts w:ascii="Times New Roman" w:cs="Times New Roman" w:eastAsia="Times New Roman" w:hAnsi="Times New Roman"/>
          <w:sz w:val="16"/>
          <w:szCs w:val="16"/>
          <w:b w:val="1"/>
          <w:bCs w:val="1"/>
          <w:color w:val="auto"/>
        </w:rPr>
        <w:t>Signature, if held jointly</w:t>
      </w:r>
      <w:r>
        <w:rPr>
          <w:sz w:val="20"/>
          <w:szCs w:val="20"/>
          <w:color w:val="auto"/>
        </w:rPr>
        <w:tab/>
      </w:r>
      <w:r>
        <w:rPr>
          <w:rFonts w:ascii="Times New Roman" w:cs="Times New Roman" w:eastAsia="Times New Roman" w:hAnsi="Times New Roman"/>
          <w:sz w:val="16"/>
          <w:szCs w:val="16"/>
          <w:b w:val="1"/>
          <w:bCs w:val="1"/>
          <w:color w:val="auto"/>
        </w:rPr>
        <w:t>Date</w:t>
      </w:r>
      <w:r>
        <w:rPr>
          <w:sz w:val="20"/>
          <w:szCs w:val="20"/>
          <w:color w:val="auto"/>
        </w:rPr>
        <w:tab/>
      </w:r>
      <w:r>
        <w:rPr>
          <w:rFonts w:ascii="Times New Roman" w:cs="Times New Roman" w:eastAsia="Times New Roman" w:hAnsi="Times New Roman"/>
          <w:sz w:val="16"/>
          <w:szCs w:val="16"/>
          <w:b w:val="1"/>
          <w:bCs w:val="1"/>
          <w:color w:val="auto"/>
        </w:rPr>
        <w:t xml:space="preserve">Date </w:t>
      </w:r>
      <w:r>
        <w:rPr>
          <w:rFonts w:ascii="Times New Roman" w:cs="Times New Roman" w:eastAsia="Times New Roman" w:hAnsi="Times New Roman"/>
          <w:sz w:val="16"/>
          <w:szCs w:val="16"/>
          <w:color w:val="auto"/>
        </w:rPr>
        <w:t>_____________,</w:t>
      </w:r>
      <w:r>
        <w:rPr>
          <w:rFonts w:ascii="Times New Roman" w:cs="Times New Roman" w:eastAsia="Times New Roman" w:hAnsi="Times New Roman"/>
          <w:sz w:val="16"/>
          <w:szCs w:val="16"/>
          <w:b w:val="1"/>
          <w:bCs w:val="1"/>
          <w:color w:val="auto"/>
        </w:rPr>
        <w:t xml:space="preserve"> 2026.</w:t>
      </w:r>
    </w:p>
    <w:p>
      <w:pPr>
        <w:spacing w:after="0" w:line="2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Note: Please sign exactly as your name appears on this Proxy. When shares are held jointly, each holder should sign. When signing as an executor, administrator, trustee, or guardian, please give the full title as such. If the signer is a corporation, please sign the full corporate name by a duly authorized officer, giving full title as such. If the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-292735</wp:posOffset>
            </wp:positionV>
            <wp:extent cx="5469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69255" cy="8890"/>
                    </a:xfrm>
                    <a:prstGeom prst="rect">
                      <a:avLst/>
                    </a:prstGeom>
                    <a:noFill/>
                  </pic:spPr>
                </pic:pic>
              </a:graphicData>
            </a:graphic>
          </wp:anchor>
        </w:drawing>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205565 Arcturus Therapeutics Proxy Card Back</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200" w:lineRule="exact"/>
        <w:rPr>
          <w:sz w:val="20"/>
          <w:szCs w:val="20"/>
          <w:color w:val="auto"/>
        </w:rPr>
      </w:pPr>
    </w:p>
    <w:p>
      <w:pPr>
        <w:spacing w:after="0" w:line="232" w:lineRule="exact"/>
        <w:rPr>
          <w:sz w:val="20"/>
          <w:szCs w:val="20"/>
          <w:color w:val="auto"/>
        </w:rPr>
      </w:pPr>
    </w:p>
    <w:p>
      <w:pPr>
        <w:jc w:val="center"/>
        <w:ind w:left="340" w:right="2740"/>
        <w:spacing w:after="0" w:line="246" w:lineRule="auto"/>
        <w:rPr>
          <w:sz w:val="20"/>
          <w:szCs w:val="20"/>
          <w:color w:val="auto"/>
        </w:rPr>
      </w:pPr>
      <w:r>
        <w:rPr>
          <w:rFonts w:ascii="Times New Roman" w:cs="Times New Roman" w:eastAsia="Times New Roman" w:hAnsi="Times New Roman"/>
          <w:sz w:val="22"/>
          <w:szCs w:val="22"/>
          <w:b w:val="1"/>
          <w:bCs w:val="1"/>
          <w:color w:val="auto"/>
        </w:rPr>
        <w:t>Important Notice Regarding the Internet Availability of Proxy Materials for the Annual Meeting of Stockholders to be held Friday, June 5, 2026</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view the 2026 Proxy Statement and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2025 Annual Report please go to:</w:t>
      </w:r>
    </w:p>
    <w:p>
      <w:pPr>
        <w:jc w:val="center"/>
        <w:spacing w:after="0"/>
        <w:rPr>
          <w:sz w:val="20"/>
          <w:szCs w:val="20"/>
          <w:color w:val="auto"/>
        </w:rPr>
      </w:pPr>
      <w:r>
        <w:rPr>
          <w:rFonts w:ascii="Times New Roman" w:cs="Times New Roman" w:eastAsia="Times New Roman" w:hAnsi="Times New Roman"/>
          <w:sz w:val="22"/>
          <w:szCs w:val="22"/>
          <w:b w:val="1"/>
          <w:bCs w:val="1"/>
          <w:color w:val="auto"/>
        </w:rPr>
        <w:t>https://www.cstproxy.com/arcturusrx/2026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FOLD HERE • DO NOT SEPARATE • INSERT IN ENVELOPE PROVIDED</w:t>
      </w:r>
      <w:r>
        <w:rPr>
          <w:rFonts w:ascii="Times New Roman" w:cs="Times New Roman" w:eastAsia="Times New Roman" w:hAnsi="Times New Roman"/>
          <w:sz w:val="18"/>
          <w:szCs w:val="18"/>
          <w:color w:val="auto"/>
        </w:rPr>
        <w:t xml:space="preserve"> ▲</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PROXY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FOR ANNUAL MEETING OF STOCKHOLDERS TO BE HELD JUNE 6,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ARCTURUS THERAPEUTICS HOLDINGS INC.</w:t>
      </w:r>
    </w:p>
    <w:p>
      <w:pPr>
        <w:spacing w:after="0" w:line="2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appoints Joseph E. Payne and Lance Kurata, and each of them, agents and proxies of the undersigned, with full power of substitution to each of them, to represent and to vote on behalf of the undersigned all the Common Stock of Arcturus Therapeutics Holdings Inc. (the “Company”) which the undersigned is entitled to vote at the Annual Meeting of Stockholders (the “Meeting”) to be held at 9:00 a.m. (Pacific Time) on Friday, June 5, 2026, and at any adjournments or postponements thereof, upon the following matters on the reverse side, which are more fully described in the Proxy Statement relating to the Meeting.</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 and to be marked, dated and signed, on the other side)</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lvl>
    <w:lvl w:ilvl="1">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2"/>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2"/>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decimal"/>
      <w:start w:val="1"/>
    </w:lvl>
    <w:lvl w:ilvl="1">
      <w:lvlJc w:val="left"/>
      <w:lvlText w:val="(%2)"/>
      <w:numFmt w:val="decimal"/>
      <w:start w:val="1"/>
    </w:lvl>
  </w:abstractNum>
  <w:abstractNum w:abstractNumId="34">
    <w:nsid w:val="2A487CB0"/>
    <w:multiLevelType w:val="hybridMultilevel"/>
    <w:lvl w:ilvl="0">
      <w:lvlJc w:val="left"/>
      <w:lvlText w:val="(%1)"/>
      <w:numFmt w:val="decimal"/>
      <w:start w:val="2"/>
    </w:lvl>
    <w:lvl w:ilvl="1">
      <w:lvlJc w:val="left"/>
      <w:lvlText w:val="%2"/>
      <w:numFmt w:val="decimal"/>
      <w:start w:val="1"/>
    </w:lvl>
  </w:abstractNum>
  <w:abstractNum w:abstractNumId="35">
    <w:nsid w:val="1D4ED43B"/>
    <w:multiLevelType w:val="hybridMultilevel"/>
    <w:lvl w:ilvl="0">
      <w:lvlJc w:val="left"/>
      <w:lvlText w:val="%1"/>
      <w:numFmt w:val="decimal"/>
      <w:start w:val="1"/>
    </w:lvl>
    <w:lvl w:ilvl="1">
      <w:lvlJc w:val="left"/>
      <w:lvlText w:val="(%2)"/>
      <w:numFmt w:val="decimal"/>
      <w:start w:val="1"/>
    </w:lvl>
  </w:abstractNum>
  <w:abstractNum w:abstractNumId="36">
    <w:nsid w:val="725A06FB"/>
    <w:multiLevelType w:val="hybridMultilevel"/>
    <w:lvl w:ilvl="0">
      <w:lvlJc w:val="left"/>
      <w:lvlText w:val="(%1)"/>
      <w:numFmt w:val="decimal"/>
      <w:start w:val="2"/>
    </w:lvl>
    <w:lvl w:ilvl="1">
      <w:lvlJc w:val="left"/>
      <w:lvlText w:val="%2"/>
      <w:numFmt w:val="decimal"/>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4"/>
    </w:lvl>
  </w:abstractNum>
  <w:abstractNum w:abstractNumId="42">
    <w:nsid w:val="6DE91B18"/>
    <w:multiLevelType w:val="hybridMultilevel"/>
    <w:lvl w:ilvl="0">
      <w:lvlJc w:val="left"/>
      <w:lvlText w:val="(%1)"/>
      <w:numFmt w:val="decimal"/>
      <w:start w:val="5"/>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2026-04-24T15:32:16Z</dcterms:created>
  <dcterms:modified xsi:type="dcterms:W3CDTF">2026-04-24T15:32:16Z</dcterms:modified>
</cp:coreProperties>
</file>