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840" w:type="dxa"/>
            <w:vAlign w:val="bottom"/>
            <w:gridSpan w:val="2"/>
            <w:vMerge w:val="restart"/>
          </w:tcPr>
          <w:p>
            <w:pPr>
              <w:spacing w:after="0" w:line="250"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Kummerfeld Keith C</w:t>
              </w:r>
            </w:hyperlink>
          </w:p>
        </w:tc>
        <w:tc>
          <w:tcPr>
            <w:tcW w:w="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Arcturus Therapeutics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ARCT</w:t>
            </w:r>
          </w:p>
        </w:tc>
        <w:tc>
          <w:tcPr>
            <w:tcW w:w="22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20" w:type="dxa"/>
            <w:vAlign w:val="bottom"/>
            <w:gridSpan w:val="2"/>
            <w:vMerge w:val="continue"/>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840" w:type="dxa"/>
            <w:vAlign w:val="bottom"/>
            <w:tcBorders>
              <w:bottom w:val="single" w:sz="8" w:color="0000EE"/>
            </w:tcBorders>
            <w:gridSpan w:val="2"/>
            <w:vMerge w:val="continue"/>
          </w:tcPr>
          <w:p>
            <w:pPr>
              <w:spacing w:after="0"/>
              <w:rPr>
                <w:sz w:val="5"/>
                <w:szCs w:val="5"/>
                <w:color w:val="auto"/>
              </w:rPr>
            </w:pPr>
          </w:p>
        </w:tc>
        <w:tc>
          <w:tcPr>
            <w:tcW w:w="360" w:type="dxa"/>
            <w:vAlign w:val="bottom"/>
            <w:vMerge w:val="restart"/>
          </w:tcPr>
          <w:p>
            <w:pPr>
              <w:spacing w:after="0"/>
              <w:rPr>
                <w:sz w:val="5"/>
                <w:szCs w:val="5"/>
                <w:color w:val="auto"/>
              </w:rPr>
            </w:pPr>
          </w:p>
        </w:tc>
        <w:tc>
          <w:tcPr>
            <w:tcW w:w="1600" w:type="dxa"/>
            <w:vAlign w:val="bottom"/>
          </w:tcPr>
          <w:p>
            <w:pPr>
              <w:spacing w:after="0"/>
              <w:rPr>
                <w:sz w:val="5"/>
                <w:szCs w:val="5"/>
                <w:color w:val="auto"/>
              </w:rPr>
            </w:pPr>
          </w:p>
        </w:tc>
        <w:tc>
          <w:tcPr>
            <w:tcW w:w="3300" w:type="dxa"/>
            <w:vAlign w:val="bottom"/>
            <w:gridSpan w:val="3"/>
            <w:vMerge w:val="restart"/>
          </w:tcPr>
          <w:p>
            <w:pPr>
              <w:ind w:left="160"/>
              <w:spacing w:after="0" w:line="250" w:lineRule="exact"/>
              <w:rPr>
                <w:sz w:val="20"/>
                <w:szCs w:val="20"/>
                <w:color w:val="auto"/>
              </w:rPr>
            </w:pPr>
            <w:r>
              <w:rPr>
                <w:rFonts w:ascii="Arial" w:cs="Arial" w:eastAsia="Arial" w:hAnsi="Arial"/>
                <w:sz w:val="22"/>
                <w:szCs w:val="22"/>
                <w:color w:val="auto"/>
              </w:rPr>
              <w:t>]</w:t>
            </w: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36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3300" w:type="dxa"/>
            <w:vAlign w:val="bottom"/>
            <w:gridSpan w:val="3"/>
            <w:vMerge w:val="continue"/>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330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7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7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82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380" w:type="dxa"/>
            <w:vAlign w:val="bottom"/>
            <w:gridSpan w:val="2"/>
            <w:vMerge w:val="restart"/>
          </w:tcPr>
          <w:p>
            <w:pPr>
              <w:ind w:left="460"/>
              <w:spacing w:after="0" w:line="104" w:lineRule="exact"/>
              <w:rPr>
                <w:sz w:val="20"/>
                <w:szCs w:val="20"/>
                <w:color w:val="auto"/>
              </w:rPr>
            </w:pPr>
            <w:r>
              <w:rPr>
                <w:rFonts w:ascii="Arial" w:cs="Arial" w:eastAsia="Arial" w:hAnsi="Arial"/>
                <w:sz w:val="12"/>
                <w:szCs w:val="12"/>
                <w:color w:val="auto"/>
              </w:rPr>
              <w:t>(First)</w:t>
            </w:r>
          </w:p>
        </w:tc>
        <w:tc>
          <w:tcPr>
            <w:tcW w:w="1600" w:type="dxa"/>
            <w:vAlign w:val="bottom"/>
            <w:vMerge w:val="restart"/>
          </w:tcPr>
          <w:p>
            <w:pPr>
              <w:ind w:left="34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w w:val="99"/>
              </w:rPr>
              <w:t>C/O ARCTURUS THERAPEUTICS HOLDINGS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3300" w:type="dxa"/>
            <w:vAlign w:val="bottom"/>
            <w:gridSpan w:val="3"/>
            <w:vMerge w:val="restart"/>
          </w:tcPr>
          <w:p>
            <w:pPr>
              <w:ind w:left="160"/>
              <w:spacing w:after="0"/>
              <w:rPr>
                <w:sz w:val="20"/>
                <w:szCs w:val="20"/>
                <w:color w:val="auto"/>
              </w:rPr>
            </w:pPr>
            <w:r>
              <w:rPr>
                <w:rFonts w:ascii="Arial" w:cs="Arial" w:eastAsia="Arial" w:hAnsi="Arial"/>
                <w:sz w:val="18"/>
                <w:szCs w:val="18"/>
                <w:color w:val="0000FF"/>
              </w:rPr>
              <w:t>09/12/2019</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820" w:type="dxa"/>
            <w:vAlign w:val="bottom"/>
            <w:vMerge w:val="restart"/>
          </w:tcPr>
          <w:p>
            <w:pPr>
              <w:spacing w:after="0"/>
              <w:rPr>
                <w:sz w:val="20"/>
                <w:szCs w:val="20"/>
                <w:color w:val="auto"/>
              </w:rPr>
            </w:pPr>
            <w:r>
              <w:rPr>
                <w:rFonts w:ascii="Arial" w:cs="Arial" w:eastAsia="Arial" w:hAnsi="Arial"/>
                <w:sz w:val="18"/>
                <w:szCs w:val="18"/>
                <w:color w:val="0000FF"/>
              </w:rPr>
              <w:t>INC.</w:t>
            </w: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3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10628 SCIENCE CENTER DRIVE, SUITE 250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1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38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type w:val="continuous"/>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SAN DIEGO</w:t>
            </w:r>
          </w:p>
        </w:tc>
        <w:tc>
          <w:tcPr>
            <w:tcW w:w="1000" w:type="dxa"/>
            <w:vAlign w:val="bottom"/>
          </w:tcPr>
          <w:p>
            <w:pPr>
              <w:ind w:left="1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92121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09/12/2019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Pr>
          <w:p>
            <w:pPr>
              <w:ind w:left="280"/>
              <w:spacing w:after="0"/>
              <w:rPr>
                <w:sz w:val="20"/>
                <w:szCs w:val="20"/>
                <w:color w:val="auto"/>
              </w:rPr>
            </w:pPr>
            <w:r>
              <w:rPr>
                <w:rFonts w:ascii="Arial" w:cs="Arial" w:eastAsia="Arial" w:hAnsi="Arial"/>
                <w:sz w:val="18"/>
                <w:szCs w:val="18"/>
                <w:color w:val="0000FF"/>
              </w:rPr>
              <w:t>500</w:t>
            </w:r>
          </w:p>
        </w:tc>
        <w:tc>
          <w:tcPr>
            <w:tcW w:w="500" w:type="dxa"/>
            <w:vAlign w:val="bottom"/>
          </w:tcPr>
          <w:p>
            <w:pPr>
              <w:ind w:left="28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10.6934</w:t>
            </w:r>
          </w:p>
        </w:tc>
        <w:tc>
          <w:tcPr>
            <w:tcW w:w="420" w:type="dxa"/>
            <w:vAlign w:val="bottom"/>
          </w:tcPr>
          <w:p>
            <w:pPr>
              <w:spacing w:after="0"/>
              <w:rPr>
                <w:sz w:val="23"/>
                <w:szCs w:val="23"/>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0000FF"/>
              </w:rPr>
              <w:t>500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900" w:type="dxa"/>
            <w:vAlign w:val="bottom"/>
            <w:tcBorders>
              <w:bottom w:val="single" w:sz="8" w:color="2C2C2C"/>
            </w:tcBorders>
            <w:gridSpan w:val="10"/>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Vice President of Finance and Corporate Controller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Jeffrey Baumel, attorney-in- </w:t>
      </w:r>
      <w:r>
        <w:rPr>
          <w:rFonts w:ascii="Arial" w:cs="Arial" w:eastAsia="Arial" w:hAnsi="Arial"/>
          <w:sz w:val="34"/>
          <w:szCs w:val="34"/>
          <w:color w:val="0000FF"/>
          <w:vertAlign w:val="subscript"/>
        </w:rPr>
        <w:t>09/12/2019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jc w:val="center"/>
        <w:ind w:right="1879"/>
        <w:spacing w:after="0"/>
        <w:rPr>
          <w:sz w:val="20"/>
          <w:szCs w:val="20"/>
          <w:color w:val="auto"/>
        </w:rPr>
      </w:pPr>
      <w:r>
        <w:rPr>
          <w:rFonts w:ascii="Courier New" w:cs="Courier New" w:eastAsia="Courier New" w:hAnsi="Courier New"/>
          <w:sz w:val="18"/>
          <w:szCs w:val="18"/>
          <w:color w:val="auto"/>
        </w:rPr>
        <w:t>IN RESPECT OF SECURITIES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Jeffrey Baumel and Ilan Katz as his or her true and lawful attorneys-in-fact and agents, each with full power of substitution and resubstitution for him or her in his or her name and stead in any and all capacities, to sign and file for and on his or her behalf, in respect of any acquisition, disposition or other change in ownership of any Common Stock or derivative securities thereof of Arcturus Therapeutics Holdings Inc. (the "Company"), the following:</w:t>
      </w:r>
    </w:p>
    <w:p>
      <w:pPr>
        <w:spacing w:after="0" w:line="211" w:lineRule="exact"/>
        <w:rPr>
          <w:sz w:val="20"/>
          <w:szCs w:val="20"/>
          <w:color w:val="auto"/>
        </w:rPr>
      </w:pPr>
    </w:p>
    <w:p>
      <w:pPr>
        <w:ind w:left="1060" w:right="1999" w:hanging="525"/>
        <w:spacing w:after="0" w:line="235" w:lineRule="auto"/>
        <w:tabs>
          <w:tab w:leader="none" w:pos="116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 "SEC");</w:t>
      </w:r>
    </w:p>
    <w:p>
      <w:pPr>
        <w:spacing w:after="0" w:line="208" w:lineRule="exact"/>
        <w:rPr>
          <w:rFonts w:ascii="Courier New" w:cs="Courier New" w:eastAsia="Courier New" w:hAnsi="Courier New"/>
          <w:sz w:val="18"/>
          <w:szCs w:val="18"/>
          <w:color w:val="auto"/>
        </w:rPr>
      </w:pPr>
    </w:p>
    <w:p>
      <w:pPr>
        <w:ind w:left="1160" w:right="1779" w:hanging="625"/>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160" w:right="2199" w:hanging="625"/>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 4 to be filed with the SEC;</w:t>
      </w:r>
    </w:p>
    <w:p>
      <w:pPr>
        <w:spacing w:after="0" w:line="208" w:lineRule="exact"/>
        <w:rPr>
          <w:rFonts w:ascii="Courier New" w:cs="Courier New" w:eastAsia="Courier New" w:hAnsi="Courier New"/>
          <w:sz w:val="18"/>
          <w:szCs w:val="18"/>
          <w:color w:val="auto"/>
        </w:rPr>
      </w:pPr>
    </w:p>
    <w:p>
      <w:pPr>
        <w:ind w:left="1160" w:right="1879" w:hanging="625"/>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160" w:right="2199" w:hanging="625"/>
        <w:spacing w:after="0" w:line="235"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160" w:right="1779" w:hanging="625"/>
        <w:spacing w:after="0" w:line="237"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160" w:right="1779" w:hanging="625"/>
        <w:spacing w:after="0" w:line="238" w:lineRule="auto"/>
        <w:tabs>
          <w:tab w:leader="none" w:pos="11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agreements, certificates, receipts, or other documents in connection therewith. 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 full power and authority to do and perform each and every act and thing requisite and necessary in connection with such matters and hereby ratifies and confirms all that any such attorney-in-fact and agent or substitute may do or cause to be done by virtue hereof. The undersigned acknowledges that:</w:t>
      </w:r>
    </w:p>
    <w:p>
      <w:pPr>
        <w:spacing w:after="0" w:line="208" w:lineRule="exact"/>
        <w:rPr>
          <w:rFonts w:ascii="Courier New" w:cs="Courier New" w:eastAsia="Courier New" w:hAnsi="Courier New"/>
          <w:sz w:val="18"/>
          <w:szCs w:val="18"/>
          <w:color w:val="auto"/>
        </w:rPr>
      </w:pPr>
    </w:p>
    <w:p>
      <w:pPr>
        <w:ind w:left="1580" w:right="1779" w:hanging="519"/>
        <w:spacing w:after="0" w:line="268" w:lineRule="auto"/>
        <w:tabs>
          <w:tab w:leader="none" w:pos="1580"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such attorney-in-fact assumes (i) any liability for the undersigned's responsibility to comply with the requirement of the Securities Exchange Act of 1934, as amended (the "Exchange Act"), (ii) any liability of the undersigned for any failure to comply with such requirements or</w:t>
      </w:r>
    </w:p>
    <w:p>
      <w:pPr>
        <w:ind w:left="1580" w:right="1999" w:firstLine="8"/>
        <w:spacing w:after="0" w:line="290" w:lineRule="auto"/>
        <w:tabs>
          <w:tab w:leader="none" w:pos="2212"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 or liability of the undersigned for profit disgorgement under Section 16(b) of the Exchange Act; and</w:t>
      </w:r>
    </w:p>
    <w:p>
      <w:pPr>
        <w:spacing w:after="0" w:line="169" w:lineRule="exact"/>
        <w:rPr>
          <w:rFonts w:ascii="Courier New" w:cs="Courier New" w:eastAsia="Courier New" w:hAnsi="Courier New"/>
          <w:sz w:val="16"/>
          <w:szCs w:val="16"/>
          <w:color w:val="auto"/>
        </w:rPr>
      </w:pPr>
    </w:p>
    <w:p>
      <w:pPr>
        <w:ind w:left="1580" w:right="1779" w:hanging="624"/>
        <w:spacing w:after="0" w:line="237" w:lineRule="auto"/>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7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15,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Keith C. Kummerfeld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Keith C. Kummerfeld</w:t>
      </w:r>
    </w:p>
    <w:p>
      <w:pPr>
        <w:sectPr>
          <w:pgSz w:w="11900" w:h="16838" w:orient="portrait"/>
          <w:cols w:equalWidth="0" w:num="3">
            <w:col w:w="540" w:space="200"/>
            <w:col w:w="2340" w:space="720"/>
            <w:col w:w="6419"/>
          </w:cols>
          <w:pgMar w:left="240" w:top="136" w:right="1440" w:bottom="757"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749"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2019-12-23T16:08:53Z</dcterms:created>
  <dcterms:modified xsi:type="dcterms:W3CDTF">2019-12-23T16:08:53Z</dcterms:modified>
</cp:coreProperties>
</file>