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December 30,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449" w:right="3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Arcturus Therapeutics Holdings Inc.</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S-3</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333-269003</w:t>
      </w:r>
    </w:p>
    <w:p>
      <w:pPr>
        <w:spacing w:after="0" w:line="200" w:lineRule="exact"/>
        <w:rPr>
          <w:sz w:val="24"/>
          <w:szCs w:val="24"/>
          <w:color w:val="auto"/>
        </w:rPr>
      </w:pPr>
    </w:p>
    <w:p>
      <w:pPr>
        <w:sectPr>
          <w:pgSz w:w="11900" w:h="16838" w:orient="portrait"/>
          <w:cols w:equalWidth="0" w:num="2">
            <w:col w:w="280" w:space="300"/>
            <w:col w:w="10660"/>
          </w:cols>
          <w:pgMar w:left="320" w:top="449" w:right="339" w:bottom="1440" w:gutter="0" w:footer="0" w:header="0"/>
          <w:type w:val="continuous"/>
        </w:sectPr>
      </w:pPr>
    </w:p>
    <w:p>
      <w:pPr>
        <w:spacing w:after="0" w:line="3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Acceleration Request</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Requested Date: December 30, 2022</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Requested Time: 5:00 P.M. Eastern Time</w:t>
      </w:r>
    </w:p>
    <w:p>
      <w:pPr>
        <w:sectPr>
          <w:pgSz w:w="11900" w:h="16838" w:orient="portrait"/>
          <w:cols w:equalWidth="0" w:num="1">
            <w:col w:w="11240"/>
          </w:cols>
          <w:pgMar w:left="320" w:top="449" w:right="339" w:bottom="1440" w:gutter="0" w:footer="0" w:header="0"/>
          <w:type w:val="continuous"/>
        </w:sect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441"/>
        <w:spacing w:after="0" w:line="293" w:lineRule="auto"/>
        <w:rPr>
          <w:sz w:val="20"/>
          <w:szCs w:val="20"/>
          <w:color w:val="auto"/>
        </w:rPr>
      </w:pPr>
      <w:r>
        <w:rPr>
          <w:rFonts w:ascii="Arial" w:cs="Arial" w:eastAsia="Arial" w:hAnsi="Arial"/>
          <w:sz w:val="16"/>
          <w:szCs w:val="16"/>
          <w:color w:val="auto"/>
        </w:rPr>
        <w:t>Pursuant to Rule 461 under the Securities Act of 1933, as amended (the “Act”), Arcturus Therapeutics Holdings Inc. (the “Company”) hereby requests that the above-referenced Registration Statement on Form S-3 (Registration No. 333-269003) (the “Registration Statement”) be declared effective at the “Requested Date” and “Requested Time” set forth above or at such later time as the Company or its counsel may orally request via telephone call to the staff of the Division of Corporation Finance of the Securities and Exchange Commission. In making this acceleration request, the Company acknowledges that it is aware of its responsibilities under the Act. Once the Registration Statement has been declared effective, please orally confirm that event with Jeffrey A. Baumel, Dentons US LLP, at (973) 912-7189 or Grant Levine, Dentons US LLP, at (212) 768-5384, outside counsel to the Company.</w:t>
      </w:r>
    </w:p>
    <w:p>
      <w:pPr>
        <w:spacing w:after="0" w:line="164"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3"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Arcturus Therapeutics Holdings Inc.</w:t>
      </w:r>
    </w:p>
    <w:p>
      <w:pPr>
        <w:spacing w:after="0" w:line="211"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/s/ Joseph E. Payne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Joseph E. Payne</w:t>
      </w:r>
    </w:p>
    <w:p>
      <w:pPr>
        <w:spacing w:after="0" w:line="23"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4"/>
          <w:szCs w:val="24"/>
          <w:color w:val="auto"/>
        </w:rPr>
      </w:pPr>
    </w:p>
    <w:p>
      <w:pPr>
        <w:ind w:left="580" w:right="8020" w:hanging="572"/>
        <w:spacing w:after="0" w:line="258"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Jeffrey A. Baumel, Dentons US LLP Ilan Katz, Dentons US LLP</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Grant Levine, Dentons US LLP</w:t>
      </w:r>
    </w:p>
    <w:sectPr>
      <w:pgSz w:w="11900" w:h="16838" w:orient="portrait"/>
      <w:cols w:equalWidth="0" w:num="1">
        <w:col w:w="11240"/>
      </w:cols>
      <w:pgMar w:left="320" w:top="44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2023-02-06T04:28:23Z</dcterms:created>
  <dcterms:modified xsi:type="dcterms:W3CDTF">2023-02-06T04:28:23Z</dcterms:modified>
</cp:coreProperties>
</file>