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January 2015</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Regulations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Regulations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1" w:name="page2"/>
    <w:bookmarkEnd w:id="1"/>
    <w:p>
      <w:pPr>
        <w:ind w:left="660"/>
        <w:spacing w:after="0"/>
        <w:rPr>
          <w:sz w:val="20"/>
          <w:szCs w:val="20"/>
          <w:color w:val="auto"/>
        </w:rPr>
      </w:pPr>
      <w:r>
        <w:rPr>
          <w:rFonts w:ascii="Arial" w:cs="Arial" w:eastAsia="Arial" w:hAnsi="Arial"/>
          <w:sz w:val="17"/>
          <w:szCs w:val="17"/>
          <w:color w:val="auto"/>
        </w:rPr>
        <w:t>This report on Form 6-K of the registrant consists of the following documents, which are attached hereto and incorporated by reference herein.</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Form 6-K of the registrant is incorporated by reference into the Registration Statements on Form F-3 (File No. 333-197411) and Form S-8 (File No. 333-194875) of the registrant, filed with the Securities and Exchange Commission, to be a part thereof from the date on which this report is submitted, to the extent not superseded by documents or reports subsequently filed or furnished.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Alcobra Ltd. unaudited interim consolidated financial statements for the six months ended June 30, 2014 and notes thereto.</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Alcobra Ltd. Management’s Discussion and Analysis of Financial Condition and Results of Operations for the six months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Dr. Yaron Daniely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3764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7"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w:t>
            </w:r>
          </w:p>
        </w:tc>
        <w:tc>
          <w:tcPr>
            <w:tcW w:w="7100" w:type="dxa"/>
            <w:vAlign w:val="bottom"/>
            <w:gridSpan w:val="2"/>
            <w:shd w:val="clear" w:color="auto" w:fill="CCEEFF"/>
          </w:tcPr>
          <w:p>
            <w:pPr>
              <w:jc w:val="center"/>
              <w:ind w:left="5470"/>
              <w:spacing w:after="0"/>
              <w:rPr>
                <w:sz w:val="20"/>
                <w:szCs w:val="20"/>
                <w:color w:val="auto"/>
              </w:rPr>
            </w:pPr>
            <w:r>
              <w:rPr>
                <w:rFonts w:ascii="Arial" w:cs="Arial" w:eastAsia="Arial" w:hAnsi="Arial"/>
                <w:sz w:val="18"/>
                <w:szCs w:val="18"/>
                <w:b w:val="1"/>
                <w:bCs w:val="1"/>
                <w:color w:val="auto"/>
                <w:w w:val="94"/>
              </w:rPr>
              <w:t>2 - 3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7100" w:type="dxa"/>
            <w:vAlign w:val="bottom"/>
            <w:gridSpan w:val="2"/>
            <w:shd w:val="clear" w:color="auto" w:fill="CCEEFF"/>
          </w:tcPr>
          <w:p>
            <w:pPr>
              <w:jc w:val="center"/>
              <w:ind w:left="5470"/>
              <w:spacing w:after="0"/>
              <w:rPr>
                <w:sz w:val="20"/>
                <w:szCs w:val="20"/>
                <w:color w:val="auto"/>
              </w:rPr>
            </w:pPr>
            <w:r>
              <w:rPr>
                <w:rFonts w:ascii="Arial" w:cs="Arial" w:eastAsia="Arial" w:hAnsi="Arial"/>
                <w:sz w:val="18"/>
                <w:szCs w:val="18"/>
                <w:b w:val="1"/>
                <w:bCs w:val="1"/>
                <w:color w:val="auto"/>
                <w:w w:val="99"/>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Changes in Shareholders' Equity</w:t>
            </w:r>
          </w:p>
        </w:tc>
        <w:tc>
          <w:tcPr>
            <w:tcW w:w="7100" w:type="dxa"/>
            <w:vAlign w:val="bottom"/>
            <w:gridSpan w:val="2"/>
            <w:shd w:val="clear" w:color="auto" w:fill="CCEEFF"/>
          </w:tcPr>
          <w:p>
            <w:pPr>
              <w:jc w:val="center"/>
              <w:ind w:left="5470"/>
              <w:spacing w:after="0"/>
              <w:rPr>
                <w:sz w:val="20"/>
                <w:szCs w:val="20"/>
                <w:color w:val="auto"/>
              </w:rPr>
            </w:pPr>
            <w:r>
              <w:rPr>
                <w:rFonts w:ascii="Arial" w:cs="Arial" w:eastAsia="Arial" w:hAnsi="Arial"/>
                <w:sz w:val="18"/>
                <w:szCs w:val="18"/>
                <w:b w:val="1"/>
                <w:bCs w:val="1"/>
                <w:color w:val="auto"/>
                <w:w w:val="9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7100" w:type="dxa"/>
            <w:vAlign w:val="bottom"/>
            <w:gridSpan w:val="2"/>
            <w:shd w:val="clear" w:color="auto" w:fill="CCEEFF"/>
          </w:tcPr>
          <w:p>
            <w:pPr>
              <w:jc w:val="center"/>
              <w:ind w:left="5470"/>
              <w:spacing w:after="0"/>
              <w:rPr>
                <w:sz w:val="20"/>
                <w:szCs w:val="20"/>
                <w:color w:val="auto"/>
              </w:rPr>
            </w:pPr>
            <w:r>
              <w:rPr>
                <w:rFonts w:ascii="Arial" w:cs="Arial" w:eastAsia="Arial" w:hAnsi="Arial"/>
                <w:sz w:val="18"/>
                <w:szCs w:val="18"/>
                <w:b w:val="1"/>
                <w:bCs w:val="1"/>
                <w:color w:val="auto"/>
                <w:w w:val="99"/>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7100" w:type="dxa"/>
            <w:vAlign w:val="bottom"/>
            <w:gridSpan w:val="2"/>
            <w:shd w:val="clear" w:color="auto" w:fill="CCEEFF"/>
          </w:tcPr>
          <w:p>
            <w:pPr>
              <w:jc w:val="center"/>
              <w:ind w:left="5470"/>
              <w:spacing w:after="0"/>
              <w:rPr>
                <w:sz w:val="20"/>
                <w:szCs w:val="20"/>
                <w:color w:val="auto"/>
              </w:rPr>
            </w:pPr>
            <w:r>
              <w:rPr>
                <w:rFonts w:ascii="Arial" w:cs="Arial" w:eastAsia="Arial" w:hAnsi="Arial"/>
                <w:sz w:val="18"/>
                <w:szCs w:val="18"/>
                <w:b w:val="1"/>
                <w:bCs w:val="1"/>
                <w:color w:val="auto"/>
                <w:w w:val="91"/>
              </w:rPr>
              <w:t>7 - 12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500" w:type="dxa"/>
            <w:vAlign w:val="bottom"/>
          </w:tcPr>
          <w:p>
            <w:pPr>
              <w:jc w:val="right"/>
              <w:ind w:right="3310"/>
              <w:spacing w:after="0"/>
              <w:rPr>
                <w:sz w:val="20"/>
                <w:szCs w:val="20"/>
                <w:color w:val="auto"/>
              </w:rPr>
            </w:pPr>
            <w:r>
              <w:rPr>
                <w:rFonts w:ascii="Arial" w:cs="Arial" w:eastAsia="Arial" w:hAnsi="Arial"/>
                <w:sz w:val="18"/>
                <w:szCs w:val="18"/>
                <w:color w:val="auto"/>
              </w:rPr>
              <w:t>- - - - - - - - - - - - - -</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6,912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Short-term bank deposit</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2"/>
          </w:tcPr>
          <w:p>
            <w:pPr>
              <w:ind w:left="200"/>
              <w:spacing w:after="0"/>
              <w:rPr>
                <w:sz w:val="20"/>
                <w:szCs w:val="20"/>
                <w:color w:val="auto"/>
              </w:rPr>
            </w:pPr>
            <w:r>
              <w:rPr>
                <w:rFonts w:ascii="Arial" w:cs="Arial" w:eastAsia="Arial" w:hAnsi="Arial"/>
                <w:sz w:val="18"/>
                <w:szCs w:val="18"/>
                <w:color w:val="auto"/>
              </w:rPr>
              <w:t>Receivables and prepaid expenses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00" w:type="dxa"/>
            <w:vAlign w:val="bottom"/>
            <w:gridSpan w:val="2"/>
          </w:tcPr>
          <w:p>
            <w:pPr>
              <w:spacing w:after="0" w:line="189" w:lineRule="exact"/>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39,959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50,218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long-term assets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net</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2"/>
          </w:tcPr>
          <w:p>
            <w:pPr>
              <w:spacing w:after="0" w:line="156" w:lineRule="exact"/>
              <w:rPr>
                <w:sz w:val="20"/>
                <w:szCs w:val="20"/>
                <w:color w:val="auto"/>
              </w:rPr>
            </w:pPr>
            <w:r>
              <w:rPr>
                <w:rFonts w:ascii="Arial" w:cs="Arial" w:eastAsia="Arial" w:hAnsi="Arial"/>
                <w:sz w:val="18"/>
                <w:szCs w:val="18"/>
                <w:color w:val="auto"/>
              </w:rPr>
              <w:t>Total long-term assets</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120"/>
              <w:spacing w:after="0" w:line="156" w:lineRule="exact"/>
              <w:rPr>
                <w:sz w:val="20"/>
                <w:szCs w:val="20"/>
                <w:color w:val="auto"/>
              </w:rPr>
            </w:pPr>
            <w:r>
              <w:rPr>
                <w:rFonts w:ascii="Arial" w:cs="Arial" w:eastAsia="Arial" w:hAnsi="Arial"/>
                <w:sz w:val="18"/>
                <w:szCs w:val="18"/>
                <w:color w:val="auto"/>
              </w:rPr>
              <w:t>212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40,171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50,324</w:t>
            </w: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color w:val="auto"/>
                <w:w w:val="99"/>
              </w:rPr>
              <w:t>The accompanying notes are an integral part of the interim consolidated financial statements.</w:t>
            </w: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400" w:type="dxa"/>
            <w:vAlign w:val="bottom"/>
            <w:tcBorders>
              <w:bottom w:val="single" w:sz="8" w:color="auto"/>
            </w:tcBorders>
            <w:gridSpan w:val="2"/>
          </w:tcPr>
          <w:p>
            <w:pPr>
              <w:ind w:left="5540"/>
              <w:spacing w:after="0"/>
              <w:rPr>
                <w:sz w:val="20"/>
                <w:szCs w:val="20"/>
                <w:color w:val="auto"/>
              </w:rPr>
            </w:pPr>
            <w:r>
              <w:rPr>
                <w:rFonts w:ascii="Arial" w:cs="Arial" w:eastAsia="Arial" w:hAnsi="Arial"/>
                <w:sz w:val="18"/>
                <w:szCs w:val="18"/>
                <w:color w:val="auto"/>
              </w:rPr>
              <w:t>- 2 -</w:t>
            </w: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Unaudited</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Trade payables</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8"/>
                <w:szCs w:val="18"/>
                <w:color w:val="auto"/>
              </w:rPr>
              <w:t>4,753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gridSpan w:val="4"/>
          </w:tcPr>
          <w:p>
            <w:pPr>
              <w:jc w:val="right"/>
              <w:ind w:right="4840"/>
              <w:spacing w:after="0" w:line="201" w:lineRule="exact"/>
              <w:rPr>
                <w:sz w:val="20"/>
                <w:szCs w:val="20"/>
                <w:color w:val="auto"/>
              </w:rPr>
            </w:pPr>
            <w:r>
              <w:rPr>
                <w:rFonts w:ascii="Arial" w:cs="Arial" w:eastAsia="Arial" w:hAnsi="Arial"/>
                <w:sz w:val="18"/>
                <w:szCs w:val="18"/>
                <w:color w:val="auto"/>
                <w:w w:val="95"/>
              </w:rPr>
              <w:t>Ordinary shares of NIS 0.01 par value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gridSpan w:val="2"/>
          </w:tcPr>
          <w:p>
            <w:pPr>
              <w:ind w:left="120"/>
              <w:spacing w:after="0"/>
              <w:rPr>
                <w:sz w:val="20"/>
                <w:szCs w:val="20"/>
                <w:color w:val="auto"/>
              </w:rPr>
            </w:pPr>
            <w:r>
              <w:rPr>
                <w:rFonts w:ascii="Arial" w:cs="Arial" w:eastAsia="Arial" w:hAnsi="Arial"/>
                <w:sz w:val="18"/>
                <w:szCs w:val="18"/>
                <w:color w:val="auto"/>
                <w:w w:val="91"/>
              </w:rPr>
              <w:t>50,000,000 shares authorized at June 30, 2014 and December 31, 2013; 13,999,733 and 13,941,033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gridSpan w:val="2"/>
          </w:tcPr>
          <w:p>
            <w:pPr>
              <w:ind w:left="120"/>
              <w:spacing w:after="0"/>
              <w:rPr>
                <w:sz w:val="20"/>
                <w:szCs w:val="20"/>
                <w:color w:val="auto"/>
              </w:rPr>
            </w:pPr>
            <w:r>
              <w:rPr>
                <w:rFonts w:ascii="Arial" w:cs="Arial" w:eastAsia="Arial" w:hAnsi="Arial"/>
                <w:sz w:val="18"/>
                <w:szCs w:val="18"/>
                <w:color w:val="auto"/>
                <w:w w:val="93"/>
              </w:rPr>
              <w:t>issued shares at June 30, 2014 and December 31, 2013, respectively; 13,695,409 and 13,636,709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80" w:type="dxa"/>
            <w:vAlign w:val="bottom"/>
            <w:gridSpan w:val="2"/>
          </w:tcPr>
          <w:p>
            <w:pPr>
              <w:ind w:left="120"/>
              <w:spacing w:after="0"/>
              <w:rPr>
                <w:sz w:val="20"/>
                <w:szCs w:val="20"/>
                <w:color w:val="auto"/>
              </w:rPr>
            </w:pPr>
            <w:r>
              <w:rPr>
                <w:rFonts w:ascii="Arial" w:cs="Arial" w:eastAsia="Arial" w:hAnsi="Arial"/>
                <w:sz w:val="18"/>
                <w:szCs w:val="18"/>
                <w:color w:val="auto"/>
              </w:rPr>
              <w:t>shares outstanding at June 30, 2014 and December 31, 2013, respectively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Treasury shares (304,324 ordinary shares at June 30, 2014 and December 31, 2013)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69,659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67,383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(34,280)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8"/>
                <w:szCs w:val="18"/>
                <w:color w:val="auto"/>
              </w:rPr>
              <w:t>35,418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8"/>
                <w:szCs w:val="18"/>
                <w:color w:val="auto"/>
              </w:rPr>
              <w:t>48,688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40,171</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60" w:type="dxa"/>
            <w:vAlign w:val="bottom"/>
            <w:gridSpan w:val="5"/>
            <w:vMerge w:val="restart"/>
          </w:tcPr>
          <w:p>
            <w:pPr>
              <w:spacing w:after="0"/>
              <w:rPr>
                <w:sz w:val="20"/>
                <w:szCs w:val="20"/>
                <w:color w:val="auto"/>
              </w:rPr>
            </w:pPr>
            <w:r>
              <w:rPr>
                <w:rFonts w:ascii="Arial" w:cs="Arial" w:eastAsia="Arial" w:hAnsi="Arial"/>
                <w:sz w:val="18"/>
                <w:szCs w:val="18"/>
                <w:color w:val="auto"/>
              </w:rPr>
              <w:t>*)  Represents an amount lower than $1.</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gridSpan w:val="5"/>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840" w:type="dxa"/>
            <w:vAlign w:val="bottom"/>
            <w:tcBorders>
              <w:bottom w:val="single" w:sz="8" w:color="auto"/>
            </w:tcBorders>
            <w:gridSpan w:val="4"/>
          </w:tcPr>
          <w:p>
            <w:pPr>
              <w:jc w:val="right"/>
              <w:ind w:right="2000"/>
              <w:spacing w:after="0"/>
              <w:rPr>
                <w:sz w:val="20"/>
                <w:szCs w:val="20"/>
                <w:color w:val="auto"/>
              </w:rPr>
            </w:pPr>
            <w:r>
              <w:rPr>
                <w:rFonts w:ascii="Arial" w:cs="Arial" w:eastAsia="Arial" w:hAnsi="Arial"/>
                <w:sz w:val="18"/>
                <w:szCs w:val="18"/>
                <w:color w:val="auto"/>
              </w:rPr>
              <w:t>- 3 -</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0"/>
              </w:rPr>
              <w:t>Unaudited</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11,440</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Pre commercialization expenses</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15,666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(income), net</w:t>
            </w: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Taxes on income</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loss attributable to holders of Ordinary shares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15,546</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basic and diluted loss per share</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4"/>
              </w:rPr>
              <w:t>Weighted average number of Ordinary shares used in computing basic and diluted net loss per share</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13,649,427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8,397,070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00" w:lineRule="exact"/>
        <w:rPr>
          <w:sz w:val="20"/>
          <w:szCs w:val="20"/>
          <w:color w:val="auto"/>
        </w:rPr>
      </w:pPr>
    </w:p>
    <w:p>
      <w:pPr>
        <w:spacing w:after="0" w:line="241" w:lineRule="exact"/>
        <w:rPr>
          <w:sz w:val="20"/>
          <w:szCs w:val="20"/>
          <w:color w:val="auto"/>
        </w:rPr>
      </w:pPr>
    </w:p>
    <w:p>
      <w:pPr>
        <w:ind w:right="4900"/>
        <w:spacing w:after="0" w:line="298" w:lineRule="auto"/>
        <w:rPr>
          <w:sz w:val="20"/>
          <w:szCs w:val="20"/>
          <w:color w:val="auto"/>
        </w:rPr>
      </w:pPr>
      <w:r>
        <w:rPr>
          <w:rFonts w:ascii="Arial" w:cs="Arial" w:eastAsia="Arial" w:hAnsi="Arial"/>
          <w:sz w:val="18"/>
          <w:szCs w:val="18"/>
          <w:b w:val="1"/>
          <w:bCs w:val="1"/>
          <w:color w:val="auto"/>
        </w:rPr>
        <w:t>CONSOLIDATED STATEMENTS OF CHANGES IN SHAREHOLDERS' EQUITY 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Additional</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120" w:type="dxa"/>
            <w:vAlign w:val="bottom"/>
            <w:gridSpan w:val="5"/>
          </w:tcPr>
          <w:p>
            <w:pPr>
              <w:ind w:left="560"/>
              <w:spacing w:after="0"/>
              <w:rPr>
                <w:sz w:val="20"/>
                <w:szCs w:val="20"/>
                <w:color w:val="auto"/>
              </w:rPr>
            </w:pPr>
            <w:r>
              <w:rPr>
                <w:rFonts w:ascii="Arial" w:cs="Arial" w:eastAsia="Arial" w:hAnsi="Arial"/>
                <w:sz w:val="11"/>
                <w:szCs w:val="11"/>
                <w:b w:val="1"/>
                <w:bCs w:val="1"/>
                <w:color w:val="auto"/>
              </w:rPr>
              <w:t>Ordinary shares</w:t>
            </w:r>
          </w:p>
        </w:tc>
        <w:tc>
          <w:tcPr>
            <w:tcW w:w="2080" w:type="dxa"/>
            <w:vAlign w:val="bottom"/>
            <w:gridSpan w:val="5"/>
          </w:tcPr>
          <w:p>
            <w:pPr>
              <w:ind w:left="480"/>
              <w:spacing w:after="0"/>
              <w:rPr>
                <w:sz w:val="20"/>
                <w:szCs w:val="20"/>
                <w:color w:val="auto"/>
              </w:rPr>
            </w:pPr>
            <w:r>
              <w:rPr>
                <w:rFonts w:ascii="Arial" w:cs="Arial" w:eastAsia="Arial" w:hAnsi="Arial"/>
                <w:sz w:val="11"/>
                <w:szCs w:val="11"/>
                <w:b w:val="1"/>
                <w:bCs w:val="1"/>
                <w:color w:val="auto"/>
              </w:rPr>
              <w:t>Preferred A shares</w:t>
            </w:r>
          </w:p>
        </w:tc>
        <w:tc>
          <w:tcPr>
            <w:tcW w:w="1660" w:type="dxa"/>
            <w:vAlign w:val="bottom"/>
            <w:gridSpan w:val="4"/>
          </w:tcPr>
          <w:p>
            <w:pPr>
              <w:jc w:val="right"/>
              <w:ind w:right="286"/>
              <w:spacing w:after="0"/>
              <w:rPr>
                <w:sz w:val="20"/>
                <w:szCs w:val="20"/>
                <w:color w:val="auto"/>
              </w:rPr>
            </w:pPr>
            <w:r>
              <w:rPr>
                <w:rFonts w:ascii="Arial" w:cs="Arial" w:eastAsia="Arial" w:hAnsi="Arial"/>
                <w:sz w:val="11"/>
                <w:szCs w:val="11"/>
                <w:b w:val="1"/>
                <w:bCs w:val="1"/>
                <w:color w:val="auto"/>
              </w:rPr>
              <w:t>Preferred B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4"/>
              </w:rPr>
              <w:t>paid-in</w:t>
            </w:r>
          </w:p>
        </w:tc>
        <w:tc>
          <w:tcPr>
            <w:tcW w:w="6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89"/>
              </w:rPr>
              <w:t>Accumulated</w:t>
            </w:r>
          </w:p>
        </w:tc>
        <w:tc>
          <w:tcPr>
            <w:tcW w:w="6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shareholders'</w:t>
            </w: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60" w:type="dxa"/>
            <w:vAlign w:val="bottom"/>
            <w:tcBorders>
              <w:top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Number</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1"/>
                <w:szCs w:val="11"/>
                <w:color w:val="auto"/>
              </w:rPr>
            </w:pPr>
          </w:p>
        </w:tc>
        <w:tc>
          <w:tcPr>
            <w:tcW w:w="10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1"/>
                <w:szCs w:val="11"/>
                <w:b w:val="1"/>
                <w:bCs w:val="1"/>
                <w:color w:val="auto"/>
              </w:rPr>
              <w:t>Number</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Number</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1"/>
              </w:rPr>
              <w:t>capital</w:t>
            </w:r>
          </w:p>
        </w:tc>
        <w:tc>
          <w:tcPr>
            <w:tcW w:w="60" w:type="dxa"/>
            <w:vAlign w:val="bottom"/>
          </w:tcPr>
          <w:p>
            <w:pPr>
              <w:spacing w:after="0"/>
              <w:rPr>
                <w:sz w:val="11"/>
                <w:szCs w:val="11"/>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deficit</w:t>
            </w:r>
          </w:p>
        </w:tc>
        <w:tc>
          <w:tcPr>
            <w:tcW w:w="60" w:type="dxa"/>
            <w:vAlign w:val="bottom"/>
          </w:tcPr>
          <w:p>
            <w:pPr>
              <w:spacing w:after="0"/>
              <w:rPr>
                <w:sz w:val="11"/>
                <w:szCs w:val="11"/>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equity</w:t>
            </w: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00" w:type="dxa"/>
            <w:vAlign w:val="bottom"/>
            <w:gridSpan w:val="2"/>
            <w:shd w:val="clear" w:color="auto" w:fill="CCEEFF"/>
          </w:tcPr>
          <w:p>
            <w:pPr>
              <w:ind w:left="60"/>
              <w:spacing w:after="0" w:line="122" w:lineRule="exact"/>
              <w:rPr>
                <w:sz w:val="20"/>
                <w:szCs w:val="20"/>
                <w:color w:val="auto"/>
              </w:rPr>
            </w:pPr>
            <w:r>
              <w:rPr>
                <w:rFonts w:ascii="Arial" w:cs="Arial" w:eastAsia="Arial" w:hAnsi="Arial"/>
                <w:sz w:val="11"/>
                <w:szCs w:val="11"/>
                <w:color w:val="auto"/>
              </w:rPr>
              <w:t>Balance as of January 1, 2013</w:t>
            </w: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7,794,256</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2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ind w:left="6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546"/>
              <w:spacing w:after="0" w:line="122" w:lineRule="exact"/>
              <w:rPr>
                <w:sz w:val="20"/>
                <w:szCs w:val="20"/>
                <w:color w:val="auto"/>
              </w:rPr>
            </w:pPr>
            <w:r>
              <w:rPr>
                <w:rFonts w:ascii="Arial" w:cs="Arial" w:eastAsia="Arial" w:hAnsi="Arial"/>
                <w:sz w:val="11"/>
                <w:szCs w:val="11"/>
                <w:color w:val="auto"/>
              </w:rPr>
              <w:t>$</w:t>
            </w:r>
          </w:p>
        </w:tc>
        <w:tc>
          <w:tcPr>
            <w:tcW w:w="28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7,615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(8,186)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(567)</w:t>
            </w: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2140" w:type="dxa"/>
            <w:vAlign w:val="bottom"/>
          </w:tcPr>
          <w:p>
            <w:pPr>
              <w:ind w:left="60"/>
              <w:spacing w:after="0" w:line="122" w:lineRule="exact"/>
              <w:rPr>
                <w:sz w:val="20"/>
                <w:szCs w:val="20"/>
                <w:color w:val="auto"/>
              </w:rPr>
            </w:pPr>
            <w:r>
              <w:rPr>
                <w:rFonts w:ascii="Arial" w:cs="Arial" w:eastAsia="Arial" w:hAnsi="Arial"/>
                <w:sz w:val="11"/>
                <w:szCs w:val="11"/>
                <w:color w:val="auto"/>
              </w:rPr>
              <w:t>Exercise of options</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208,708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6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900" w:type="dxa"/>
            <w:vAlign w:val="bottom"/>
            <w:gridSpan w:val="2"/>
          </w:tcPr>
          <w:p>
            <w:pPr>
              <w:ind w:left="6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28</w:t>
            </w:r>
          </w:p>
        </w:tc>
        <w:tc>
          <w:tcPr>
            <w:tcW w:w="60" w:type="dxa"/>
            <w:vAlign w:val="bottom"/>
          </w:tcPr>
          <w:p>
            <w:pPr>
              <w:spacing w:after="0"/>
              <w:rPr>
                <w:sz w:val="10"/>
                <w:szCs w:val="10"/>
                <w:color w:val="auto"/>
              </w:rPr>
            </w:pPr>
          </w:p>
        </w:tc>
        <w:tc>
          <w:tcPr>
            <w:tcW w:w="94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 w:type="dxa"/>
            <w:vAlign w:val="bottom"/>
            <w:shd w:val="clear" w:color="auto" w:fill="CCEEFF"/>
          </w:tcPr>
          <w:p>
            <w:pPr>
              <w:spacing w:after="0"/>
              <w:rPr>
                <w:sz w:val="9"/>
                <w:szCs w:val="9"/>
                <w:color w:val="auto"/>
              </w:rPr>
            </w:pPr>
          </w:p>
        </w:tc>
        <w:tc>
          <w:tcPr>
            <w:tcW w:w="2140" w:type="dxa"/>
            <w:vAlign w:val="bottom"/>
            <w:shd w:val="clear" w:color="auto" w:fill="CCEEFF"/>
          </w:tcPr>
          <w:p>
            <w:pPr>
              <w:ind w:left="60"/>
              <w:spacing w:after="0" w:line="112" w:lineRule="exact"/>
              <w:rPr>
                <w:sz w:val="20"/>
                <w:szCs w:val="20"/>
                <w:color w:val="auto"/>
              </w:rPr>
            </w:pPr>
            <w:r>
              <w:rPr>
                <w:rFonts w:ascii="Arial" w:cs="Arial" w:eastAsia="Arial" w:hAnsi="Arial"/>
                <w:sz w:val="11"/>
                <w:szCs w:val="11"/>
                <w:color w:val="auto"/>
                <w:w w:val="92"/>
              </w:rPr>
              <w:t>Issuance of shares upon cashless exercise of</w:t>
            </w: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0" w:type="dxa"/>
            <w:vAlign w:val="bottom"/>
            <w:shd w:val="clear" w:color="auto" w:fill="CCEEFF"/>
          </w:tcPr>
          <w:p>
            <w:pPr>
              <w:spacing w:after="0"/>
              <w:rPr>
                <w:sz w:val="11"/>
                <w:szCs w:val="11"/>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warrants</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85,192</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60" w:type="dxa"/>
            <w:vAlign w:val="bottom"/>
          </w:tcPr>
          <w:p>
            <w:pPr>
              <w:spacing w:after="0"/>
              <w:rPr>
                <w:sz w:val="9"/>
                <w:szCs w:val="9"/>
                <w:color w:val="auto"/>
              </w:rPr>
            </w:pPr>
          </w:p>
        </w:tc>
        <w:tc>
          <w:tcPr>
            <w:tcW w:w="2140" w:type="dxa"/>
            <w:vAlign w:val="bottom"/>
          </w:tcPr>
          <w:p>
            <w:pPr>
              <w:ind w:left="60"/>
              <w:spacing w:after="0" w:line="112" w:lineRule="exact"/>
              <w:rPr>
                <w:sz w:val="20"/>
                <w:szCs w:val="20"/>
                <w:color w:val="auto"/>
              </w:rPr>
            </w:pPr>
            <w:r>
              <w:rPr>
                <w:rFonts w:ascii="Arial" w:cs="Arial" w:eastAsia="Arial" w:hAnsi="Arial"/>
                <w:sz w:val="11"/>
                <w:szCs w:val="11"/>
                <w:color w:val="auto"/>
              </w:rPr>
              <w:t>Issuance of shares upon conversion of</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2140" w:type="dxa"/>
            <w:vAlign w:val="bottom"/>
          </w:tcPr>
          <w:p>
            <w:pPr>
              <w:ind w:left="200"/>
              <w:spacing w:after="0"/>
              <w:rPr>
                <w:sz w:val="20"/>
                <w:szCs w:val="20"/>
                <w:color w:val="auto"/>
              </w:rPr>
            </w:pPr>
            <w:r>
              <w:rPr>
                <w:rFonts w:ascii="Arial" w:cs="Arial" w:eastAsia="Arial" w:hAnsi="Arial"/>
                <w:sz w:val="11"/>
                <w:szCs w:val="11"/>
                <w:color w:val="auto"/>
              </w:rPr>
              <w:t>convertible notes</w:t>
            </w:r>
          </w:p>
        </w:tc>
        <w:tc>
          <w:tcPr>
            <w:tcW w:w="820" w:type="dxa"/>
            <w:vAlign w:val="bottom"/>
          </w:tcPr>
          <w:p>
            <w:pPr>
              <w:jc w:val="right"/>
              <w:spacing w:after="0"/>
              <w:rPr>
                <w:sz w:val="20"/>
                <w:szCs w:val="20"/>
                <w:color w:val="auto"/>
              </w:rPr>
            </w:pPr>
            <w:r>
              <w:rPr>
                <w:rFonts w:ascii="Arial" w:cs="Arial" w:eastAsia="Arial" w:hAnsi="Arial"/>
                <w:sz w:val="11"/>
                <w:szCs w:val="11"/>
                <w:color w:val="auto"/>
              </w:rPr>
              <w:t>123,553</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980</w:t>
            </w:r>
          </w:p>
        </w:tc>
        <w:tc>
          <w:tcPr>
            <w:tcW w:w="6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60" w:type="dxa"/>
            <w:vAlign w:val="bottom"/>
            <w:shd w:val="clear" w:color="auto" w:fill="CCEEFF"/>
          </w:tcPr>
          <w:p>
            <w:pPr>
              <w:spacing w:after="0"/>
              <w:rPr>
                <w:sz w:val="9"/>
                <w:szCs w:val="9"/>
                <w:color w:val="auto"/>
              </w:rPr>
            </w:pPr>
          </w:p>
        </w:tc>
        <w:tc>
          <w:tcPr>
            <w:tcW w:w="2140" w:type="dxa"/>
            <w:vAlign w:val="bottom"/>
            <w:shd w:val="clear" w:color="auto" w:fill="CCEEFF"/>
          </w:tcPr>
          <w:p>
            <w:pPr>
              <w:ind w:left="60"/>
              <w:spacing w:after="0" w:line="112" w:lineRule="exact"/>
              <w:rPr>
                <w:sz w:val="20"/>
                <w:szCs w:val="20"/>
                <w:color w:val="auto"/>
              </w:rPr>
            </w:pPr>
            <w:r>
              <w:rPr>
                <w:rFonts w:ascii="Arial" w:cs="Arial" w:eastAsia="Arial" w:hAnsi="Arial"/>
                <w:sz w:val="11"/>
                <w:szCs w:val="11"/>
                <w:color w:val="auto"/>
              </w:rPr>
              <w:t>Issuance of shares upon initial public</w:t>
            </w: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 w:type="dxa"/>
            <w:vAlign w:val="bottom"/>
            <w:shd w:val="clear" w:color="auto" w:fill="CCEEFF"/>
          </w:tcPr>
          <w:p>
            <w:pPr>
              <w:spacing w:after="0"/>
              <w:rPr>
                <w:sz w:val="10"/>
                <w:szCs w:val="10"/>
                <w:color w:val="auto"/>
              </w:rPr>
            </w:pPr>
          </w:p>
        </w:tc>
        <w:tc>
          <w:tcPr>
            <w:tcW w:w="214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w w:val="98"/>
              </w:rPr>
              <w:t>offering ($8.00 per share), net of $3,080</w:t>
            </w: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60" w:type="dxa"/>
            <w:vAlign w:val="bottom"/>
            <w:shd w:val="clear" w:color="auto" w:fill="CCEEFF"/>
          </w:tcPr>
          <w:p>
            <w:pPr>
              <w:spacing w:after="0"/>
              <w:rPr>
                <w:sz w:val="11"/>
                <w:szCs w:val="11"/>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issuance expenses</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3,125,000</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2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21,892</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60" w:type="dxa"/>
            <w:vAlign w:val="bottom"/>
          </w:tcPr>
          <w:p>
            <w:pPr>
              <w:spacing w:after="0"/>
              <w:rPr>
                <w:sz w:val="9"/>
                <w:szCs w:val="9"/>
                <w:color w:val="auto"/>
              </w:rPr>
            </w:pPr>
          </w:p>
        </w:tc>
        <w:tc>
          <w:tcPr>
            <w:tcW w:w="2140" w:type="dxa"/>
            <w:vAlign w:val="bottom"/>
          </w:tcPr>
          <w:p>
            <w:pPr>
              <w:ind w:left="60"/>
              <w:spacing w:after="0" w:line="112" w:lineRule="exact"/>
              <w:rPr>
                <w:sz w:val="20"/>
                <w:szCs w:val="20"/>
                <w:color w:val="auto"/>
              </w:rPr>
            </w:pPr>
            <w:r>
              <w:rPr>
                <w:rFonts w:ascii="Arial" w:cs="Arial" w:eastAsia="Arial" w:hAnsi="Arial"/>
                <w:sz w:val="11"/>
                <w:szCs w:val="11"/>
                <w:color w:val="auto"/>
              </w:rPr>
              <w:t>Issuance of shares upon secondary public</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2140" w:type="dxa"/>
            <w:vAlign w:val="bottom"/>
          </w:tcPr>
          <w:p>
            <w:pPr>
              <w:ind w:left="200"/>
              <w:spacing w:after="0" w:line="122" w:lineRule="exact"/>
              <w:rPr>
                <w:sz w:val="20"/>
                <w:szCs w:val="20"/>
                <w:color w:val="auto"/>
              </w:rPr>
            </w:pPr>
            <w:r>
              <w:rPr>
                <w:rFonts w:ascii="Arial" w:cs="Arial" w:eastAsia="Arial" w:hAnsi="Arial"/>
                <w:sz w:val="11"/>
                <w:szCs w:val="11"/>
                <w:color w:val="auto"/>
                <w:w w:val="95"/>
              </w:rPr>
              <w:t>offering ($16.50 per share), net of $2,616</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2140" w:type="dxa"/>
            <w:vAlign w:val="bottom"/>
          </w:tcPr>
          <w:p>
            <w:pPr>
              <w:ind w:left="200"/>
              <w:spacing w:after="0"/>
              <w:rPr>
                <w:sz w:val="20"/>
                <w:szCs w:val="20"/>
                <w:color w:val="auto"/>
              </w:rPr>
            </w:pPr>
            <w:r>
              <w:rPr>
                <w:rFonts w:ascii="Arial" w:cs="Arial" w:eastAsia="Arial" w:hAnsi="Arial"/>
                <w:sz w:val="11"/>
                <w:szCs w:val="11"/>
                <w:color w:val="auto"/>
              </w:rPr>
              <w:t>issuance expenses</w:t>
            </w:r>
          </w:p>
        </w:tc>
        <w:tc>
          <w:tcPr>
            <w:tcW w:w="820" w:type="dxa"/>
            <w:vAlign w:val="bottom"/>
          </w:tcPr>
          <w:p>
            <w:pPr>
              <w:jc w:val="right"/>
              <w:spacing w:after="0"/>
              <w:rPr>
                <w:sz w:val="20"/>
                <w:szCs w:val="20"/>
                <w:color w:val="auto"/>
              </w:rPr>
            </w:pPr>
            <w:r>
              <w:rPr>
                <w:rFonts w:ascii="Arial" w:cs="Arial" w:eastAsia="Arial" w:hAnsi="Arial"/>
                <w:sz w:val="11"/>
                <w:szCs w:val="11"/>
                <w:color w:val="auto"/>
              </w:rPr>
              <w:t>2,300,000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w:t>
            </w:r>
          </w:p>
        </w:tc>
        <w:tc>
          <w:tcPr>
            <w:tcW w:w="26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35,328</w:t>
            </w:r>
          </w:p>
        </w:tc>
        <w:tc>
          <w:tcPr>
            <w:tcW w:w="6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35,334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60" w:type="dxa"/>
            <w:vAlign w:val="bottom"/>
            <w:shd w:val="clear" w:color="auto" w:fill="CCEEFF"/>
          </w:tcPr>
          <w:p>
            <w:pPr>
              <w:spacing w:after="0"/>
              <w:rPr>
                <w:sz w:val="9"/>
                <w:szCs w:val="9"/>
                <w:color w:val="auto"/>
              </w:rPr>
            </w:pPr>
          </w:p>
        </w:tc>
        <w:tc>
          <w:tcPr>
            <w:tcW w:w="2140" w:type="dxa"/>
            <w:vAlign w:val="bottom"/>
            <w:shd w:val="clear" w:color="auto" w:fill="CCEEFF"/>
          </w:tcPr>
          <w:p>
            <w:pPr>
              <w:ind w:left="60"/>
              <w:spacing w:after="0" w:line="112" w:lineRule="exact"/>
              <w:rPr>
                <w:sz w:val="20"/>
                <w:szCs w:val="20"/>
                <w:color w:val="auto"/>
              </w:rPr>
            </w:pPr>
            <w:r>
              <w:rPr>
                <w:rFonts w:ascii="Arial" w:cs="Arial" w:eastAsia="Arial" w:hAnsi="Arial"/>
                <w:sz w:val="11"/>
                <w:szCs w:val="11"/>
                <w:color w:val="auto"/>
                <w:w w:val="93"/>
              </w:rPr>
              <w:t>Share based compensation related to options</w:t>
            </w: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0" w:type="dxa"/>
            <w:vAlign w:val="bottom"/>
            <w:shd w:val="clear" w:color="auto" w:fill="CCEEFF"/>
          </w:tcPr>
          <w:p>
            <w:pPr>
              <w:spacing w:after="0"/>
              <w:rPr>
                <w:sz w:val="11"/>
                <w:szCs w:val="11"/>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granted to consultants and employees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1,540</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2140" w:type="dxa"/>
            <w:vAlign w:val="bottom"/>
          </w:tcPr>
          <w:p>
            <w:pPr>
              <w:ind w:left="60"/>
              <w:spacing w:after="0"/>
              <w:rPr>
                <w:sz w:val="20"/>
                <w:szCs w:val="20"/>
                <w:color w:val="auto"/>
              </w:rPr>
            </w:pPr>
            <w:r>
              <w:rPr>
                <w:rFonts w:ascii="Arial" w:cs="Arial" w:eastAsia="Arial" w:hAnsi="Arial"/>
                <w:sz w:val="11"/>
                <w:szCs w:val="11"/>
                <w:color w:val="auto"/>
              </w:rPr>
              <w:t>Net loss</w:t>
            </w:r>
          </w:p>
        </w:tc>
        <w:tc>
          <w:tcPr>
            <w:tcW w:w="10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2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(10,548)</w:t>
            </w:r>
          </w:p>
        </w:tc>
        <w:tc>
          <w:tcPr>
            <w:tcW w:w="6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(10,548)</w:t>
            </w:r>
          </w:p>
        </w:tc>
        <w:tc>
          <w:tcPr>
            <w:tcW w:w="0" w:type="dxa"/>
            <w:vAlign w:val="bottom"/>
          </w:tcPr>
          <w:p>
            <w:pPr>
              <w:spacing w:after="0"/>
              <w:rPr>
                <w:sz w:val="1"/>
                <w:szCs w:val="1"/>
                <w:color w:val="auto"/>
              </w:rPr>
            </w:pPr>
          </w:p>
        </w:tc>
      </w:tr>
      <w:tr>
        <w:trPr>
          <w:trHeight w:val="115"/>
        </w:trPr>
        <w:tc>
          <w:tcPr>
            <w:tcW w:w="160" w:type="dxa"/>
            <w:vAlign w:val="bottom"/>
            <w:tcBorders>
              <w:top w:val="single" w:sz="8" w:color="CCEEFF"/>
            </w:tcBorders>
            <w:shd w:val="clear" w:color="auto" w:fill="CCEEFF"/>
          </w:tcPr>
          <w:p>
            <w:pPr>
              <w:spacing w:after="0"/>
              <w:rPr>
                <w:sz w:val="10"/>
                <w:szCs w:val="10"/>
                <w:color w:val="auto"/>
              </w:rPr>
            </w:pPr>
          </w:p>
        </w:tc>
        <w:tc>
          <w:tcPr>
            <w:tcW w:w="21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00" w:type="dxa"/>
            <w:vAlign w:val="bottom"/>
            <w:gridSpan w:val="2"/>
          </w:tcPr>
          <w:p>
            <w:pPr>
              <w:ind w:left="60"/>
              <w:spacing w:after="0" w:line="122" w:lineRule="exact"/>
              <w:rPr>
                <w:sz w:val="20"/>
                <w:szCs w:val="20"/>
                <w:color w:val="auto"/>
              </w:rPr>
            </w:pPr>
            <w:r>
              <w:rPr>
                <w:rFonts w:ascii="Arial" w:cs="Arial" w:eastAsia="Arial" w:hAnsi="Arial"/>
                <w:sz w:val="11"/>
                <w:szCs w:val="11"/>
                <w:color w:val="auto"/>
              </w:rPr>
              <w:t>Balance as of December 31, 2013</w:t>
            </w: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13,636,709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39</w:t>
            </w:r>
          </w:p>
        </w:tc>
        <w:tc>
          <w:tcPr>
            <w:tcW w:w="260" w:type="dxa"/>
            <w:vAlign w:val="bottom"/>
          </w:tcPr>
          <w:p>
            <w:pPr>
              <w:spacing w:after="0"/>
              <w:rPr>
                <w:sz w:val="10"/>
                <w:szCs w:val="10"/>
                <w:color w:val="auto"/>
              </w:rPr>
            </w:pPr>
          </w:p>
        </w:tc>
        <w:tc>
          <w:tcPr>
            <w:tcW w:w="104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900" w:type="dxa"/>
            <w:vAlign w:val="bottom"/>
            <w:gridSpan w:val="2"/>
          </w:tcPr>
          <w:p>
            <w:pPr>
              <w:ind w:left="640"/>
              <w:spacing w:after="0" w:line="122" w:lineRule="exact"/>
              <w:rPr>
                <w:sz w:val="20"/>
                <w:szCs w:val="20"/>
                <w:color w:val="auto"/>
              </w:rPr>
            </w:pPr>
            <w:r>
              <w:rPr>
                <w:rFonts w:ascii="Arial" w:cs="Arial" w:eastAsia="Arial" w:hAnsi="Arial"/>
                <w:sz w:val="11"/>
                <w:szCs w:val="11"/>
                <w:color w:val="auto"/>
              </w:rPr>
              <w:t>- *)</w:t>
            </w:r>
          </w:p>
        </w:tc>
        <w:tc>
          <w:tcPr>
            <w:tcW w:w="9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67,383</w:t>
            </w:r>
          </w:p>
        </w:tc>
        <w:tc>
          <w:tcPr>
            <w:tcW w:w="60" w:type="dxa"/>
            <w:vAlign w:val="bottom"/>
          </w:tcPr>
          <w:p>
            <w:pPr>
              <w:spacing w:after="0"/>
              <w:rPr>
                <w:sz w:val="10"/>
                <w:szCs w:val="10"/>
                <w:color w:val="auto"/>
              </w:rPr>
            </w:pPr>
          </w:p>
        </w:tc>
        <w:tc>
          <w:tcPr>
            <w:tcW w:w="9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(18,734)</w:t>
            </w:r>
          </w:p>
        </w:tc>
        <w:tc>
          <w:tcPr>
            <w:tcW w:w="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48,688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 w:type="dxa"/>
            <w:vAlign w:val="bottom"/>
            <w:shd w:val="clear" w:color="auto" w:fill="CCEEFF"/>
          </w:tcPr>
          <w:p>
            <w:pPr>
              <w:spacing w:after="0"/>
              <w:rPr>
                <w:sz w:val="10"/>
                <w:szCs w:val="10"/>
                <w:color w:val="auto"/>
              </w:rPr>
            </w:pPr>
          </w:p>
        </w:tc>
        <w:tc>
          <w:tcPr>
            <w:tcW w:w="214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Exercise of options</w:t>
            </w:r>
          </w:p>
        </w:tc>
        <w:tc>
          <w:tcPr>
            <w:tcW w:w="106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640"/>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shd w:val="clear" w:color="auto" w:fill="CCEEFF"/>
          </w:tcPr>
          <w:p>
            <w:pPr>
              <w:ind w:left="6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gridSpan w:val="2"/>
            <w:shd w:val="clear" w:color="auto" w:fill="CCEEFF"/>
          </w:tcPr>
          <w:p>
            <w:pPr>
              <w:ind w:lef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60" w:type="dxa"/>
            <w:vAlign w:val="bottom"/>
          </w:tcPr>
          <w:p>
            <w:pPr>
              <w:spacing w:after="0"/>
              <w:rPr>
                <w:sz w:val="9"/>
                <w:szCs w:val="9"/>
                <w:color w:val="auto"/>
              </w:rPr>
            </w:pPr>
          </w:p>
        </w:tc>
        <w:tc>
          <w:tcPr>
            <w:tcW w:w="2140" w:type="dxa"/>
            <w:vAlign w:val="bottom"/>
          </w:tcPr>
          <w:p>
            <w:pPr>
              <w:ind w:left="60"/>
              <w:spacing w:after="0" w:line="112" w:lineRule="exact"/>
              <w:rPr>
                <w:sz w:val="20"/>
                <w:szCs w:val="20"/>
                <w:color w:val="auto"/>
              </w:rPr>
            </w:pPr>
            <w:r>
              <w:rPr>
                <w:rFonts w:ascii="Arial" w:cs="Arial" w:eastAsia="Arial" w:hAnsi="Arial"/>
                <w:sz w:val="11"/>
                <w:szCs w:val="11"/>
                <w:color w:val="auto"/>
                <w:w w:val="92"/>
              </w:rPr>
              <w:t>Issuance of shares upon cashless exercise of</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2140" w:type="dxa"/>
            <w:vAlign w:val="bottom"/>
          </w:tcPr>
          <w:p>
            <w:pPr>
              <w:ind w:left="200"/>
              <w:spacing w:after="0"/>
              <w:rPr>
                <w:sz w:val="20"/>
                <w:szCs w:val="20"/>
                <w:color w:val="auto"/>
              </w:rPr>
            </w:pPr>
            <w:r>
              <w:rPr>
                <w:rFonts w:ascii="Arial" w:cs="Arial" w:eastAsia="Arial" w:hAnsi="Arial"/>
                <w:sz w:val="11"/>
                <w:szCs w:val="11"/>
                <w:color w:val="auto"/>
              </w:rPr>
              <w:t>warrants</w:t>
            </w:r>
          </w:p>
        </w:tc>
        <w:tc>
          <w:tcPr>
            <w:tcW w:w="820" w:type="dxa"/>
            <w:vAlign w:val="bottom"/>
          </w:tcPr>
          <w:p>
            <w:pPr>
              <w:jc w:val="right"/>
              <w:spacing w:after="0"/>
              <w:rPr>
                <w:sz w:val="20"/>
                <w:szCs w:val="20"/>
                <w:color w:val="auto"/>
              </w:rPr>
            </w:pPr>
            <w:r>
              <w:rPr>
                <w:rFonts w:ascii="Arial" w:cs="Arial" w:eastAsia="Arial" w:hAnsi="Arial"/>
                <w:sz w:val="11"/>
                <w:szCs w:val="11"/>
                <w:color w:val="auto"/>
              </w:rPr>
              <w:t>58,700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60" w:type="dxa"/>
            <w:vAlign w:val="bottom"/>
            <w:shd w:val="clear" w:color="auto" w:fill="CCEEFF"/>
          </w:tcPr>
          <w:p>
            <w:pPr>
              <w:spacing w:after="0"/>
              <w:rPr>
                <w:sz w:val="9"/>
                <w:szCs w:val="9"/>
                <w:color w:val="auto"/>
              </w:rPr>
            </w:pPr>
          </w:p>
        </w:tc>
        <w:tc>
          <w:tcPr>
            <w:tcW w:w="2140" w:type="dxa"/>
            <w:vAlign w:val="bottom"/>
            <w:shd w:val="clear" w:color="auto" w:fill="CCEEFF"/>
          </w:tcPr>
          <w:p>
            <w:pPr>
              <w:ind w:left="60"/>
              <w:spacing w:after="0" w:line="112" w:lineRule="exact"/>
              <w:rPr>
                <w:sz w:val="20"/>
                <w:szCs w:val="20"/>
                <w:color w:val="auto"/>
              </w:rPr>
            </w:pPr>
            <w:r>
              <w:rPr>
                <w:rFonts w:ascii="Arial" w:cs="Arial" w:eastAsia="Arial" w:hAnsi="Arial"/>
                <w:sz w:val="11"/>
                <w:szCs w:val="11"/>
                <w:color w:val="auto"/>
                <w:w w:val="93"/>
              </w:rPr>
              <w:t>Share based compensation related to options</w:t>
            </w: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0" w:type="dxa"/>
            <w:vAlign w:val="bottom"/>
            <w:shd w:val="clear" w:color="auto" w:fill="CCEEFF"/>
          </w:tcPr>
          <w:p>
            <w:pPr>
              <w:spacing w:after="0"/>
              <w:rPr>
                <w:sz w:val="11"/>
                <w:szCs w:val="11"/>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granted to consultants and employees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2,276</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2140" w:type="dxa"/>
            <w:vAlign w:val="bottom"/>
          </w:tcPr>
          <w:p>
            <w:pPr>
              <w:ind w:left="60"/>
              <w:spacing w:after="0"/>
              <w:rPr>
                <w:sz w:val="20"/>
                <w:szCs w:val="20"/>
                <w:color w:val="auto"/>
              </w:rPr>
            </w:pPr>
            <w:r>
              <w:rPr>
                <w:rFonts w:ascii="Arial" w:cs="Arial" w:eastAsia="Arial" w:hAnsi="Arial"/>
                <w:sz w:val="11"/>
                <w:szCs w:val="11"/>
                <w:color w:val="auto"/>
              </w:rPr>
              <w:t>Net loss</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(15,546)</w:t>
            </w:r>
          </w:p>
        </w:tc>
        <w:tc>
          <w:tcPr>
            <w:tcW w:w="6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(15,546)</w:t>
            </w:r>
          </w:p>
        </w:tc>
        <w:tc>
          <w:tcPr>
            <w:tcW w:w="0" w:type="dxa"/>
            <w:vAlign w:val="bottom"/>
          </w:tcPr>
          <w:p>
            <w:pPr>
              <w:spacing w:after="0"/>
              <w:rPr>
                <w:sz w:val="1"/>
                <w:szCs w:val="1"/>
                <w:color w:val="auto"/>
              </w:rPr>
            </w:pPr>
          </w:p>
        </w:tc>
      </w:tr>
      <w:tr>
        <w:trPr>
          <w:trHeight w:val="115"/>
        </w:trPr>
        <w:tc>
          <w:tcPr>
            <w:tcW w:w="160" w:type="dxa"/>
            <w:vAlign w:val="bottom"/>
            <w:tcBorders>
              <w:top w:val="single" w:sz="8" w:color="CCEEFF"/>
            </w:tcBorders>
            <w:shd w:val="clear" w:color="auto" w:fill="CCEEFF"/>
          </w:tcPr>
          <w:p>
            <w:pPr>
              <w:spacing w:after="0"/>
              <w:rPr>
                <w:sz w:val="10"/>
                <w:szCs w:val="10"/>
                <w:color w:val="auto"/>
              </w:rPr>
            </w:pPr>
          </w:p>
        </w:tc>
        <w:tc>
          <w:tcPr>
            <w:tcW w:w="21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60"/>
              <w:spacing w:after="0"/>
              <w:rPr>
                <w:sz w:val="20"/>
                <w:szCs w:val="20"/>
                <w:color w:val="auto"/>
              </w:rPr>
            </w:pPr>
            <w:r>
              <w:rPr>
                <w:rFonts w:ascii="Arial" w:cs="Arial" w:eastAsia="Arial" w:hAnsi="Arial"/>
                <w:sz w:val="11"/>
                <w:szCs w:val="11"/>
                <w:color w:val="auto"/>
              </w:rPr>
              <w:t>Balance as of June 30, 2014 (unaudited)</w:t>
            </w:r>
          </w:p>
        </w:tc>
        <w:tc>
          <w:tcPr>
            <w:tcW w:w="820" w:type="dxa"/>
            <w:vAlign w:val="bottom"/>
          </w:tcPr>
          <w:p>
            <w:pPr>
              <w:jc w:val="right"/>
              <w:spacing w:after="0"/>
              <w:rPr>
                <w:sz w:val="20"/>
                <w:szCs w:val="20"/>
                <w:color w:val="auto"/>
              </w:rPr>
            </w:pPr>
            <w:r>
              <w:rPr>
                <w:rFonts w:ascii="Arial" w:cs="Arial" w:eastAsia="Arial" w:hAnsi="Arial"/>
                <w:sz w:val="11"/>
                <w:szCs w:val="11"/>
                <w:color w:val="auto"/>
              </w:rPr>
              <w:t>13,695,409</w:t>
            </w:r>
          </w:p>
        </w:tc>
        <w:tc>
          <w:tcPr>
            <w:tcW w:w="24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w:t>
            </w:r>
          </w:p>
        </w:tc>
        <w:tc>
          <w:tcPr>
            <w:tcW w:w="2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546"/>
              <w:spacing w:after="0"/>
              <w:rPr>
                <w:sz w:val="20"/>
                <w:szCs w:val="20"/>
                <w:color w:val="auto"/>
              </w:rPr>
            </w:pPr>
            <w:r>
              <w:rPr>
                <w:rFonts w:ascii="Arial" w:cs="Arial" w:eastAsia="Arial" w:hAnsi="Arial"/>
                <w:sz w:val="11"/>
                <w:szCs w:val="11"/>
                <w:color w:val="auto"/>
              </w:rPr>
              <w:t>$</w:t>
            </w:r>
          </w:p>
        </w:tc>
        <w:tc>
          <w:tcPr>
            <w:tcW w:w="28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69,659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9"/>
                <w:szCs w:val="9"/>
                <w:color w:val="auto"/>
              </w:rPr>
              <w:t>(34,280</w:t>
            </w:r>
            <w:r>
              <w:rPr>
                <w:rFonts w:ascii="Arial" w:cs="Arial" w:eastAsia="Arial" w:hAnsi="Arial"/>
                <w:sz w:val="17"/>
                <w:szCs w:val="17"/>
                <w:color w:val="auto"/>
                <w:vertAlign w:val="superscript"/>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35,418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140" w:type="dxa"/>
            <w:vAlign w:val="bottom"/>
            <w:vMerge w:val="restart"/>
          </w:tcPr>
          <w:p>
            <w:pPr>
              <w:ind w:left="180"/>
              <w:spacing w:after="0"/>
              <w:rPr>
                <w:sz w:val="20"/>
                <w:szCs w:val="20"/>
                <w:color w:val="auto"/>
              </w:rPr>
            </w:pPr>
            <w:r>
              <w:rPr>
                <w:rFonts w:ascii="Arial" w:cs="Arial" w:eastAsia="Arial" w:hAnsi="Arial"/>
                <w:sz w:val="13"/>
                <w:szCs w:val="13"/>
                <w:color w:val="auto"/>
                <w:w w:val="89"/>
              </w:rPr>
              <w:t>Represents an amount lower than $1.</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60" w:type="dxa"/>
            <w:vAlign w:val="bottom"/>
            <w:vMerge w:val="continue"/>
          </w:tcPr>
          <w:p>
            <w:pPr>
              <w:spacing w:after="0"/>
              <w:rPr>
                <w:sz w:val="22"/>
                <w:szCs w:val="22"/>
                <w:color w:val="auto"/>
              </w:rPr>
            </w:pPr>
          </w:p>
        </w:tc>
        <w:tc>
          <w:tcPr>
            <w:tcW w:w="2140" w:type="dxa"/>
            <w:vAlign w:val="bottom"/>
            <w:vMerge w:val="continue"/>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60" w:type="dxa"/>
            <w:vAlign w:val="bottom"/>
            <w:gridSpan w:val="5"/>
          </w:tcPr>
          <w:p>
            <w:pPr>
              <w:jc w:val="center"/>
              <w:ind w:left="450"/>
              <w:spacing w:after="0"/>
              <w:rPr>
                <w:sz w:val="20"/>
                <w:szCs w:val="20"/>
                <w:color w:val="auto"/>
              </w:rPr>
            </w:pPr>
            <w:r>
              <w:rPr>
                <w:rFonts w:ascii="Arial" w:cs="Arial" w:eastAsia="Arial" w:hAnsi="Arial"/>
                <w:sz w:val="18"/>
                <w:szCs w:val="18"/>
                <w:b w:val="1"/>
                <w:bCs w:val="1"/>
                <w:color w:val="auto"/>
                <w:w w:val="87"/>
              </w:rPr>
              <w:t>Six months ended</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32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8"/>
                <w:szCs w:val="18"/>
                <w:b w:val="1"/>
                <w:bCs w:val="1"/>
                <w:color w:val="auto"/>
                <w:w w:val="90"/>
              </w:rPr>
              <w:t>Unaudited</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Cash flow from operating activities:</w:t>
            </w:r>
          </w:p>
        </w:tc>
        <w:tc>
          <w:tcPr>
            <w:tcW w:w="1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loss</w:t>
            </w:r>
          </w:p>
        </w:tc>
        <w:tc>
          <w:tcPr>
            <w:tcW w:w="4080" w:type="dxa"/>
            <w:vAlign w:val="bottom"/>
            <w:tcBorders>
              <w:top w:val="single" w:sz="8" w:color="CCEEFF"/>
            </w:tcBorders>
            <w:gridSpan w:val="2"/>
          </w:tcPr>
          <w:p>
            <w:pPr>
              <w:spacing w:after="0"/>
              <w:rPr>
                <w:sz w:val="18"/>
                <w:szCs w:val="18"/>
                <w:color w:val="auto"/>
              </w:rPr>
            </w:pPr>
          </w:p>
        </w:tc>
        <w:tc>
          <w:tcPr>
            <w:tcW w:w="2380" w:type="dxa"/>
            <w:vAlign w:val="bottom"/>
            <w:tcBorders>
              <w:top w:val="single" w:sz="8" w:color="CCEEFF"/>
            </w:tcBorders>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89"/>
              </w:rPr>
              <w:t>(15,546)</w:t>
            </w:r>
          </w:p>
        </w:tc>
        <w:tc>
          <w:tcPr>
            <w:tcW w:w="1020" w:type="dxa"/>
            <w:vAlign w:val="bottom"/>
            <w:tcBorders>
              <w:top w:val="single" w:sz="8" w:color="CCEEFF"/>
            </w:tcBorders>
            <w:gridSpan w:val="2"/>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Depreciation</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on convertible notes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Stock based compensation</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2,276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 from sale of property and equipment</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Change in operating assets and liabilities:</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Receivables and prepaid expenses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tcPr>
          <w:p>
            <w:pPr>
              <w:ind w:left="200"/>
              <w:spacing w:after="0"/>
              <w:rPr>
                <w:sz w:val="20"/>
                <w:szCs w:val="20"/>
                <w:color w:val="auto"/>
              </w:rPr>
            </w:pPr>
            <w:r>
              <w:rPr>
                <w:rFonts w:ascii="Arial" w:cs="Arial" w:eastAsia="Arial" w:hAnsi="Arial"/>
                <w:sz w:val="18"/>
                <w:szCs w:val="18"/>
                <w:color w:val="auto"/>
              </w:rPr>
              <w:t>Decrease in long-term deposit</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Other long-term assets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tcPr>
          <w:p>
            <w:pPr>
              <w:ind w:left="200"/>
              <w:spacing w:after="0"/>
              <w:rPr>
                <w:sz w:val="20"/>
                <w:szCs w:val="20"/>
                <w:color w:val="auto"/>
              </w:rPr>
            </w:pPr>
            <w:r>
              <w:rPr>
                <w:rFonts w:ascii="Arial" w:cs="Arial" w:eastAsia="Arial" w:hAnsi="Arial"/>
                <w:sz w:val="18"/>
                <w:szCs w:val="18"/>
                <w:color w:val="auto"/>
              </w:rPr>
              <w:t>Trade payables</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1,410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1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(11,096)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Cash flow from investing activities:</w:t>
            </w:r>
          </w:p>
        </w:tc>
        <w:tc>
          <w:tcPr>
            <w:tcW w:w="1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Purchase of property and equipment</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 in short-term bank deposit</w:t>
            </w:r>
          </w:p>
        </w:tc>
        <w:tc>
          <w:tcPr>
            <w:tcW w:w="1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Cash flow from financing activities:</w:t>
            </w:r>
          </w:p>
        </w:tc>
        <w:tc>
          <w:tcPr>
            <w:tcW w:w="1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Issuance of share capital upon initial public offering</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21,920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1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22,035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(15,183)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17,496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22,095</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17,593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Supplemental disclosure of non-cash activities:</w:t>
            </w:r>
          </w:p>
        </w:tc>
        <w:tc>
          <w:tcPr>
            <w:tcW w:w="1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Issuance of ordinary shares upon conversion of convertible notes</w:t>
            </w:r>
          </w:p>
        </w:tc>
        <w:tc>
          <w:tcPr>
            <w:tcW w:w="1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979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ind w:left="1340" w:hanging="319"/>
        <w:spacing w:after="0" w:line="277" w:lineRule="auto"/>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Alcobra Ltd. was incorporated in Israel and commenced its operation on February 7, 2008. During July 2013, a wholly-owned subsidiary was incorporated in the State of Delaware named Alcobra Inc. (the "Subsidiary").</w:t>
      </w:r>
    </w:p>
    <w:p>
      <w:pPr>
        <w:spacing w:after="0" w:line="170" w:lineRule="exact"/>
        <w:rPr>
          <w:rFonts w:ascii="Arial" w:cs="Arial" w:eastAsia="Arial" w:hAnsi="Arial"/>
          <w:sz w:val="18"/>
          <w:szCs w:val="18"/>
          <w:color w:val="auto"/>
        </w:rPr>
      </w:pPr>
    </w:p>
    <w:p>
      <w:pPr>
        <w:jc w:val="both"/>
        <w:ind w:left="1340" w:hanging="319"/>
        <w:spacing w:after="0" w:line="257" w:lineRule="auto"/>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Alcobra Ltd. and the Subsidiary (collectively "the Company") are an emerging biopharmaceutical company primarily focused on the development and commercialization of a proprietary drug candidate, to treat Attention Deficit Hyperactivity Disorder ("ADHD"), and other potential cognitive dysfunctions including Fragile X. The Company's objective is to conduct additional clinical trials for its drug called MDX (the "Drug") and, if those trials are successful, seek marketing approval from the U.S. Food and Drug Administration (the "FDA") and other worldwide regulatory bodies.</w:t>
      </w:r>
    </w:p>
    <w:p>
      <w:pPr>
        <w:spacing w:after="0" w:line="188" w:lineRule="exact"/>
        <w:rPr>
          <w:rFonts w:ascii="Arial" w:cs="Arial" w:eastAsia="Arial" w:hAnsi="Arial"/>
          <w:sz w:val="18"/>
          <w:szCs w:val="18"/>
          <w:color w:val="auto"/>
        </w:rPr>
      </w:pPr>
    </w:p>
    <w:p>
      <w:pPr>
        <w:jc w:val="both"/>
        <w:ind w:left="1340" w:hanging="319"/>
        <w:spacing w:after="0" w:line="257" w:lineRule="auto"/>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reflected in the accompanying unaudited interim consolidated financial statements, the Company has not generated revenue from the sale of any product, and does not expect to generate significant revenue unless and until obtaining of marketing approval and commercializing the Drug. The Company incurred a loss for the six month period ended June 30, 2014 of $15,546 and had a negative cash flow from operating activities of $11,096 during the six month period ended June 30, 2014. The accumulated deficit as of June 30, 2014 is $34,280.</w:t>
      </w:r>
    </w:p>
    <w:p>
      <w:pPr>
        <w:spacing w:after="0" w:line="18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tab/>
        <w:t>UNAUDITED INTERIM CONSOLIDATED FINANCIAL STATEMENTS</w:t>
      </w:r>
    </w:p>
    <w:p>
      <w:pPr>
        <w:spacing w:after="0" w:line="229" w:lineRule="exact"/>
        <w:rPr>
          <w:sz w:val="20"/>
          <w:szCs w:val="20"/>
          <w:color w:val="auto"/>
        </w:rPr>
      </w:pPr>
    </w:p>
    <w:p>
      <w:pPr>
        <w:jc w:val="both"/>
        <w:ind w:left="1020"/>
        <w:spacing w:after="0" w:line="257" w:lineRule="auto"/>
        <w:rPr>
          <w:sz w:val="20"/>
          <w:szCs w:val="20"/>
          <w:color w:val="auto"/>
        </w:rPr>
      </w:pPr>
      <w:r>
        <w:rPr>
          <w:rFonts w:ascii="Arial" w:cs="Arial" w:eastAsia="Arial" w:hAnsi="Arial"/>
          <w:sz w:val="18"/>
          <w:szCs w:val="18"/>
          <w:color w:val="auto"/>
        </w:rPr>
        <w:t>The accompanying unaudited interim consolidated financial statements have been prepared in accordance with accounting principles generally accepted in the United States (“U.S. GAAP”) for interim financial information. Accordingly, they do not include all the information and footnotes required by U.S. GAAP for complete consolidated financial statements. The Company believes that the disclosures are adequate to make the information presented not misleading. These consolidated financial statements should be read in conjunction with the 2013 annual consolidated financial statements and the notes thereto.</w:t>
      </w:r>
    </w:p>
    <w:p>
      <w:pPr>
        <w:spacing w:after="0" w:line="188"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Operating results for the six month period ended June 30, 2014 are not necessarily indicative of the results that may be expected for the year ended December 31,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tab/>
        <w:t>SIGNIFICANT ACCOUNTING POLICIES</w:t>
      </w:r>
    </w:p>
    <w:p>
      <w:pPr>
        <w:spacing w:after="0" w:line="229"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significant accounting policies applied in the annual consolidated financial statements of the Company as of December 31, 2013 are applied consistently in these consolidated financial statements. For further information, refer to the consolidated financial statements as of December 31, 2013.</w:t>
      </w:r>
    </w:p>
    <w:p>
      <w:pPr>
        <w:spacing w:after="0" w:line="181" w:lineRule="exact"/>
        <w:rPr>
          <w:sz w:val="20"/>
          <w:szCs w:val="20"/>
          <w:color w:val="auto"/>
        </w:rPr>
      </w:pPr>
    </w:p>
    <w:p>
      <w:pPr>
        <w:ind w:left="1340" w:hanging="319"/>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36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liabilities at the dates of the consolidated financial statements, and the reported amounts of expenses during the reporting period. Actual results could differ from those estimates.</w:t>
      </w:r>
    </w:p>
    <w:p>
      <w:pPr>
        <w:spacing w:after="0" w:line="1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4:-</w:t>
        <w:tab/>
        <w:t>CONTINGENT LIABILITIES AND COMMITMENTS</w:t>
      </w:r>
    </w:p>
    <w:p>
      <w:pPr>
        <w:spacing w:after="0" w:line="229" w:lineRule="exact"/>
        <w:rPr>
          <w:sz w:val="20"/>
          <w:szCs w:val="20"/>
          <w:color w:val="auto"/>
        </w:rPr>
      </w:pPr>
    </w:p>
    <w:p>
      <w:pPr>
        <w:ind w:left="1340" w:hanging="319"/>
        <w:spacing w:after="0" w:line="277"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engaged in two operating lease agreements for its facilities. Future minimum non-cancelable rental payments under the operating lease are $476.</w:t>
      </w:r>
    </w:p>
    <w:p>
      <w:pPr>
        <w:spacing w:after="0" w:line="170" w:lineRule="exact"/>
        <w:rPr>
          <w:rFonts w:ascii="Arial" w:cs="Arial" w:eastAsia="Arial" w:hAnsi="Arial"/>
          <w:sz w:val="18"/>
          <w:szCs w:val="18"/>
          <w:color w:val="auto"/>
        </w:rPr>
      </w:pPr>
    </w:p>
    <w:p>
      <w:pPr>
        <w:ind w:left="1340" w:hanging="319"/>
        <w:spacing w:after="0"/>
        <w:tabs>
          <w:tab w:leader="none" w:pos="1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has an operating lease agreement for its vehicles until 2017. Future minimum payments under the lease amounted to $18.</w:t>
      </w:r>
    </w:p>
    <w:p>
      <w:pPr>
        <w:spacing w:after="0" w:line="248" w:lineRule="exact"/>
        <w:rPr>
          <w:rFonts w:ascii="Arial" w:cs="Arial" w:eastAsia="Arial" w:hAnsi="Arial"/>
          <w:sz w:val="16"/>
          <w:szCs w:val="16"/>
          <w:color w:val="auto"/>
        </w:rPr>
      </w:pPr>
    </w:p>
    <w:p>
      <w:pPr>
        <w:ind w:left="1340" w:hanging="319"/>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70" w:lineRule="exact"/>
        <w:rPr>
          <w:rFonts w:ascii="Arial" w:cs="Arial" w:eastAsia="Arial" w:hAnsi="Arial"/>
          <w:sz w:val="18"/>
          <w:szCs w:val="18"/>
          <w:color w:val="auto"/>
        </w:rPr>
      </w:pPr>
    </w:p>
    <w:p>
      <w:pPr>
        <w:jc w:val="both"/>
        <w:ind w:left="1360"/>
        <w:spacing w:after="0" w:line="273" w:lineRule="auto"/>
        <w:rPr>
          <w:rFonts w:ascii="Arial" w:cs="Arial" w:eastAsia="Arial" w:hAnsi="Arial"/>
          <w:sz w:val="18"/>
          <w:szCs w:val="18"/>
          <w:color w:val="auto"/>
        </w:rPr>
      </w:pPr>
      <w:r>
        <w:rPr>
          <w:rFonts w:ascii="Arial" w:cs="Arial" w:eastAsia="Arial" w:hAnsi="Arial"/>
          <w:sz w:val="17"/>
          <w:szCs w:val="17"/>
          <w:color w:val="auto"/>
        </w:rPr>
        <w:t>In connection with its research and development, the Company received $106 of participation payments from the OCS through June 30, 2014.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$116 as of June 30, 2014. In addition, the OCS may impose certain conditions on any arrangement under which it permits the Company to transfer technology or development out of Israel.</w:t>
      </w:r>
    </w:p>
    <w:p>
      <w:pPr>
        <w:spacing w:after="0" w:line="394" w:lineRule="exact"/>
        <w:rPr>
          <w:rFonts w:ascii="Arial" w:cs="Arial" w:eastAsia="Arial" w:hAnsi="Arial"/>
          <w:sz w:val="18"/>
          <w:szCs w:val="18"/>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5:-</w:t>
        <w:tab/>
        <w:t>SHAREHOLDERS' EQUITY</w:t>
      </w:r>
    </w:p>
    <w:p>
      <w:pPr>
        <w:spacing w:after="0" w:line="229" w:lineRule="exact"/>
        <w:rPr>
          <w:sz w:val="20"/>
          <w:szCs w:val="20"/>
          <w:color w:val="auto"/>
        </w:rPr>
      </w:pPr>
    </w:p>
    <w:p>
      <w:pPr>
        <w:ind w:left="1520" w:hanging="499"/>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2010 incentive option plan (“2010 Plan”):</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760" w:type="dxa"/>
            <w:vAlign w:val="bottom"/>
            <w:gridSpan w:val="6"/>
          </w:tcPr>
          <w:p>
            <w:pPr>
              <w:ind w:left="120"/>
              <w:spacing w:after="0"/>
              <w:rPr>
                <w:sz w:val="20"/>
                <w:szCs w:val="20"/>
                <w:color w:val="auto"/>
              </w:rPr>
            </w:pPr>
            <w:r>
              <w:rPr>
                <w:rFonts w:ascii="Arial" w:cs="Arial" w:eastAsia="Arial" w:hAnsi="Arial"/>
                <w:sz w:val="18"/>
                <w:szCs w:val="18"/>
                <w:b w:val="1"/>
                <w:bCs w:val="1"/>
                <w:color w:val="auto"/>
                <w:w w:val="94"/>
              </w:rPr>
              <w:t>Six months ended June 30, 2014</w:t>
            </w:r>
          </w:p>
        </w:tc>
      </w:tr>
      <w:tr>
        <w:trPr>
          <w:trHeight w:val="191"/>
        </w:trPr>
        <w:tc>
          <w:tcPr>
            <w:tcW w:w="670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3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6"/>
              </w:rPr>
              <w:t>Weighted average</w:t>
            </w:r>
          </w:p>
        </w:tc>
        <w:tc>
          <w:tcPr>
            <w:tcW w:w="100" w:type="dxa"/>
            <w:vAlign w:val="bottom"/>
            <w:gridSpan w:val="2"/>
          </w:tcPr>
          <w:p>
            <w:pPr>
              <w:spacing w:after="0"/>
              <w:rPr>
                <w:sz w:val="16"/>
                <w:szCs w:val="16"/>
                <w:color w:val="auto"/>
              </w:rPr>
            </w:pPr>
          </w:p>
        </w:tc>
      </w:tr>
      <w:tr>
        <w:trPr>
          <w:trHeight w:val="234"/>
        </w:trPr>
        <w:tc>
          <w:tcPr>
            <w:tcW w:w="670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options</w:t>
            </w:r>
          </w:p>
        </w:tc>
        <w:tc>
          <w:tcPr>
            <w:tcW w:w="14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r>
      <w:tr>
        <w:trPr>
          <w:trHeight w:val="210"/>
        </w:trPr>
        <w:tc>
          <w:tcPr>
            <w:tcW w:w="67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805,300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80" w:type="dxa"/>
            <w:vAlign w:val="bottom"/>
            <w:shd w:val="clear" w:color="auto" w:fill="CCEEFF"/>
          </w:tcPr>
          <w:p>
            <w:pPr>
              <w:spacing w:after="0"/>
              <w:rPr>
                <w:sz w:val="18"/>
                <w:szCs w:val="18"/>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529,500</w:t>
            </w: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9"/>
                <w:szCs w:val="19"/>
                <w:color w:val="auto"/>
              </w:rPr>
            </w:pPr>
          </w:p>
        </w:tc>
      </w:tr>
      <w:tr>
        <w:trPr>
          <w:trHeight w:val="210"/>
        </w:trPr>
        <w:tc>
          <w:tcPr>
            <w:tcW w:w="67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670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1,334,800</w:t>
            </w:r>
          </w:p>
        </w:tc>
        <w:tc>
          <w:tcPr>
            <w:tcW w:w="14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12.12</w:t>
            </w:r>
          </w:p>
        </w:tc>
        <w:tc>
          <w:tcPr>
            <w:tcW w:w="80" w:type="dxa"/>
            <w:vAlign w:val="bottom"/>
          </w:tcPr>
          <w:p>
            <w:pPr>
              <w:spacing w:after="0"/>
              <w:rPr>
                <w:sz w:val="24"/>
                <w:szCs w:val="24"/>
                <w:color w:val="auto"/>
              </w:rPr>
            </w:pPr>
          </w:p>
        </w:tc>
      </w:tr>
      <w:tr>
        <w:trPr>
          <w:trHeight w:val="197"/>
        </w:trPr>
        <w:tc>
          <w:tcPr>
            <w:tcW w:w="67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6700" w:type="dxa"/>
            <w:vAlign w:val="bottom"/>
          </w:tcPr>
          <w:p>
            <w:pPr>
              <w:spacing w:after="0"/>
              <w:rPr>
                <w:sz w:val="20"/>
                <w:szCs w:val="20"/>
                <w:color w:val="auto"/>
              </w:rPr>
            </w:pPr>
            <w:r>
              <w:rPr>
                <w:rFonts w:ascii="Arial" w:cs="Arial" w:eastAsia="Arial" w:hAnsi="Arial"/>
                <w:sz w:val="18"/>
                <w:szCs w:val="18"/>
                <w:color w:val="auto"/>
              </w:rPr>
              <w:t>Vested and expected to vest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1,334,800</w:t>
            </w:r>
          </w:p>
        </w:tc>
        <w:tc>
          <w:tcPr>
            <w:tcW w:w="14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12.12</w:t>
            </w:r>
          </w:p>
        </w:tc>
        <w:tc>
          <w:tcPr>
            <w:tcW w:w="80" w:type="dxa"/>
            <w:vAlign w:val="bottom"/>
          </w:tcPr>
          <w:p>
            <w:pPr>
              <w:spacing w:after="0"/>
              <w:rPr>
                <w:sz w:val="24"/>
                <w:szCs w:val="24"/>
                <w:color w:val="auto"/>
              </w:rPr>
            </w:pPr>
          </w:p>
        </w:tc>
      </w:tr>
      <w:tr>
        <w:trPr>
          <w:trHeight w:val="197"/>
        </w:trPr>
        <w:tc>
          <w:tcPr>
            <w:tcW w:w="67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Options exercisable at the end of the period</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506,921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21"/>
                <w:szCs w:val="21"/>
                <w:color w:val="auto"/>
              </w:rPr>
            </w:pPr>
          </w:p>
        </w:tc>
      </w:tr>
      <w:tr>
        <w:trPr>
          <w:trHeight w:val="20"/>
        </w:trPr>
        <w:tc>
          <w:tcPr>
            <w:tcW w:w="6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The weighted average grant date fair value of options granted during the period ended June 30, 2014 was $13.16. As of June 30, 2014, the weighted-average remaining contractual term of the outstanding options is 8.04 years. As of June 30, 2014, the weighted-average remaining contractual term of the exercisable options is 6.96 years; the aggregated intrinsic value of outstanding options is $8,505 and the aggregated intrinsic value of exercisable options is $6,625. As of June 30, 2014, the unrecognized compensation cost is $1,804 and $1,813 to be recognized in 2014 and 2015,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SHAREHOLDERS' EQUITY (Cont.)</w:t>
      </w:r>
    </w:p>
    <w:p>
      <w:pPr>
        <w:spacing w:after="0" w:line="229" w:lineRule="exact"/>
        <w:rPr>
          <w:sz w:val="20"/>
          <w:szCs w:val="20"/>
          <w:color w:val="auto"/>
        </w:rPr>
      </w:pPr>
    </w:p>
    <w:p>
      <w:pPr>
        <w:ind w:left="1520" w:hanging="499"/>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 (Equity-Based Payments to Non-Employees).</w:t>
      </w:r>
    </w:p>
    <w:p>
      <w:pPr>
        <w:spacing w:after="0" w:line="17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outstanding options granted to the Company's consultants are as follows:</w:t>
      </w:r>
    </w:p>
    <w:p>
      <w:pPr>
        <w:spacing w:after="0" w:line="225"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Number of</w:t>
            </w:r>
          </w:p>
        </w:tc>
        <w:tc>
          <w:tcPr>
            <w:tcW w:w="2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Exercise</w:t>
            </w:r>
          </w:p>
        </w:tc>
        <w:tc>
          <w:tcPr>
            <w:tcW w:w="3300" w:type="dxa"/>
            <w:vAlign w:val="bottom"/>
          </w:tcPr>
          <w:p>
            <w:pPr>
              <w:spacing w:after="0"/>
              <w:rPr>
                <w:sz w:val="18"/>
                <w:szCs w:val="18"/>
                <w:color w:val="auto"/>
              </w:rPr>
            </w:pPr>
          </w:p>
        </w:tc>
      </w:tr>
      <w:tr>
        <w:trPr>
          <w:trHeight w:val="230"/>
        </w:trPr>
        <w:tc>
          <w:tcPr>
            <w:tcW w:w="3260" w:type="dxa"/>
            <w:vAlign w:val="bottom"/>
            <w:gridSpan w:val="2"/>
          </w:tcPr>
          <w:p>
            <w:pPr>
              <w:ind w:left="1200"/>
              <w:spacing w:after="0"/>
              <w:rPr>
                <w:sz w:val="20"/>
                <w:szCs w:val="20"/>
                <w:color w:val="auto"/>
              </w:rPr>
            </w:pPr>
            <w:r>
              <w:rPr>
                <w:rFonts w:ascii="Arial" w:cs="Arial" w:eastAsia="Arial" w:hAnsi="Arial"/>
                <w:sz w:val="18"/>
                <w:szCs w:val="18"/>
                <w:color w:val="auto"/>
              </w:rPr>
              <w:t>Grant date</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options</w:t>
            </w:r>
          </w:p>
        </w:tc>
        <w:tc>
          <w:tcPr>
            <w:tcW w:w="20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price</w:t>
            </w:r>
          </w:p>
        </w:tc>
        <w:tc>
          <w:tcPr>
            <w:tcW w:w="3300" w:type="dxa"/>
            <w:vAlign w:val="bottom"/>
          </w:tcPr>
          <w:p>
            <w:pPr>
              <w:ind w:left="1100"/>
              <w:spacing w:after="0"/>
              <w:rPr>
                <w:sz w:val="20"/>
                <w:szCs w:val="20"/>
                <w:color w:val="auto"/>
              </w:rPr>
            </w:pPr>
            <w:r>
              <w:rPr>
                <w:rFonts w:ascii="Arial" w:cs="Arial" w:eastAsia="Arial" w:hAnsi="Arial"/>
                <w:sz w:val="18"/>
                <w:szCs w:val="18"/>
                <w:color w:val="auto"/>
              </w:rPr>
              <w:t>Expiration date</w:t>
            </w:r>
          </w:p>
        </w:tc>
      </w:tr>
      <w:tr>
        <w:trPr>
          <w:trHeight w:val="210"/>
        </w:trPr>
        <w:tc>
          <w:tcPr>
            <w:tcW w:w="3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r>
      <w:tr>
        <w:trPr>
          <w:trHeight w:val="216"/>
        </w:trPr>
        <w:tc>
          <w:tcPr>
            <w:tcW w:w="32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February 28, 2010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2.1840</w:t>
            </w:r>
          </w:p>
        </w:tc>
        <w:tc>
          <w:tcPr>
            <w:tcW w:w="33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February 28, 2020</w:t>
            </w:r>
          </w:p>
        </w:tc>
      </w:tr>
      <w:tr>
        <w:trPr>
          <w:trHeight w:val="216"/>
        </w:trPr>
        <w:tc>
          <w:tcPr>
            <w:tcW w:w="3260" w:type="dxa"/>
            <w:vAlign w:val="bottom"/>
            <w:gridSpan w:val="2"/>
          </w:tcPr>
          <w:p>
            <w:pPr>
              <w:ind w:left="960"/>
              <w:spacing w:after="0"/>
              <w:rPr>
                <w:sz w:val="20"/>
                <w:szCs w:val="20"/>
                <w:color w:val="auto"/>
              </w:rPr>
            </w:pPr>
            <w:r>
              <w:rPr>
                <w:rFonts w:ascii="Arial" w:cs="Arial" w:eastAsia="Arial" w:hAnsi="Arial"/>
                <w:sz w:val="18"/>
                <w:szCs w:val="18"/>
                <w:color w:val="auto"/>
              </w:rPr>
              <w:t>February 13, 2011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1,174</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0.0005</w:t>
            </w:r>
          </w:p>
        </w:tc>
        <w:tc>
          <w:tcPr>
            <w:tcW w:w="3300" w:type="dxa"/>
            <w:vAlign w:val="bottom"/>
          </w:tcPr>
          <w:p>
            <w:pPr>
              <w:ind w:left="1020"/>
              <w:spacing w:after="0"/>
              <w:rPr>
                <w:sz w:val="20"/>
                <w:szCs w:val="20"/>
                <w:color w:val="auto"/>
              </w:rPr>
            </w:pPr>
            <w:r>
              <w:rPr>
                <w:rFonts w:ascii="Arial" w:cs="Arial" w:eastAsia="Arial" w:hAnsi="Arial"/>
                <w:sz w:val="18"/>
                <w:szCs w:val="18"/>
                <w:color w:val="auto"/>
              </w:rPr>
              <w:t>February 13, 2021</w:t>
            </w:r>
          </w:p>
        </w:tc>
      </w:tr>
      <w:tr>
        <w:trPr>
          <w:trHeight w:val="230"/>
        </w:trPr>
        <w:tc>
          <w:tcPr>
            <w:tcW w:w="32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February 17, 2011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0.0005</w:t>
            </w:r>
          </w:p>
        </w:tc>
        <w:tc>
          <w:tcPr>
            <w:tcW w:w="33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February 17, 2021</w:t>
            </w:r>
          </w:p>
        </w:tc>
      </w:tr>
    </w:tbl>
    <w:p>
      <w:pPr>
        <w:spacing w:after="0" w:line="202"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13,783*)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601154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11545" cy="180340"/>
                    </a:xfrm>
                    <a:prstGeom prst="rect">
                      <a:avLst/>
                    </a:prstGeom>
                    <a:noFill/>
                  </pic:spPr>
                </pic:pic>
              </a:graphicData>
            </a:graphic>
          </wp:anchor>
        </w:drawing>
      </w:r>
    </w:p>
    <w:p>
      <w:pPr>
        <w:spacing w:after="0" w:line="27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All options were fully vested on grant date.</w:t>
      </w:r>
    </w:p>
    <w:p>
      <w:pPr>
        <w:spacing w:after="0" w:line="225" w:lineRule="exact"/>
        <w:rPr>
          <w:sz w:val="20"/>
          <w:szCs w:val="20"/>
          <w:color w:val="auto"/>
        </w:rPr>
      </w:pPr>
    </w:p>
    <w:p>
      <w:pPr>
        <w:ind w:left="1520" w:hanging="499"/>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Warrants granted to underwriters: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outstanding warrants granted to the Company's underwriters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Exercise</w:t>
            </w: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3320" w:type="dxa"/>
            <w:vAlign w:val="bottom"/>
            <w:gridSpan w:val="2"/>
          </w:tcPr>
          <w:p>
            <w:pPr>
              <w:ind w:left="1180"/>
              <w:spacing w:after="0"/>
              <w:rPr>
                <w:sz w:val="20"/>
                <w:szCs w:val="20"/>
                <w:color w:val="auto"/>
              </w:rPr>
            </w:pPr>
            <w:r>
              <w:rPr>
                <w:rFonts w:ascii="Arial" w:cs="Arial" w:eastAsia="Arial" w:hAnsi="Arial"/>
                <w:sz w:val="18"/>
                <w:szCs w:val="18"/>
                <w:b w:val="1"/>
                <w:bCs w:val="1"/>
                <w:color w:val="auto"/>
              </w:rPr>
              <w:t>Grant date</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warrants</w:t>
            </w:r>
          </w:p>
        </w:tc>
        <w:tc>
          <w:tcPr>
            <w:tcW w:w="18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price</w:t>
            </w: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420" w:type="dxa"/>
            <w:vAlign w:val="bottom"/>
          </w:tcPr>
          <w:p>
            <w:pPr>
              <w:spacing w:after="0"/>
              <w:rPr>
                <w:sz w:val="20"/>
                <w:szCs w:val="20"/>
                <w:color w:val="auto"/>
              </w:rPr>
            </w:pPr>
          </w:p>
        </w:tc>
      </w:tr>
      <w:tr>
        <w:trPr>
          <w:trHeight w:val="210"/>
        </w:trPr>
        <w:tc>
          <w:tcPr>
            <w:tcW w:w="1540" w:type="dxa"/>
            <w:vAlign w:val="bottom"/>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28, 2013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52,083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28, 2015</w:t>
            </w:r>
          </w:p>
        </w:tc>
        <w:tc>
          <w:tcPr>
            <w:tcW w:w="4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May 28, 2013</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52,083</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16.00</w:t>
            </w:r>
          </w:p>
        </w:tc>
        <w:tc>
          <w:tcPr>
            <w:tcW w:w="3300" w:type="dxa"/>
            <w:vAlign w:val="bottom"/>
          </w:tcPr>
          <w:p>
            <w:pPr>
              <w:jc w:val="center"/>
              <w:spacing w:after="0"/>
              <w:rPr>
                <w:sz w:val="20"/>
                <w:szCs w:val="20"/>
                <w:color w:val="auto"/>
              </w:rPr>
            </w:pPr>
            <w:r>
              <w:rPr>
                <w:rFonts w:ascii="Arial" w:cs="Arial" w:eastAsia="Arial" w:hAnsi="Arial"/>
                <w:sz w:val="18"/>
                <w:szCs w:val="18"/>
                <w:color w:val="auto"/>
                <w:w w:val="91"/>
              </w:rPr>
              <w:t>November 28, 2015</w:t>
            </w:r>
          </w:p>
        </w:tc>
        <w:tc>
          <w:tcPr>
            <w:tcW w:w="420" w:type="dxa"/>
            <w:vAlign w:val="bottom"/>
          </w:tcPr>
          <w:p>
            <w:pPr>
              <w:spacing w:after="0"/>
              <w:rPr>
                <w:sz w:val="18"/>
                <w:szCs w:val="18"/>
                <w:color w:val="auto"/>
              </w:rPr>
            </w:pPr>
          </w:p>
        </w:tc>
      </w:tr>
      <w:tr>
        <w:trPr>
          <w:trHeight w:val="230"/>
        </w:trPr>
        <w:tc>
          <w:tcPr>
            <w:tcW w:w="154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28, 2013</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52,084</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28, 2016</w:t>
            </w:r>
          </w:p>
        </w:tc>
        <w:tc>
          <w:tcPr>
            <w:tcW w:w="420" w:type="dxa"/>
            <w:vAlign w:val="bottom"/>
          </w:tcPr>
          <w:p>
            <w:pPr>
              <w:spacing w:after="0"/>
              <w:rPr>
                <w:sz w:val="19"/>
                <w:szCs w:val="19"/>
                <w:color w:val="auto"/>
              </w:rPr>
            </w:pPr>
          </w:p>
        </w:tc>
      </w:tr>
      <w:tr>
        <w:trPr>
          <w:trHeight w:val="210"/>
        </w:trPr>
        <w:tc>
          <w:tcPr>
            <w:tcW w:w="15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43"/>
        </w:trPr>
        <w:tc>
          <w:tcPr>
            <w:tcW w:w="1540" w:type="dxa"/>
            <w:vAlign w:val="bottom"/>
          </w:tcPr>
          <w:p>
            <w:pPr>
              <w:spacing w:after="0"/>
              <w:rPr>
                <w:sz w:val="21"/>
                <w:szCs w:val="21"/>
                <w:color w:val="auto"/>
              </w:rPr>
            </w:pPr>
          </w:p>
        </w:tc>
        <w:tc>
          <w:tcPr>
            <w:tcW w:w="3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156,250</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636"/>
        </w:trPr>
        <w:tc>
          <w:tcPr>
            <w:tcW w:w="15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- 10 -</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5:-</w:t>
        <w:tab/>
        <w:t>SHAREHOLDERS' EQUITY(Cont.)</w:t>
      </w:r>
    </w:p>
    <w:p>
      <w:pPr>
        <w:spacing w:after="0" w:line="229" w:lineRule="exact"/>
        <w:rPr>
          <w:sz w:val="20"/>
          <w:szCs w:val="20"/>
          <w:color w:val="auto"/>
        </w:rPr>
      </w:pPr>
    </w:p>
    <w:p>
      <w:pPr>
        <w:ind w:left="1520" w:hanging="499"/>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share based expense recognized in the consolidated financial statements for services received from employees and non-employees is shown in the following table:</w:t>
      </w:r>
    </w:p>
    <w:p>
      <w:pPr>
        <w:spacing w:after="0" w:line="166"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5715</wp:posOffset>
            </wp:positionV>
            <wp:extent cx="14408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601154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Pre-commercialization expenses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-130810</wp:posOffset>
            </wp:positionV>
            <wp:extent cx="601154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11545" cy="14605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160020</wp:posOffset>
            </wp:positionV>
            <wp:extent cx="60115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1154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RELATED PARTY BALANCES AND TRANSACTIONS</w:t>
      </w:r>
    </w:p>
    <w:p>
      <w:pPr>
        <w:spacing w:after="0" w:line="22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Balances with related parties:</w:t>
      </w:r>
    </w:p>
    <w:p>
      <w:pPr>
        <w:spacing w:after="0" w:line="20" w:lineRule="exact"/>
        <w:rPr>
          <w:sz w:val="20"/>
          <w:szCs w:val="20"/>
          <w:color w:val="auto"/>
        </w:rPr>
      </w:pPr>
      <w:r>
        <w:rPr>
          <w:sz w:val="20"/>
          <w:szCs w:val="20"/>
          <w:color w:val="auto"/>
        </w:rPr>
        <w:br w:type="column"/>
      </w:r>
    </w:p>
    <w:p>
      <w:pPr>
        <w:ind w:left="400"/>
        <w:spacing w:after="0"/>
        <w:tabs>
          <w:tab w:leader="none" w:pos="162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14605</wp:posOffset>
            </wp:positionV>
            <wp:extent cx="1440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36830</wp:posOffset>
            </wp:positionH>
            <wp:positionV relativeFrom="paragraph">
              <wp:posOffset>-130810</wp:posOffset>
            </wp:positionV>
            <wp:extent cx="14408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1,015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294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967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567</w:t>
            </w:r>
          </w:p>
        </w:tc>
      </w:tr>
      <w:tr>
        <w:trPr>
          <w:trHeight w:val="20"/>
        </w:trPr>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r>
      <w:tr>
        <w:trPr>
          <w:trHeight w:val="45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2,276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744</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2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2013</w:t>
            </w:r>
          </w:p>
        </w:tc>
      </w:tr>
      <w:tr>
        <w:trPr>
          <w:trHeight w:val="210"/>
        </w:trPr>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877"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54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payable</w:t>
            </w:r>
          </w:p>
        </w:tc>
        <w:tc>
          <w:tcPr>
            <w:tcW w:w="4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23</w:t>
            </w:r>
          </w:p>
        </w:tc>
        <w:tc>
          <w:tcPr>
            <w:tcW w:w="1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Related parties' expenses:</w:t>
            </w:r>
          </w:p>
        </w:tc>
        <w:tc>
          <w:tcPr>
            <w:tcW w:w="3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5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87"/>
              </w:rPr>
              <w:t>Six months ended</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5"/>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28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ind w:left="410"/>
              <w:spacing w:after="0"/>
              <w:rPr>
                <w:sz w:val="20"/>
                <w:szCs w:val="20"/>
                <w:color w:val="auto"/>
              </w:rPr>
            </w:pPr>
            <w:r>
              <w:rPr>
                <w:rFonts w:ascii="Arial" w:cs="Arial" w:eastAsia="Arial" w:hAnsi="Arial"/>
                <w:sz w:val="18"/>
                <w:szCs w:val="18"/>
                <w:b w:val="1"/>
                <w:bCs w:val="1"/>
                <w:color w:val="auto"/>
                <w:w w:val="90"/>
              </w:rPr>
              <w:t>Unaudited</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Amounts charged to:</w:t>
            </w:r>
          </w:p>
        </w:tc>
        <w:tc>
          <w:tcPr>
            <w:tcW w:w="3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4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86"/>
              </w:rPr>
              <w:t>341</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3280" w:type="dxa"/>
            <w:vAlign w:val="bottom"/>
            <w:shd w:val="clear" w:color="auto" w:fill="CCEEFF"/>
          </w:tcPr>
          <w:p>
            <w:pPr>
              <w:spacing w:after="0"/>
              <w:rPr>
                <w:sz w:val="21"/>
                <w:szCs w:val="21"/>
                <w:color w:val="auto"/>
              </w:rPr>
            </w:pPr>
          </w:p>
        </w:tc>
        <w:tc>
          <w:tcPr>
            <w:tcW w:w="4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86"/>
              </w:rPr>
              <w:t>341</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Arial" w:cs="Arial" w:eastAsia="Arial" w:hAnsi="Arial"/>
                <w:sz w:val="18"/>
                <w:szCs w:val="18"/>
                <w:color w:val="auto"/>
              </w:rPr>
              <w:t>- 11 -</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15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NOTE 7:-   FINANCIAL EXPENSES, NET</w:t>
            </w:r>
          </w:p>
        </w:tc>
        <w:tc>
          <w:tcPr>
            <w:tcW w:w="2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6"/>
          </w:tcPr>
          <w:p>
            <w:pPr>
              <w:ind w:left="2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 rate</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Convertible notes expenses</w:t>
            </w:r>
          </w:p>
        </w:tc>
        <w:tc>
          <w:tcPr>
            <w:tcW w:w="2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2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SUBSEQUENT EVENTS</w:t>
            </w:r>
          </w:p>
        </w:tc>
        <w:tc>
          <w:tcPr>
            <w:tcW w:w="2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20" w:hanging="378"/>
        <w:spacing w:after="0" w:line="277" w:lineRule="auto"/>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July 14, 2014, the Company filed a shelf registration statement with the U.S. Securities and Exchange Commission, of up to $100,000 of the Company Ordinary Shares, NIS 0.01 par value, which was declared effective on August 1, 2014.</w:t>
      </w:r>
    </w:p>
    <w:p>
      <w:pPr>
        <w:spacing w:after="0" w:line="197" w:lineRule="exact"/>
        <w:rPr>
          <w:rFonts w:ascii="Arial" w:cs="Arial" w:eastAsia="Arial" w:hAnsi="Arial"/>
          <w:sz w:val="18"/>
          <w:szCs w:val="18"/>
          <w:color w:val="auto"/>
        </w:rPr>
      </w:pPr>
    </w:p>
    <w:p>
      <w:pPr>
        <w:ind w:left="1540" w:hanging="384"/>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On December 16, 2014 the Board of Directors of the Company adopted the following resolutions:</w:t>
      </w:r>
    </w:p>
    <w:p>
      <w:pPr>
        <w:spacing w:after="0" w:line="225" w:lineRule="exact"/>
        <w:rPr>
          <w:rFonts w:ascii="Arial" w:cs="Arial" w:eastAsia="Arial" w:hAnsi="Arial"/>
          <w:sz w:val="18"/>
          <w:szCs w:val="18"/>
          <w:color w:val="auto"/>
        </w:rPr>
      </w:pPr>
    </w:p>
    <w:p>
      <w:pPr>
        <w:ind w:left="1920" w:hanging="386"/>
        <w:spacing w:after="0"/>
        <w:tabs>
          <w:tab w:leader="none" w:pos="1920" w:val="left"/>
        </w:tabs>
        <w:numPr>
          <w:ilvl w:val="2"/>
          <w:numId w:val="8"/>
        </w:numPr>
        <w:rPr>
          <w:rFonts w:ascii="Arial" w:cs="Arial" w:eastAsia="Arial" w:hAnsi="Arial"/>
          <w:sz w:val="17"/>
          <w:szCs w:val="17"/>
          <w:color w:val="auto"/>
        </w:rPr>
      </w:pPr>
      <w:r>
        <w:rPr>
          <w:rFonts w:ascii="Arial" w:cs="Arial" w:eastAsia="Arial" w:hAnsi="Arial"/>
          <w:sz w:val="17"/>
          <w:szCs w:val="17"/>
          <w:color w:val="auto"/>
        </w:rPr>
        <w:t>Approval to increase the shares reserved for issuance upon exercise of options granted under the 2010 Plan by 232,500.</w:t>
      </w:r>
    </w:p>
    <w:p>
      <w:pPr>
        <w:spacing w:after="0" w:line="34" w:lineRule="exact"/>
        <w:rPr>
          <w:rFonts w:ascii="Arial" w:cs="Arial" w:eastAsia="Arial" w:hAnsi="Arial"/>
          <w:sz w:val="17"/>
          <w:szCs w:val="17"/>
          <w:color w:val="auto"/>
        </w:rPr>
      </w:pPr>
    </w:p>
    <w:p>
      <w:pPr>
        <w:jc w:val="both"/>
        <w:ind w:left="1920" w:hanging="386"/>
        <w:spacing w:after="0" w:line="250" w:lineRule="auto"/>
        <w:tabs>
          <w:tab w:leader="none" w:pos="1920" w:val="left"/>
        </w:tabs>
        <w:numPr>
          <w:ilvl w:val="2"/>
          <w:numId w:val="8"/>
        </w:numPr>
        <w:rPr>
          <w:rFonts w:ascii="Arial" w:cs="Arial" w:eastAsia="Arial" w:hAnsi="Arial"/>
          <w:sz w:val="18"/>
          <w:szCs w:val="18"/>
          <w:color w:val="auto"/>
        </w:rPr>
      </w:pPr>
      <w:r>
        <w:rPr>
          <w:rFonts w:ascii="Arial" w:cs="Arial" w:eastAsia="Arial" w:hAnsi="Arial"/>
          <w:sz w:val="18"/>
          <w:szCs w:val="18"/>
          <w:color w:val="auto"/>
        </w:rPr>
        <w:t>Approval of the grant by the Company (the "New Grant"), subject to the terms and condition of the 2010 Plan, of options to purchase 604,845 of the Company's Ordinary Shares, NIS 0.01 per share, at an exercise price of $3.29 per share subject to four year vesting.</w:t>
      </w:r>
    </w:p>
    <w:p>
      <w:pPr>
        <w:spacing w:after="0" w:line="1" w:lineRule="exact"/>
        <w:rPr>
          <w:rFonts w:ascii="Arial" w:cs="Arial" w:eastAsia="Arial" w:hAnsi="Arial"/>
          <w:sz w:val="18"/>
          <w:szCs w:val="18"/>
          <w:color w:val="auto"/>
        </w:rPr>
      </w:pPr>
    </w:p>
    <w:p>
      <w:pPr>
        <w:ind w:left="1920" w:hanging="386"/>
        <w:spacing w:after="0"/>
        <w:tabs>
          <w:tab w:leader="none" w:pos="1920" w:val="left"/>
        </w:tabs>
        <w:numPr>
          <w:ilvl w:val="2"/>
          <w:numId w:val="8"/>
        </w:numPr>
        <w:rPr>
          <w:rFonts w:ascii="Arial" w:cs="Arial" w:eastAsia="Arial" w:hAnsi="Arial"/>
          <w:sz w:val="18"/>
          <w:szCs w:val="18"/>
          <w:color w:val="auto"/>
        </w:rPr>
      </w:pPr>
      <w:r>
        <w:rPr>
          <w:rFonts w:ascii="Arial" w:cs="Arial" w:eastAsia="Arial" w:hAnsi="Arial"/>
          <w:sz w:val="18"/>
          <w:szCs w:val="18"/>
          <w:color w:val="auto"/>
        </w:rPr>
        <w:t>Approval of the cancellation of 372,345 unvested options to certain officers as part of the New Grant.</w:t>
      </w:r>
    </w:p>
    <w:p>
      <w:pPr>
        <w:spacing w:after="0" w:line="210" w:lineRule="exact"/>
        <w:rPr>
          <w:rFonts w:ascii="Arial" w:cs="Arial" w:eastAsia="Arial" w:hAnsi="Arial"/>
          <w:sz w:val="18"/>
          <w:szCs w:val="18"/>
          <w:color w:val="auto"/>
        </w:rPr>
      </w:pPr>
    </w:p>
    <w:p>
      <w:pPr>
        <w:jc w:val="both"/>
        <w:ind w:left="1540" w:hanging="384"/>
        <w:spacing w:after="0" w:line="276" w:lineRule="auto"/>
        <w:tabs>
          <w:tab w:leader="none" w:pos="1540" w:val="left"/>
        </w:tabs>
        <w:numPr>
          <w:ilvl w:val="1"/>
          <w:numId w:val="8"/>
        </w:numPr>
        <w:rPr>
          <w:rFonts w:ascii="Arial" w:cs="Arial" w:eastAsia="Arial" w:hAnsi="Arial"/>
          <w:sz w:val="17"/>
          <w:szCs w:val="17"/>
          <w:color w:val="auto"/>
        </w:rPr>
      </w:pPr>
      <w:r>
        <w:rPr>
          <w:rFonts w:ascii="Arial" w:cs="Arial" w:eastAsia="Arial" w:hAnsi="Arial"/>
          <w:sz w:val="17"/>
          <w:szCs w:val="17"/>
          <w:color w:val="auto"/>
        </w:rPr>
        <w:t>On November 14, 2014, a securities class action was filed in the United States District Court for the Southern District of New York against the Company and certain of its current and former executive officers. The main allegation is that the Company issued false and misleading analyst reports and ratings about the business operations which resulted in artificial inflation of the value of the Company's securities. The complaints alleged violation of Sections 10(b) and 20(a) of the Securities Exchange Act of 1934. The Company has not been served and at this preliminary stage cannot assess the exposure under such complaint.</w:t>
      </w:r>
    </w:p>
    <w:p>
      <w:pPr>
        <w:spacing w:after="0" w:line="388" w:lineRule="exact"/>
        <w:rPr>
          <w:rFonts w:ascii="Arial" w:cs="Arial" w:eastAsia="Arial" w:hAnsi="Arial"/>
          <w:sz w:val="17"/>
          <w:szCs w:val="17"/>
          <w:color w:val="auto"/>
        </w:rPr>
      </w:pPr>
    </w:p>
    <w:p>
      <w:pPr>
        <w:ind w:left="5620" w:hanging="101"/>
        <w:spacing w:after="0"/>
        <w:tabs>
          <w:tab w:leader="none" w:pos="5620" w:val="left"/>
        </w:tabs>
        <w:numPr>
          <w:ilvl w:val="3"/>
          <w:numId w:val="8"/>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discussion and analysis of the financial condition and results of operations of Alcobra Ltd., us, we, or our, should be read in conjunction with our audited consolidated financial statements and the related notes included in our Annual Report on Form 20-F for the year ended December 31, 2013, filed with the Securities and Exchange Commission, or the SEC, on March 28, 2014, as well as our unaudited consolidated financial statements and the related notes thereto for the six months ended June 30, 2014, filed with the SEC on January 8, 2015. The discussion below contains forward-looking statements that are based upon our current expectations and are subject to uncertainty and changes in circumstances. Actual results may differ materially from these expectations due to inaccurate assumptions and known or unknown risks and uncertainties.</w:t>
      </w:r>
    </w:p>
    <w:p>
      <w:pPr>
        <w:spacing w:after="0" w:line="178" w:lineRule="exact"/>
        <w:rPr>
          <w:sz w:val="20"/>
          <w:szCs w:val="20"/>
          <w:color w:val="auto"/>
        </w:rPr>
      </w:pPr>
    </w:p>
    <w:p>
      <w:pPr>
        <w:jc w:val="both"/>
        <w:ind w:right="20" w:firstLine="630"/>
        <w:spacing w:after="0" w:line="277"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our proprietary oral drug candidate, MDX, to treat Attention Deficit Hyperactivity Disorder (ADHD) and other cognitive dysfunctions including Fragile X Syndrome.</w:t>
      </w:r>
    </w:p>
    <w:p>
      <w:pPr>
        <w:spacing w:after="0" w:line="170" w:lineRule="exact"/>
        <w:rPr>
          <w:sz w:val="20"/>
          <w:szCs w:val="20"/>
          <w:color w:val="auto"/>
        </w:rPr>
      </w:pPr>
    </w:p>
    <w:p>
      <w:pPr>
        <w:jc w:val="both"/>
        <w:ind w:firstLine="630"/>
        <w:spacing w:after="0" w:line="285" w:lineRule="auto"/>
        <w:rPr>
          <w:sz w:val="20"/>
          <w:szCs w:val="20"/>
          <w:color w:val="auto"/>
        </w:rPr>
      </w:pPr>
      <w:r>
        <w:rPr>
          <w:rFonts w:ascii="Arial" w:cs="Arial" w:eastAsia="Arial" w:hAnsi="Arial"/>
          <w:sz w:val="16"/>
          <w:szCs w:val="16"/>
          <w:color w:val="auto"/>
        </w:rPr>
        <w:t>This discussion contains “forward-looking statements” within the meaning of the Private Securities Litigation Reform Act of 1995 and other U.S. Federal securities laws. These forward-looking statements include, but are not limited to, those statements regarding anticipated expenses, capital requirements and our needs for additional financing; timing, design, the initiation and successful completion of the clinical trials we are or anticipate conducting, if at all; U.S. Food and Drug Administration approval of, or other regulatory action in the United States and elsewhere, with respect to MDX; the commercial launch and future sales of MDX or any other future products or product candidates; our ability to achieve favorable pricing for MDX; and our expectations regarding licensing, acquisitions and strategic operations. 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in this discussion would be interpreted differently in light of additional research and clinical and preclinical trials results. The forward-looking statements contained in this discussion are subject to risks and uncertainties, included in our most recent Annual Report on Form 20-F, under Item 3.D. – “Risk Factors” and in our other filings with the SEC. You are cautioned not to place undue reliance on these forward looking statements, which speak only as of the date hereof. Although we believe that the expectations reflected in the forward-looking statements are reasonable, we cannot guarantee future results, levels of activity, performance, or achievements. Except as otherwise required by law, we are under no obligation to (and expressly disclaim any such obligation to) update or revise any of the forward-looking statements, whether as a result of new information, future events or otherwise, after the date of this discussion.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current operating expenses consist of three components – research and development expenses, pre-commercialization expenses and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research and development expenses consist primarily of expenses related to third party clinical consultants and expenses related to conducting clinical and preclinical trials, salaries and related personnel expenses, share-based compensation expenses, travel expenses and other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color w:val="auto"/>
        </w:rPr>
        <w:t>The following table discloses the breakdown of research and development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7"/>
          </w:tcPr>
          <w:p>
            <w:pPr>
              <w:ind w:left="80"/>
              <w:spacing w:after="0"/>
              <w:rPr>
                <w:sz w:val="20"/>
                <w:szCs w:val="20"/>
                <w:color w:val="auto"/>
              </w:rPr>
            </w:pPr>
            <w:r>
              <w:rPr>
                <w:rFonts w:ascii="Arial" w:cs="Arial" w:eastAsia="Arial" w:hAnsi="Arial"/>
                <w:sz w:val="18"/>
                <w:szCs w:val="18"/>
                <w:b w:val="1"/>
                <w:bCs w:val="1"/>
                <w:color w:val="auto"/>
                <w:w w:val="93"/>
              </w:rPr>
              <w:t>Six months ended June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5"/>
              <w:spacing w:after="0"/>
              <w:rPr>
                <w:sz w:val="20"/>
                <w:szCs w:val="20"/>
                <w:color w:val="auto"/>
              </w:rPr>
            </w:pPr>
            <w:r>
              <w:rPr>
                <w:rFonts w:ascii="Arial" w:cs="Arial" w:eastAsia="Arial" w:hAnsi="Arial"/>
                <w:sz w:val="18"/>
                <w:szCs w:val="18"/>
                <w:b w:val="1"/>
                <w:bCs w:val="1"/>
                <w:color w:val="auto"/>
              </w:rPr>
              <w:t>30,</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Cost of third party clinical consultants and expenses related to conducting clinical</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Salaries and related personnel expenses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11,440</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Pre-commercialization expenses</w:t>
      </w:r>
    </w:p>
    <w:p>
      <w:pPr>
        <w:spacing w:after="0" w:line="22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Pre-commercialization expenses consist primarily salary and related expenses, share-based compensation expense and professional services fees in connection with business development and market research for the company's product.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discloses the breakdown of pre-commercialization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7"/>
          </w:tcPr>
          <w:p>
            <w:pPr>
              <w:ind w:left="80"/>
              <w:spacing w:after="0"/>
              <w:rPr>
                <w:sz w:val="20"/>
                <w:szCs w:val="20"/>
                <w:color w:val="auto"/>
              </w:rPr>
            </w:pPr>
            <w:r>
              <w:rPr>
                <w:rFonts w:ascii="Arial" w:cs="Arial" w:eastAsia="Arial" w:hAnsi="Arial"/>
                <w:sz w:val="18"/>
                <w:szCs w:val="18"/>
                <w:b w:val="1"/>
                <w:bCs w:val="1"/>
                <w:color w:val="auto"/>
                <w:w w:val="93"/>
              </w:rPr>
              <w:t>Six months ended June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5"/>
              <w:spacing w:after="0"/>
              <w:rPr>
                <w:sz w:val="20"/>
                <w:szCs w:val="20"/>
                <w:color w:val="auto"/>
              </w:rPr>
            </w:pPr>
            <w:r>
              <w:rPr>
                <w:rFonts w:ascii="Arial" w:cs="Arial" w:eastAsia="Arial" w:hAnsi="Arial"/>
                <w:sz w:val="18"/>
                <w:szCs w:val="18"/>
                <w:b w:val="1"/>
                <w:bCs w:val="1"/>
                <w:color w:val="auto"/>
              </w:rPr>
              <w:t>30,</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related personnel expenses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personnel expenses, travel expenses share-based compensation expense, professional service fees for accounting, legal and bookkeeping and other general and administrative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discloses the breakdown of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1"/>
              </w:rPr>
              <w:t>Six months ended June</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5"/>
              <w:spacing w:after="0"/>
              <w:rPr>
                <w:sz w:val="20"/>
                <w:szCs w:val="20"/>
                <w:color w:val="auto"/>
              </w:rPr>
            </w:pPr>
            <w:r>
              <w:rPr>
                <w:rFonts w:ascii="Arial" w:cs="Arial" w:eastAsia="Arial" w:hAnsi="Arial"/>
                <w:sz w:val="18"/>
                <w:szCs w:val="18"/>
                <w:b w:val="1"/>
                <w:bCs w:val="1"/>
                <w:color w:val="auto"/>
              </w:rPr>
              <w:t>30,</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907</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related personnel expenses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w:t>
            </w: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60" w:type="dxa"/>
            <w:vAlign w:val="bottom"/>
            <w:tcBorders>
              <w:bottom w:val="single" w:sz="8" w:color="auto"/>
            </w:tcBorders>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98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8"/>
              </w:rPr>
              <w:t>Six months ended June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7"/>
              </w:rPr>
              <w:t>30,</w:t>
            </w: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4"/>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(in thousands of U.S.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2"/>
              </w:rPr>
              <w:t>dollars)</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11,440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Pre-commercialization expenses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3,137</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15,666</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 (Income),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 on income</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holders of ordinary shares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2014 to the Six Months ended June 30,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Our research and development expenses for the six months ended June 30, 2014 amounted to $11,440,000, representing an increase of $11,044,000, or 2,789%, compared to $396,000 for the six months ended June 30, 2013. The increase is primarily due to an increase in third party clinical consultants expenses and expenses related to conducting clinical trials in an amount of $9,334,000, an increase of $596,000 in salaries and related personnel expenses reflecting an increase in the number of employees and salary increases, and an increase of $837,000 for share-based compensation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Pre-commercialization expenses</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Our pre-commercialization expenses for the six months ended June 30, 2014 amounted to $1,089,000. The pre-commercialization expenses are related mainly to business development and market research activities for the company's product. We did not have any pre-commercialization expenses during the six months ended June 30, 2013 because we did not commence pre-commercialization activities until January,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general and administrative expenses totaled $3,137,000 for the six months ended June 30, 2014, an increase of $2,023,000, or 182%, compared to $1,114,000 for the six months ended June 30, 2013. The increase resulted primarily from an increase of $400,000 in share-based compensation expenses, an increase of $674,000 in salaries and related personnel expenses, an increase of $702,000 in professional services, and an increase of $107,000 in travel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 result of the foregoing, our operating loss for the six months ended June 30, 2014 was $15,666,000, as compared to an operating loss of $1,510,000 for the six months ended June 30, 2013, an increase of $14,156,000, or 937%.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 and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recognized financial income of $135,000 for the six months ended June 30, 2014, representing an increase of $341,000, compared to financial expenses of $206,000 for the six months ended June 30, 2013. The financial income is related mainly to interest on deposits during 2014. We recognized financial expenses of $206,000 for the six months ended June 30, 2013 primarily from convertible notes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Expenses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recognized $15,000 of tax expenses for the six months ended June 30, 2014, which are the tax liabilities of our wholly owned subsidiary, Alcobra Inc. resulting from services Alcobra Inc. provides us in accordance with an arms’ length services agreement, which were not incurred during the six months ended June 30,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a result of the foregoing, our net loss for the six months ended June 30, 2014, was $15,546,000, as compared to a net loss of $1,716,000 for the six months ended June 30, 2013, an increase of $13,830,000, or 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Since our inception through June 30, 2014 we have funded our operations principally with $63.9 million from the sale of ordinary shares, preferred shares and convertible notes. As of June 30, 2014, we had $6.9 million in cash and cash equivalents and an additional amount of $32 million in a short-term deposit.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8"/>
              </w:rPr>
              <w:t>Six months ended June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b w:val="1"/>
                <w:bCs w:val="1"/>
                <w:color w:val="auto"/>
                <w:w w:val="87"/>
              </w:rPr>
              <w:t>30,</w:t>
            </w: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3"/>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(in thousands of U.S.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2"/>
              </w:rPr>
              <w:t>dollars)</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operating activities of $11.1 million during the six months ended June 30, 2014 was primarily used for payment of $8.7 million for clinical trials and other third party related expenses and for professional services, $0.2 million for travel expenses and an aggregate of $1.8 million in salary payments. The remaining amount of $0.4 million was for other miscellaneous expenses.</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Net cash used in operating activities of $0.54 million during the six months ended June 30, 2013 was primarily used for payment of $0.4 million for salary payments and $0.1 million for professional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cash used in investing activities of $4.1 million during the six months ended June 30, 2014 reflected our use of cash to invest in short-term deposits.</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cash used in investing activities of $4.0 million during the six months ended June 30, 2013 reflected our use of cash to invest in short-term deposits.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provided by financing activities of $22.0 million in the six months ended June 30, 2013, consisted of $21.9 million of proceeds from our initial public offering and $0.1 million of proceeds from issuance of convertible notes (that were converted into our ordinary shares at the time of our initial public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have financed our operations to date primarily through proceeds from sales of our ordinary shares, preferred shares, loans and issuances of convertible notes. We have incurred losses and generated negative cash flows from operations since inception. To date, we have not generated any revenue from the sale of products and we do not expect to generate revenues from sale of our products in the next three years. Even if we are able to raise funds in the offering contemplated herein, we believe that we will need to raise additional funds before we have any cash flow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jc w:val="both"/>
        <w:ind w:firstLine="405"/>
        <w:spacing w:after="0" w:line="277" w:lineRule="auto"/>
        <w:rPr>
          <w:sz w:val="20"/>
          <w:szCs w:val="20"/>
          <w:color w:val="auto"/>
        </w:rPr>
      </w:pPr>
      <w:r>
        <w:rPr>
          <w:rFonts w:ascii="Arial" w:cs="Arial" w:eastAsia="Arial" w:hAnsi="Arial"/>
          <w:sz w:val="18"/>
          <w:szCs w:val="18"/>
          <w:color w:val="auto"/>
        </w:rPr>
        <w:t>As of June 30, 2014, our cash, cash equivalents and short-term deposits totaled $38.9 million. Our current investment policy is to invest available cash in bank deposits with banks that have a credit rating of at least A-minus.</w:t>
      </w:r>
    </w:p>
    <w:p>
      <w:pPr>
        <w:spacing w:after="0" w:line="1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believe that our existing cash resources will be sufficient to fund our projected cash requirements approximately through beginning of 2016 (such activities do not include conducting clinical trials in the EU or Japan). Nevertheless, we will require significant additional financing in the future to fund our clinical development plan and operations and if and when we obtain regulatory approval of MDX, to commercialize the drug. Based on our current clinical development plan, we currently anticipate that we will utilize approximately $22 million for clinical trial activities over the course of the next 24 months. We also anticipate utilizing between $6 million to $7 million for additional research and development expenditures over such 24-month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1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prioritization, design and number of our clinical trials and other research and development programs;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cost that we may incur under in- and out-licensing arrangements relating to our drug candidate that we may enter into in the future; the costs and timing of obtaining regulatory approval for our drug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and timing for, strengthening our manufacturing agreements for production of sufficient clinical and commercial quantities of our drug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potential costs of contracting with third parties to provide marketing and distribution services for us or for building such capacities internally; and</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acquiring or undertaking the development and commercialization efforts for additional, future therapeutic applications of our drug candidate; the magnitude of our general and administrative expenses; and payments to the OCS.</w:t>
      </w:r>
    </w:p>
    <w:p>
      <w:pPr>
        <w:spacing w:after="0" w:line="170"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Until we can generate significant recurring revenues, we expect to satisfy our future cash needs through our existing cash, cash equivalents and short term deposits,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lvl w:ilvl="1">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4"/>
    </w:lvl>
  </w:abstractNum>
  <w:abstractNum w:abstractNumId="6">
    <w:nsid w:val="7545E146"/>
    <w:multiLevelType w:val="hybridMultilevel"/>
    <w:lvl w:ilvl="0">
      <w:lvlJc w:val="left"/>
      <w:lvlText w:val="%1."/>
      <w:numFmt w:val="lowerLetter"/>
      <w:start w:val="5"/>
    </w:lvl>
  </w:abstractNum>
  <w:abstractNum w:abstractNumId="7">
    <w:nsid w:val="515F007C"/>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lvl w:ilvl="3">
      <w:lvlJc w:val="left"/>
      <w:lvlText w:val="-"/>
      <w:numFmt w:val="bullet"/>
      <w:start w:val="1"/>
    </w:lvl>
  </w:abstractNum>
  <w:abstractNum w:abstractNumId="8">
    <w:nsid w:val="5BD062C2"/>
    <w:multiLevelType w:val="hybridMultilevel"/>
    <w:lvl w:ilvl="0">
      <w:lvlJc w:val="left"/>
      <w:lvlText w:val="Ÿ"/>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2019-12-09T02:10:52Z</dcterms:created>
  <dcterms:modified xsi:type="dcterms:W3CDTF">2019-12-09T02:10:52Z</dcterms:modified>
</cp:coreProperties>
</file>